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751840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812165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78" w:lineRule="exact"/>
        <w:rPr>
          <w:sz w:val="24"/>
          <w:szCs w:val="24"/>
          <w:color w:val="auto"/>
        </w:rPr>
      </w:pPr>
    </w:p>
    <w:p>
      <w:pPr>
        <w:ind w:left="360" w:right="1639" w:hanging="223"/>
        <w:spacing w:after="0" w:line="253"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jc w:val="center"/>
        <w:ind w:right="-300"/>
        <w:spacing w:after="0" w:line="222" w:lineRule="auto"/>
        <w:rPr>
          <w:sz w:val="20"/>
          <w:szCs w:val="20"/>
          <w:color w:val="auto"/>
        </w:rPr>
      </w:pPr>
      <w:r>
        <w:rPr>
          <w:rFonts w:ascii="Arial" w:cs="Arial" w:eastAsia="Arial" w:hAnsi="Arial"/>
          <w:sz w:val="14"/>
          <w:szCs w:val="14"/>
          <w:b w:val="1"/>
          <w:bCs w:val="1"/>
          <w:color w:val="auto"/>
        </w:rPr>
        <w:t>or</w:t>
      </w:r>
    </w:p>
    <w:p>
      <w:pPr>
        <w:ind w:left="360" w:right="1339" w:hanging="223"/>
        <w:spacing w:after="0" w:line="275" w:lineRule="auto"/>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from_________________________ to_______________________________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1-11588</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SAGA COMMUNICATIONS,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44"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5080" w:type="dxa"/>
            <w:vAlign w:val="bottom"/>
          </w:tcPr>
          <w:p>
            <w:pPr>
              <w:jc w:val="center"/>
              <w:ind w:right="2748"/>
              <w:spacing w:after="0"/>
              <w:rPr>
                <w:sz w:val="20"/>
                <w:szCs w:val="20"/>
                <w:color w:val="auto"/>
              </w:rPr>
            </w:pPr>
            <w:r>
              <w:rPr>
                <w:rFonts w:ascii="Arial" w:cs="Arial" w:eastAsia="Arial" w:hAnsi="Arial"/>
                <w:sz w:val="14"/>
                <w:szCs w:val="14"/>
                <w:b w:val="1"/>
                <w:bCs w:val="1"/>
                <w:color w:val="auto"/>
                <w:w w:val="98"/>
              </w:rPr>
              <w:t>Florida</w:t>
            </w:r>
          </w:p>
        </w:tc>
        <w:tc>
          <w:tcPr>
            <w:tcW w:w="116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38-3042953</w:t>
            </w:r>
          </w:p>
        </w:tc>
        <w:tc>
          <w:tcPr>
            <w:tcW w:w="0" w:type="dxa"/>
            <w:vAlign w:val="bottom"/>
          </w:tcPr>
          <w:p>
            <w:pPr>
              <w:spacing w:after="0"/>
              <w:rPr>
                <w:sz w:val="1"/>
                <w:szCs w:val="1"/>
                <w:color w:val="auto"/>
              </w:rPr>
            </w:pPr>
          </w:p>
        </w:tc>
      </w:tr>
      <w:tr>
        <w:trPr>
          <w:trHeight w:val="148"/>
        </w:trPr>
        <w:tc>
          <w:tcPr>
            <w:tcW w:w="5080" w:type="dxa"/>
            <w:vAlign w:val="bottom"/>
          </w:tcPr>
          <w:p>
            <w:pPr>
              <w:jc w:val="center"/>
              <w:ind w:right="2768"/>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1160" w:type="dxa"/>
            <w:vAlign w:val="bottom"/>
          </w:tcPr>
          <w:p>
            <w:pPr>
              <w:jc w:val="center"/>
              <w:ind w:left="4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5080" w:type="dxa"/>
            <w:vAlign w:val="bottom"/>
          </w:tcPr>
          <w:p>
            <w:pPr>
              <w:jc w:val="center"/>
              <w:ind w:right="2748"/>
              <w:spacing w:after="0"/>
              <w:rPr>
                <w:sz w:val="20"/>
                <w:szCs w:val="20"/>
                <w:color w:val="auto"/>
              </w:rPr>
            </w:pPr>
            <w:r>
              <w:rPr>
                <w:rFonts w:ascii="Arial" w:cs="Arial" w:eastAsia="Arial" w:hAnsi="Arial"/>
                <w:sz w:val="14"/>
                <w:szCs w:val="14"/>
                <w:i w:val="1"/>
                <w:iCs w:val="1"/>
                <w:color w:val="auto"/>
                <w:w w:val="97"/>
              </w:rPr>
              <w:t>incorporation or organization)</w:t>
            </w:r>
          </w:p>
        </w:tc>
        <w:tc>
          <w:tcPr>
            <w:tcW w:w="1160" w:type="dxa"/>
            <w:vAlign w:val="bottom"/>
          </w:tcPr>
          <w:p>
            <w:pPr>
              <w:jc w:val="center"/>
              <w:ind w:left="2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78"/>
        </w:trPr>
        <w:tc>
          <w:tcPr>
            <w:tcW w:w="5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2"/>
              </w:rPr>
              <w:t>73 Kercheval Avenue</w:t>
            </w:r>
          </w:p>
        </w:tc>
        <w:tc>
          <w:tcPr>
            <w:tcW w:w="11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48236</w:t>
            </w:r>
          </w:p>
        </w:tc>
        <w:tc>
          <w:tcPr>
            <w:tcW w:w="0" w:type="dxa"/>
            <w:vAlign w:val="bottom"/>
          </w:tcPr>
          <w:p>
            <w:pPr>
              <w:spacing w:after="0"/>
              <w:rPr>
                <w:sz w:val="1"/>
                <w:szCs w:val="1"/>
                <w:color w:val="auto"/>
              </w:rPr>
            </w:pPr>
          </w:p>
        </w:tc>
      </w:tr>
      <w:tr>
        <w:trPr>
          <w:trHeight w:val="153"/>
        </w:trPr>
        <w:tc>
          <w:tcPr>
            <w:tcW w:w="5080" w:type="dxa"/>
            <w:vAlign w:val="bottom"/>
          </w:tcPr>
          <w:p>
            <w:pPr>
              <w:jc w:val="center"/>
              <w:ind w:right="2548"/>
              <w:spacing w:after="0" w:line="153" w:lineRule="exact"/>
              <w:rPr>
                <w:sz w:val="20"/>
                <w:szCs w:val="20"/>
                <w:color w:val="auto"/>
              </w:rPr>
            </w:pPr>
            <w:r>
              <w:rPr>
                <w:rFonts w:ascii="Arial" w:cs="Arial" w:eastAsia="Arial" w:hAnsi="Arial"/>
                <w:sz w:val="14"/>
                <w:szCs w:val="14"/>
                <w:b w:val="1"/>
                <w:bCs w:val="1"/>
                <w:color w:val="auto"/>
                <w:w w:val="92"/>
              </w:rPr>
              <w:t>Grosse Pointe Farms, Michigan</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80" w:type="dxa"/>
            <w:vAlign w:val="bottom"/>
          </w:tcPr>
          <w:p>
            <w:pPr>
              <w:jc w:val="center"/>
              <w:ind w:right="276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160" w:type="dxa"/>
            <w:vAlign w:val="bottom"/>
          </w:tcPr>
          <w:p>
            <w:pPr>
              <w:jc w:val="center"/>
              <w:ind w:left="48"/>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178"/>
        </w:trPr>
        <w:tc>
          <w:tcPr>
            <w:tcW w:w="5080" w:type="dxa"/>
            <w:vAlign w:val="bottom"/>
          </w:tcPr>
          <w:p>
            <w:pPr>
              <w:jc w:val="center"/>
              <w:ind w:left="16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80" w:type="dxa"/>
            <w:vAlign w:val="bottom"/>
          </w:tcPr>
          <w:p>
            <w:pPr>
              <w:jc w:val="right"/>
              <w:ind w:right="1168"/>
              <w:spacing w:after="0"/>
              <w:rPr>
                <w:sz w:val="20"/>
                <w:szCs w:val="20"/>
                <w:color w:val="auto"/>
              </w:rPr>
            </w:pPr>
            <w:r>
              <w:rPr>
                <w:rFonts w:ascii="Arial" w:cs="Arial" w:eastAsia="Arial" w:hAnsi="Arial"/>
                <w:sz w:val="14"/>
                <w:szCs w:val="14"/>
                <w:b w:val="1"/>
                <w:bCs w:val="1"/>
                <w:color w:val="auto"/>
              </w:rPr>
              <w:t>(313) 886-7070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019"/>
          </w:cols>
          <w:pgMar w:left="1440" w:top="665" w:right="1440" w:bottom="1440" w:gutter="0" w:footer="0" w:header="0"/>
        </w:sectPr>
      </w:pPr>
    </w:p>
    <w:p>
      <w:pPr>
        <w:spacing w:after="0" w:line="55" w:lineRule="exact"/>
        <w:rPr>
          <w:sz w:val="24"/>
          <w:szCs w:val="24"/>
          <w:color w:val="auto"/>
        </w:rPr>
      </w:pPr>
    </w:p>
    <w:p>
      <w:pPr>
        <w:ind w:left="112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ind w:left="620"/>
        <w:spacing w:after="0"/>
        <w:rPr>
          <w:sz w:val="20"/>
          <w:szCs w:val="20"/>
          <w:color w:val="auto"/>
        </w:rPr>
      </w:pPr>
      <w:r>
        <w:rPr>
          <w:rFonts w:ascii="Arial" w:cs="Arial" w:eastAsia="Arial" w:hAnsi="Arial"/>
          <w:sz w:val="13"/>
          <w:szCs w:val="13"/>
          <w:color w:val="auto"/>
        </w:rPr>
        <w:t>Class A Common Stock, $.01 par value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Trading Symbol</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4"/>
          <w:szCs w:val="14"/>
          <w:color w:val="auto"/>
        </w:rPr>
        <w:t>SGA</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NASDAQ Global Market</w:t>
      </w:r>
    </w:p>
    <w:p>
      <w:pPr>
        <w:spacing w:after="0" w:line="39" w:lineRule="exact"/>
        <w:rPr>
          <w:sz w:val="24"/>
          <w:szCs w:val="24"/>
          <w:color w:val="auto"/>
        </w:rPr>
      </w:pPr>
    </w:p>
    <w:p>
      <w:pPr>
        <w:sectPr>
          <w:pgSz w:w="11900" w:h="16838" w:orient="portrait"/>
          <w:cols w:equalWidth="0" w:num="3">
            <w:col w:w="3240" w:space="720"/>
            <w:col w:w="1320" w:space="720"/>
            <w:col w:w="3019"/>
          </w:cols>
          <w:pgMar w:left="1440" w:top="665"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9019"/>
          </w:cols>
          <w:pgMar w:left="1440" w:top="665" w:right="1440" w:bottom="1440" w:gutter="0" w:footer="0" w:header="0"/>
          <w:type w:val="continuous"/>
        </w:sectPr>
      </w:pPr>
    </w:p>
    <w:p>
      <w:pPr>
        <w:spacing w:after="0" w:line="68" w:lineRule="exact"/>
        <w:rPr>
          <w:sz w:val="24"/>
          <w:szCs w:val="24"/>
          <w:color w:val="auto"/>
        </w:rPr>
      </w:pPr>
    </w:p>
    <w:p>
      <w:pPr>
        <w:ind w:left="32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2">
            <w:col w:w="7480" w:space="200"/>
            <w:col w:w="1339"/>
          </w:cols>
          <w:pgMar w:left="1440" w:top="665" w:right="1440" w:bottom="1440" w:gutter="0" w:footer="0" w:header="0"/>
          <w:type w:val="continuous"/>
        </w:sectPr>
      </w:pPr>
    </w:p>
    <w:p>
      <w:pPr>
        <w:ind w:left="32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2">
            <w:col w:w="7620" w:space="180"/>
            <w:col w:w="1219"/>
          </w:cols>
          <w:pgMar w:left="1440" w:top="665" w:right="1440" w:bottom="1440" w:gutter="0" w:footer="0" w:header="0"/>
          <w:type w:val="continuous"/>
        </w:sectPr>
      </w:pPr>
    </w:p>
    <w:p>
      <w:pPr>
        <w:ind w:left="60" w:right="279" w:firstLine="277"/>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60"/>
        <w:spacing w:after="0" w:line="161" w:lineRule="exact"/>
        <w:tabs>
          <w:tab w:leader="none" w:pos="3260" w:val="left"/>
          <w:tab w:leader="none" w:pos="3820" w:val="left"/>
        </w:tabs>
        <w:rPr>
          <w:sz w:val="20"/>
          <w:szCs w:val="20"/>
          <w:color w:val="auto"/>
        </w:rPr>
      </w:pPr>
      <w:r>
        <w:rPr>
          <w:rFonts w:ascii="Arial" w:cs="Arial" w:eastAsia="Arial" w:hAnsi="Arial"/>
          <w:sz w:val="14"/>
          <w:szCs w:val="14"/>
          <w:color w:val="auto"/>
        </w:rPr>
        <w:t>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60" w:right="159" w:firstLine="277"/>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100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70" w:lineRule="exact"/>
        <w:rPr>
          <w:sz w:val="24"/>
          <w:szCs w:val="24"/>
          <w:color w:val="auto"/>
        </w:rPr>
      </w:pPr>
    </w:p>
    <w:p>
      <w:pPr>
        <w:ind w:left="2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Accelerated</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33" w:lineRule="exact"/>
        <w:rPr>
          <w:sz w:val="24"/>
          <w:szCs w:val="24"/>
          <w:color w:val="auto"/>
        </w:rPr>
      </w:pPr>
    </w:p>
    <w:p>
      <w:pPr>
        <w:sectPr>
          <w:pgSz w:w="11900" w:h="16838" w:orient="portrait"/>
          <w:cols w:equalWidth="0" w:num="5">
            <w:col w:w="1580" w:space="720"/>
            <w:col w:w="680" w:space="700"/>
            <w:col w:w="1220" w:space="640"/>
            <w:col w:w="1060" w:space="600"/>
            <w:col w:w="1819"/>
          </w:cols>
          <w:pgMar w:left="1440" w:top="665" w:right="1440" w:bottom="1440" w:gutter="0" w:footer="0" w:header="0"/>
          <w:type w:val="continuous"/>
        </w:sectPr>
      </w:pPr>
    </w:p>
    <w:p>
      <w:pPr>
        <w:ind w:left="2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66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Company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210" w:lineRule="exact"/>
        <w:rPr>
          <w:sz w:val="24"/>
          <w:szCs w:val="24"/>
          <w:color w:val="auto"/>
        </w:rPr>
      </w:pPr>
    </w:p>
    <w:p>
      <w:pPr>
        <w:sectPr>
          <w:pgSz w:w="11900" w:h="16838" w:orient="portrait"/>
          <w:cols w:equalWidth="0" w:num="6">
            <w:col w:w="1700" w:space="720"/>
            <w:col w:w="240" w:space="60"/>
            <w:col w:w="780" w:space="720"/>
            <w:col w:w="780" w:space="720"/>
            <w:col w:w="2200" w:space="720"/>
            <w:col w:w="379"/>
          </w:cols>
          <w:pgMar w:left="1440" w:top="665" w:right="1440" w:bottom="1440" w:gutter="0" w:footer="0" w:header="0"/>
          <w:type w:val="continuous"/>
        </w:sectPr>
      </w:pPr>
    </w:p>
    <w:p>
      <w:pPr>
        <w:ind w:left="60" w:right="119" w:firstLine="277"/>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60" w:right="59" w:firstLine="277"/>
        <w:spacing w:after="0" w:line="254" w:lineRule="auto"/>
        <w:rPr>
          <w:sz w:val="20"/>
          <w:szCs w:val="20"/>
          <w:color w:val="auto"/>
        </w:rPr>
      </w:pPr>
      <w:r>
        <w:rPr>
          <w:rFonts w:ascii="Arial" w:cs="Arial" w:eastAsia="Arial" w:hAnsi="Arial"/>
          <w:sz w:val="13"/>
          <w:szCs w:val="13"/>
          <w:color w:val="auto"/>
        </w:rPr>
        <w:t>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or issued its audit report. </w:t>
      </w:r>
      <w:r>
        <w:rPr>
          <w:rFonts w:ascii="MS PGothic" w:cs="MS PGothic" w:eastAsia="MS PGothic" w:hAnsi="MS PGothic"/>
          <w:sz w:val="14"/>
          <w:szCs w:val="14"/>
          <w:color w:val="auto"/>
        </w:rPr>
        <w:t>☑</w:t>
      </w:r>
    </w:p>
    <w:p>
      <w:pPr>
        <w:spacing w:after="0" w:line="62" w:lineRule="exact"/>
        <w:rPr>
          <w:sz w:val="24"/>
          <w:szCs w:val="24"/>
          <w:color w:val="auto"/>
        </w:rPr>
      </w:pPr>
    </w:p>
    <w:p>
      <w:pPr>
        <w:ind w:left="60" w:right="159" w:firstLine="277"/>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0" w:lineRule="exact"/>
        <w:rPr>
          <w:sz w:val="24"/>
          <w:szCs w:val="24"/>
          <w:color w:val="auto"/>
        </w:rPr>
      </w:pPr>
    </w:p>
    <w:p>
      <w:pPr>
        <w:ind w:left="60" w:right="319" w:firstLine="277"/>
        <w:spacing w:after="0" w:line="17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8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60" w:right="199" w:firstLine="277"/>
        <w:spacing w:after="0" w:line="238" w:lineRule="auto"/>
        <w:rPr>
          <w:sz w:val="20"/>
          <w:szCs w:val="20"/>
          <w:color w:val="auto"/>
        </w:rPr>
      </w:pPr>
      <w:r>
        <w:rPr>
          <w:rFonts w:ascii="Arial" w:cs="Arial" w:eastAsia="Arial" w:hAnsi="Arial"/>
          <w:sz w:val="14"/>
          <w:szCs w:val="14"/>
          <w:color w:val="auto"/>
        </w:rPr>
        <w:t>Aggregate market value of the Class A Common Stock and the Class B Common Stock (assuming conversion thereof into Class A Common Stock) held by nonaffiliates of the registrant, computed on the basis of the closing price of the Class A Common Stock on June 30, 2022 on the NASDAQ: $125,073,852.</w:t>
      </w:r>
    </w:p>
    <w:p>
      <w:pPr>
        <w:spacing w:after="0" w:line="34" w:lineRule="exact"/>
        <w:rPr>
          <w:sz w:val="24"/>
          <w:szCs w:val="24"/>
          <w:color w:val="auto"/>
        </w:rPr>
      </w:pPr>
    </w:p>
    <w:p>
      <w:pPr>
        <w:ind w:left="320"/>
        <w:spacing w:after="0"/>
        <w:rPr>
          <w:sz w:val="20"/>
          <w:szCs w:val="20"/>
          <w:color w:val="auto"/>
        </w:rPr>
      </w:pPr>
      <w:r>
        <w:rPr>
          <w:rFonts w:ascii="Arial" w:cs="Arial" w:eastAsia="Arial" w:hAnsi="Arial"/>
          <w:sz w:val="14"/>
          <w:szCs w:val="14"/>
          <w:color w:val="auto"/>
        </w:rPr>
        <w:t>The number of shares of the registrant’s Class A Common Stock, $.01 par value outstanding as of March 3, 2023 was 6,123,529.</w:t>
      </w:r>
    </w:p>
    <w:p>
      <w:pPr>
        <w:spacing w:after="0" w:line="51"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60" w:right="299" w:firstLine="277"/>
        <w:spacing w:after="0" w:line="253" w:lineRule="auto"/>
        <w:rPr>
          <w:sz w:val="20"/>
          <w:szCs w:val="20"/>
          <w:color w:val="auto"/>
        </w:rPr>
      </w:pPr>
      <w:r>
        <w:rPr>
          <w:rFonts w:ascii="Arial" w:cs="Arial" w:eastAsia="Arial" w:hAnsi="Arial"/>
          <w:sz w:val="14"/>
          <w:szCs w:val="14"/>
          <w:color w:val="auto"/>
        </w:rPr>
        <w:t>Portions of the Proxy Statement for the 2023 Annual Meeting of Shareholders (to be filed with the Securities and Exchange Commission not later than 120 days after the end of the Company’s fiscal year)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473710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27940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70485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18"/>
          </w:tcPr>
          <w:p>
            <w:pPr>
              <w:jc w:val="center"/>
              <w:ind w:right="2040"/>
              <w:spacing w:after="0"/>
              <w:rPr>
                <w:sz w:val="20"/>
                <w:szCs w:val="20"/>
                <w:color w:val="auto"/>
              </w:rPr>
            </w:pPr>
            <w:r>
              <w:rPr>
                <w:rFonts w:ascii="Arial" w:cs="Arial" w:eastAsia="Arial" w:hAnsi="Arial"/>
                <w:sz w:val="18"/>
                <w:szCs w:val="18"/>
                <w:b w:val="1"/>
                <w:bCs w:val="1"/>
                <w:color w:val="auto"/>
                <w:w w:val="90"/>
              </w:rPr>
              <w:t>Saga Communications,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80" w:type="dxa"/>
            <w:vAlign w:val="bottom"/>
            <w:gridSpan w:val="18"/>
          </w:tcPr>
          <w:p>
            <w:pPr>
              <w:jc w:val="center"/>
              <w:ind w:right="2020"/>
              <w:spacing w:after="0"/>
              <w:rPr>
                <w:sz w:val="20"/>
                <w:szCs w:val="20"/>
                <w:color w:val="auto"/>
              </w:rPr>
            </w:pPr>
            <w:r>
              <w:rPr>
                <w:rFonts w:ascii="Arial" w:cs="Arial" w:eastAsia="Arial" w:hAnsi="Arial"/>
                <w:sz w:val="18"/>
                <w:szCs w:val="18"/>
                <w:b w:val="1"/>
                <w:bCs w:val="1"/>
                <w:color w:val="auto"/>
                <w:w w:val="93"/>
              </w:rPr>
              <w:t>2022 Form 10-K Annual Report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17"/>
          </w:tcPr>
          <w:p>
            <w:pPr>
              <w:jc w:val="center"/>
              <w:ind w:right="286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40" w:type="dxa"/>
            <w:vAlign w:val="bottom"/>
            <w:gridSpan w:val="13"/>
            <w:shd w:val="clear" w:color="auto" w:fill="CCEEFF"/>
          </w:tcPr>
          <w:p>
            <w:pPr>
              <w:jc w:val="center"/>
              <w:ind w:right="3300"/>
              <w:spacing w:after="0" w:line="176" w:lineRule="exact"/>
              <w:rPr>
                <w:sz w:val="20"/>
                <w:szCs w:val="20"/>
                <w:color w:val="auto"/>
              </w:rPr>
            </w:pPr>
            <w:r>
              <w:rPr>
                <w:rFonts w:ascii="Arial" w:cs="Arial" w:eastAsia="Arial" w:hAnsi="Arial"/>
                <w:sz w:val="18"/>
                <w:szCs w:val="18"/>
                <w:color w:val="0000EE"/>
                <w:w w:val="92"/>
              </w:rPr>
              <w:t>PART I</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0000EE"/>
              </w:rPr>
              <w:t>Item 1.</w:t>
            </w:r>
          </w:p>
        </w:tc>
        <w:tc>
          <w:tcPr>
            <w:tcW w:w="3400" w:type="dxa"/>
            <w:vAlign w:val="bottom"/>
            <w:tcBorders>
              <w:top w:val="single" w:sz="8" w:color="CCEEFF"/>
            </w:tcBorders>
            <w:gridSpan w:val="16"/>
          </w:tcPr>
          <w:p>
            <w:pPr>
              <w:ind w:left="120"/>
              <w:spacing w:after="0" w:line="176" w:lineRule="exact"/>
              <w:rPr>
                <w:sz w:val="20"/>
                <w:szCs w:val="20"/>
                <w:color w:val="auto"/>
              </w:rPr>
            </w:pPr>
            <w:r>
              <w:rPr>
                <w:rFonts w:ascii="Arial" w:cs="Arial" w:eastAsia="Arial" w:hAnsi="Arial"/>
                <w:sz w:val="18"/>
                <w:szCs w:val="18"/>
                <w:color w:val="0000EE"/>
              </w:rPr>
              <w:t>Business</w:t>
            </w:r>
          </w:p>
        </w:tc>
        <w:tc>
          <w:tcPr>
            <w:tcW w:w="540" w:type="dxa"/>
            <w:vAlign w:val="bottom"/>
            <w:tcBorders>
              <w:top w:val="single" w:sz="8" w:color="0000EE"/>
            </w:tcBorders>
            <w:gridSpan w:val="2"/>
          </w:tcPr>
          <w:p>
            <w:pPr>
              <w:spacing w:after="0"/>
              <w:rPr>
                <w:sz w:val="15"/>
                <w:szCs w:val="15"/>
                <w:color w:val="auto"/>
              </w:rPr>
            </w:pPr>
          </w:p>
        </w:tc>
        <w:tc>
          <w:tcPr>
            <w:tcW w:w="330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w w:val="89"/>
              </w:rPr>
              <w:t>Item 1A.</w:t>
            </w:r>
          </w:p>
        </w:tc>
        <w:tc>
          <w:tcPr>
            <w:tcW w:w="120" w:type="dxa"/>
            <w:vAlign w:val="bottom"/>
            <w:shd w:val="clear" w:color="auto" w:fill="CCEEFF"/>
          </w:tcPr>
          <w:p>
            <w:pPr>
              <w:spacing w:after="0"/>
              <w:rPr>
                <w:sz w:val="15"/>
                <w:szCs w:val="15"/>
                <w:color w:val="auto"/>
              </w:rPr>
            </w:pP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Arial" w:cs="Arial" w:eastAsia="Arial" w:hAnsi="Arial"/>
                <w:sz w:val="18"/>
                <w:szCs w:val="18"/>
                <w:color w:val="0000EE"/>
                <w:w w:val="89"/>
              </w:rPr>
              <w:t>Item 1B.</w:t>
            </w:r>
          </w:p>
        </w:tc>
        <w:tc>
          <w:tcPr>
            <w:tcW w:w="120" w:type="dxa"/>
            <w:vAlign w:val="bottom"/>
          </w:tcPr>
          <w:p>
            <w:pPr>
              <w:spacing w:after="0"/>
              <w:rPr>
                <w:sz w:val="15"/>
                <w:szCs w:val="15"/>
                <w:color w:val="auto"/>
              </w:rPr>
            </w:pP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Unresolved Staff Comments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Properties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Arial" w:cs="Arial" w:eastAsia="Arial" w:hAnsi="Arial"/>
                <w:sz w:val="18"/>
                <w:szCs w:val="18"/>
                <w:color w:val="0000EE"/>
              </w:rPr>
              <w:t>Item 3.</w:t>
            </w: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Arial" w:cs="Arial" w:eastAsia="Arial" w:hAnsi="Arial"/>
                <w:sz w:val="18"/>
                <w:szCs w:val="18"/>
                <w:color w:val="0000EE"/>
                <w:w w:val="95"/>
              </w:rPr>
              <w:t>PART II</w:t>
            </w:r>
          </w:p>
        </w:tc>
        <w:tc>
          <w:tcPr>
            <w:tcW w:w="326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Arial" w:cs="Arial" w:eastAsia="Arial" w:hAnsi="Arial"/>
                <w:sz w:val="18"/>
                <w:szCs w:val="18"/>
                <w:color w:val="0000EE"/>
              </w:rPr>
              <w:t>Item 5.</w:t>
            </w: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w w:val="94"/>
              </w:rPr>
              <w:t>Market for Registrant’s Common Equity, Related Shareholder Matters and Issuer Purchases of</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Equity Securities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Reserved</w:t>
            </w: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Arial" w:cs="Arial" w:eastAsia="Arial" w:hAnsi="Arial"/>
                <w:sz w:val="18"/>
                <w:szCs w:val="18"/>
                <w:color w:val="0000EE"/>
              </w:rPr>
              <w:t>Item 7.</w:t>
            </w: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w w:val="89"/>
              </w:rPr>
              <w:t>Item 7A.</w:t>
            </w:r>
          </w:p>
        </w:tc>
        <w:tc>
          <w:tcPr>
            <w:tcW w:w="120" w:type="dxa"/>
            <w:vAlign w:val="bottom"/>
            <w:shd w:val="clear" w:color="auto" w:fill="CCEEFF"/>
          </w:tcPr>
          <w:p>
            <w:pPr>
              <w:spacing w:after="0"/>
              <w:rPr>
                <w:sz w:val="15"/>
                <w:szCs w:val="15"/>
                <w:color w:val="auto"/>
              </w:rPr>
            </w:pP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Arial" w:cs="Arial" w:eastAsia="Arial" w:hAnsi="Arial"/>
                <w:sz w:val="18"/>
                <w:szCs w:val="18"/>
                <w:color w:val="0000EE"/>
              </w:rPr>
              <w:t>Item 8.</w:t>
            </w:r>
          </w:p>
        </w:tc>
        <w:tc>
          <w:tcPr>
            <w:tcW w:w="120" w:type="dxa"/>
            <w:vAlign w:val="bottom"/>
          </w:tcPr>
          <w:p>
            <w:pPr>
              <w:spacing w:after="0"/>
              <w:rPr>
                <w:sz w:val="15"/>
                <w:szCs w:val="15"/>
                <w:color w:val="auto"/>
              </w:rPr>
            </w:pP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9.</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w w:val="99"/>
              </w:rPr>
              <w:t>Changes in and Disagreements with Accountants on Accounting and Financial Disclosure</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Arial" w:cs="Arial" w:eastAsia="Arial" w:hAnsi="Arial"/>
                <w:sz w:val="18"/>
                <w:szCs w:val="18"/>
                <w:color w:val="0000EE"/>
              </w:rPr>
              <w:t>Item 9A.</w:t>
            </w: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9B.</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900" w:type="dxa"/>
            <w:vAlign w:val="bottom"/>
            <w:gridSpan w:val="15"/>
            <w:shd w:val="clear" w:color="auto" w:fill="CCEEFF"/>
          </w:tcPr>
          <w:p>
            <w:pPr>
              <w:jc w:val="center"/>
              <w:ind w:right="3240"/>
              <w:spacing w:after="0" w:line="176" w:lineRule="exact"/>
              <w:rPr>
                <w:sz w:val="20"/>
                <w:szCs w:val="20"/>
                <w:color w:val="auto"/>
              </w:rPr>
            </w:pPr>
            <w:r>
              <w:rPr>
                <w:rFonts w:ascii="Arial" w:cs="Arial" w:eastAsia="Arial" w:hAnsi="Arial"/>
                <w:sz w:val="18"/>
                <w:szCs w:val="18"/>
                <w:color w:val="0000EE"/>
                <w:w w:val="96"/>
              </w:rPr>
              <w:t>PART III</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Arial" w:cs="Arial" w:eastAsia="Arial" w:hAnsi="Arial"/>
                <w:sz w:val="18"/>
                <w:szCs w:val="18"/>
                <w:color w:val="0000EE"/>
              </w:rPr>
              <w:t>Item 10.</w:t>
            </w: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11.</w:t>
            </w: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Executive Compensation</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gridSpan w:val="2"/>
          </w:tcPr>
          <w:p>
            <w:pPr>
              <w:spacing w:after="0" w:line="176" w:lineRule="exact"/>
              <w:rPr>
                <w:sz w:val="20"/>
                <w:szCs w:val="20"/>
                <w:color w:val="auto"/>
              </w:rPr>
            </w:pPr>
            <w:r>
              <w:rPr>
                <w:rFonts w:ascii="Arial" w:cs="Arial" w:eastAsia="Arial" w:hAnsi="Arial"/>
                <w:sz w:val="18"/>
                <w:szCs w:val="18"/>
                <w:color w:val="0000EE"/>
                <w:w w:val="82"/>
              </w:rPr>
              <w:t>Item 12.</w:t>
            </w:r>
          </w:p>
        </w:tc>
        <w:tc>
          <w:tcPr>
            <w:tcW w:w="160" w:type="dxa"/>
            <w:vAlign w:val="bottom"/>
            <w:gridSpan w:val="3"/>
          </w:tcPr>
          <w:p>
            <w:pPr>
              <w:spacing w:after="0"/>
              <w:rPr>
                <w:sz w:val="15"/>
                <w:szCs w:val="15"/>
                <w:color w:val="auto"/>
              </w:rPr>
            </w:pP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w w:val="96"/>
              </w:rPr>
              <w:t>Security Ownership of Certain Beneficial Owners and Management and Related Shareholder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gridSpan w:val="29"/>
          </w:tcPr>
          <w:p>
            <w:pPr>
              <w:ind w:left="120"/>
              <w:spacing w:after="0" w:line="196" w:lineRule="exact"/>
              <w:rPr>
                <w:sz w:val="20"/>
                <w:szCs w:val="20"/>
                <w:color w:val="auto"/>
              </w:rPr>
            </w:pPr>
            <w:r>
              <w:rPr>
                <w:rFonts w:ascii="Arial" w:cs="Arial" w:eastAsia="Arial" w:hAnsi="Arial"/>
                <w:sz w:val="18"/>
                <w:szCs w:val="18"/>
                <w:color w:val="0000EE"/>
              </w:rPr>
              <w:t>Matters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2"/>
              </w:rPr>
              <w:t>Item 13.</w:t>
            </w:r>
          </w:p>
        </w:tc>
        <w:tc>
          <w:tcPr>
            <w:tcW w:w="160" w:type="dxa"/>
            <w:vAlign w:val="bottom"/>
            <w:gridSpan w:val="3"/>
            <w:shd w:val="clear" w:color="auto" w:fill="CCEEFF"/>
          </w:tcPr>
          <w:p>
            <w:pPr>
              <w:spacing w:after="0"/>
              <w:rPr>
                <w:sz w:val="15"/>
                <w:szCs w:val="15"/>
                <w:color w:val="auto"/>
              </w:rPr>
            </w:pP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2"/>
          </w:tcPr>
          <w:p>
            <w:pPr>
              <w:spacing w:after="0" w:line="176" w:lineRule="exact"/>
              <w:rPr>
                <w:sz w:val="20"/>
                <w:szCs w:val="20"/>
                <w:color w:val="auto"/>
              </w:rPr>
            </w:pPr>
            <w:r>
              <w:rPr>
                <w:rFonts w:ascii="Arial" w:cs="Arial" w:eastAsia="Arial" w:hAnsi="Arial"/>
                <w:sz w:val="18"/>
                <w:szCs w:val="18"/>
                <w:color w:val="0000EE"/>
                <w:w w:val="82"/>
              </w:rPr>
              <w:t>Item 14.</w:t>
            </w:r>
          </w:p>
        </w:tc>
        <w:tc>
          <w:tcPr>
            <w:tcW w:w="160" w:type="dxa"/>
            <w:vAlign w:val="bottom"/>
            <w:gridSpan w:val="3"/>
          </w:tcPr>
          <w:p>
            <w:pPr>
              <w:spacing w:after="0"/>
              <w:rPr>
                <w:sz w:val="15"/>
                <w:szCs w:val="15"/>
                <w:color w:val="auto"/>
              </w:rPr>
            </w:pPr>
          </w:p>
        </w:tc>
        <w:tc>
          <w:tcPr>
            <w:tcW w:w="7240" w:type="dxa"/>
            <w:vAlign w:val="bottom"/>
            <w:gridSpan w:val="29"/>
          </w:tcPr>
          <w:p>
            <w:pPr>
              <w:ind w:left="120"/>
              <w:spacing w:after="0" w:line="176" w:lineRule="exact"/>
              <w:rPr>
                <w:sz w:val="20"/>
                <w:szCs w:val="20"/>
                <w:color w:val="auto"/>
              </w:rPr>
            </w:pPr>
            <w:r>
              <w:rPr>
                <w:rFonts w:ascii="Arial" w:cs="Arial" w:eastAsia="Arial" w:hAnsi="Arial"/>
                <w:sz w:val="18"/>
                <w:szCs w:val="18"/>
                <w:color w:val="0000EE"/>
              </w:rPr>
              <w:t>Principal Accountant Fees and Services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5"/>
          </w:tcPr>
          <w:p>
            <w:pPr>
              <w:jc w:val="center"/>
              <w:ind w:right="3220"/>
              <w:spacing w:after="0" w:line="176" w:lineRule="exact"/>
              <w:rPr>
                <w:sz w:val="20"/>
                <w:szCs w:val="20"/>
                <w:color w:val="auto"/>
              </w:rPr>
            </w:pPr>
            <w:r>
              <w:rPr>
                <w:rFonts w:ascii="Arial" w:cs="Arial" w:eastAsia="Arial" w:hAnsi="Arial"/>
                <w:sz w:val="18"/>
                <w:szCs w:val="18"/>
                <w:color w:val="0000EE"/>
                <w:w w:val="97"/>
              </w:rPr>
              <w:t>PART IV</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2"/>
              </w:rPr>
              <w:t>Item 15.</w:t>
            </w:r>
          </w:p>
        </w:tc>
        <w:tc>
          <w:tcPr>
            <w:tcW w:w="160" w:type="dxa"/>
            <w:vAlign w:val="bottom"/>
            <w:gridSpan w:val="3"/>
            <w:shd w:val="clear" w:color="auto" w:fill="CCEEFF"/>
          </w:tcPr>
          <w:p>
            <w:pPr>
              <w:spacing w:after="0"/>
              <w:rPr>
                <w:sz w:val="15"/>
                <w:szCs w:val="15"/>
                <w:color w:val="auto"/>
              </w:rPr>
            </w:pPr>
          </w:p>
        </w:tc>
        <w:tc>
          <w:tcPr>
            <w:tcW w:w="7240" w:type="dxa"/>
            <w:vAlign w:val="bottom"/>
            <w:gridSpan w:val="29"/>
            <w:shd w:val="clear" w:color="auto" w:fill="CCEEFF"/>
          </w:tcPr>
          <w:p>
            <w:pPr>
              <w:ind w:left="120"/>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74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83"/>
              </w:rPr>
              <w:t>Signatures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59" w:firstLine="324"/>
        <w:spacing w:after="0" w:line="283" w:lineRule="auto"/>
        <w:rPr>
          <w:sz w:val="20"/>
          <w:szCs w:val="20"/>
          <w:color w:val="auto"/>
        </w:rPr>
      </w:pPr>
      <w:r>
        <w:rPr>
          <w:rFonts w:ascii="Arial" w:cs="Arial" w:eastAsia="Arial" w:hAnsi="Arial"/>
          <w:sz w:val="16"/>
          <w:szCs w:val="16"/>
          <w:color w:val="auto"/>
        </w:rPr>
        <w:t>Statements contained in this Form 10-K that are not historical facts are forward-looking statements that are made pursuant to the safe harbor provisions of the Private Securities Litigation Reform Act of 1995. In addition, words such as “believes,” “anticipates,” “estimates,” “plans,” “expects”, “guidance,” and similar expressions are intended to identify forward-looking statements. These statements are made as of the date of this report or as otherwise indicated, based on current expectations. We undertake no obligation to update this information. A number of important factors could cause our actual results for 2023 and beyond to differ materially from those expressed in any forward-looking statements made by or on our behalf. Forward-looking statements are not guarantees of future performance as they involve a number of risks, uncertainties and assumptions that may prove to be incorrect and that may cause our actual results and experiences to differ materially from the anticipated results or other expectations expressed in such forward-looking statements. The risks, uncertainties and assumptions that may affect our performance, which are described in Item 1A of this report, include our financial leverage and debt service requirements, dependence on key personnel, dependence on key stations, global,</w:t>
      </w:r>
    </w:p>
    <w:p>
      <w:pPr>
        <w:spacing w:after="0" w:line="4"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color w:val="auto"/>
        </w:rPr>
        <w:t>U.S. and local economic conditions, our ability to successfully integrate acquired stations, regulatory requirements, new technologies, natural disasters, terrorist attacks, information technology and cybersecurity failures and data security breaches. We cannot be sure that we will be able to anticipate or respond timely to changes in any of these factors, which could adversely affect the operating results in one or more fiscal quarters. Results of operations in any past period should not be considered, in and of itself, indicative of the results to be expected for future periods. Fluctuations in operating results may also result in fluctuations in the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3"/>
          <w:szCs w:val="13"/>
          <w:b w:val="1"/>
          <w:bCs w:val="1"/>
          <w:i w:val="1"/>
          <w:iCs w:val="1"/>
          <w:u w:val="single" w:color="auto"/>
          <w:color w:val="auto"/>
        </w:rPr>
        <w:t>Business</w:t>
      </w:r>
    </w:p>
    <w:p>
      <w:pPr>
        <w:spacing w:after="0" w:line="229"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We are a broadcast company primarily engaged in acquiring, developing and operating broadcast properties. As of February 28, 2023, we owned seventy-nine FM, thirty-four AM radio stations and eighty metro signals serving twenty-seven markets. Our principal executive offices are located at 73 Kercheval, Grosse Pointe Farms, Michigan 48236. We are a Florida corporation, reorganized in 2020. We were originally a Delaware corporation that was organized in 1986. During 2022, our founder and Chief Executive Officer (“CEO”), Edward K. Christian passed away. As of the date of his passing, Mr. Christian held approximately 65% of the combined voting power of the Company’s Common Stock. His passing resulted in the conversion of his Class B Shares into Class A Shares that were transferred to an estate planning trust that now owns approximately 16% of the common stock outstanding. We were also required to make certain payments to his estate as outlined in his employment agreement.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strategy is to operate top billing radio stations in mid-sized markets, which we define as markets ranked from 20 to 200 out of the markets summarized by Investing in Radio Market Report.</w:t>
      </w:r>
    </w:p>
    <w:p>
      <w:pPr>
        <w:spacing w:after="0" w:line="170"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Programming and marketing are key components in our strategy to achieve top ratings in our radio operations. In many of our markets, the three or four most highly rated radio stations receive a disproportionately high share of the market’s advertising revenues. As a result, a station’s revenue is dependent upon its ability to maximize its number of listeners/viewers within an advertiser’s given demographic parameters. In certain cases we use attributes other than specific market listener data for sales activities. In those markets where sufficient alternative data is available, we do not subscribe to an independent listener rating service.</w:t>
      </w:r>
    </w:p>
    <w:p>
      <w:pPr>
        <w:spacing w:after="0" w:line="17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radio stations that we own and/or operate employ a variety of programming formats, including Classic Hits, Adult Hits, Top 40, Country, Country Legends, Mainstream/Hot/Soft Adult Contemporary, Pure Oldies, Classic Rock, and News/Talk. We regularly perform extensive market research, including music evaluations, focus groups and strategic vulnerability studies. Our stations also employ audience promotions to further develop and secure a loyal following.</w:t>
      </w:r>
    </w:p>
    <w:p>
      <w:pPr>
        <w:spacing w:after="0" w:line="157"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We concentrate on the development of strong decentralized local management, which is responsible for the day-to-day operations of the stations we own and/or operate. We compensate local management based on the station’s financial performance, as well as other performance factors that are deemed to affect the long-term ability of the stations to achieve financial performance objectives. Corporate management is responsible for long-range planning, establishing policies and procedures, resource allocation and monitoring the activities of the stations.</w:t>
      </w:r>
    </w:p>
    <w:p>
      <w:pPr>
        <w:spacing w:after="0" w:line="176"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Under the Telecommunications Act of 1996 (the “Telecommunications Act”), we are permitted to own up to eight radio stations in a single market. See “Federal Regulation of Radio Broadcasting”. We seek to acquire reasonably priced broadcast properties with significant growth potential that are located in markets with well-established and relatively stable economies. We often focus on local economies supported by a strong presence of state or federal government or one or more major universities. Future acquisitions will be subject to the availability of financing, the terms of our credit facility, and compliance with the Communications Act of 1934 (the “Communications Act”) and Federal Communications Commission (“FCC”)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Sales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Our primary source of revenue is from the sale of advertising for broadcast on our stations. Depending on the format of a particular radio station, there are a predetermined number of advertisements broadcast each hour. We determine the number of advertisements broadcast hourly that can maximize a station’s available revenue dollars without jeopardizing listening/viewing levels. While there may be shifts from time to time in the number of advertisements broadcast during a particular time of the day, the total number of advertisements broadcast on a particular station generally does not vary significantly from year to year. Any change in our revenue, with the exception of those instances where stations are acquired or sold, is generally the result of pricing adjustments, which are made to ensure that the station efficiently utilizes available inventory.</w:t>
      </w:r>
    </w:p>
    <w:p>
      <w:pPr>
        <w:spacing w:after="0" w:line="192"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Advertising rates charged by radio stations are based primarily on a station’s ability to attract audiences in the demographic groups targeted by advertisers, the number of stations in the market competing for the same demographic group, the supply of and demand for radio advertising time, and other qualitative factors including rates charged by competing radio stations within a given market. Radio rates are generally highest during morning and afternoon drive-time hours. Most advertising contracts are short-term, generally running for only a few weeks. This allows broadcasters the ability to modify advertising rates as dictated by changes in station ownership within a market, changes in listener/viewer ratings and changes in the business climate within a particular market.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Approximately $108,999,000 or 89% of our gross revenue for the year ended December 31, 2022 (approximately</w:t>
      </w:r>
    </w:p>
    <w:p>
      <w:pPr>
        <w:spacing w:after="0" w:line="3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$102,367,000 or 89% in fiscal 2021 and approximately $86,562,000 or 84% in fiscal 2020) was generated from the sale of local advertising. Additional revenue is generated from the sale of national advertising, network compensation payments, barter and other miscellaneous transactions. In all of our markets, we attempt to maintain a local sales force that is generally larger than our competitors. The principal goal in our sales efforts is to develop long-standing customer relationships through frequent direct contacts, which we believe represents a competitive advantage. We also typically provide incentives to our sales staff to seek out new opportunities resulting in the establishment of new client relationships, as well as new sources of revenue, not directly associated with the sale of broadcast time.</w:t>
      </w:r>
    </w:p>
    <w:p>
      <w:pPr>
        <w:spacing w:after="0" w:line="180"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Each of our stations also engages independent national sales representatives to assist us in obtaining national advertising revenues. These representatives obtain advertising through national advertising agencies and receive a commission from us based on our net revenue from the advertising obtained. Total gross revenue resulting from national advertising in fiscal 2022 was approximately $13,657,000 or 11% of our gross revenue (approximately $13,138,000 or 11% in fiscal 2021 and approximately $16,361,000 or 16% in fiscal 2020). Gross national political revenue is included in these numbers.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Radio broadcasting is a highly competitive business. Our stations compete for listeners and advertising revenues directly with other radio stations, as well as other media, within their markets. Our radio stations compete for listeners primarily on the basis of program content and by employing on-air talent which appeals to a particular demographic group. By building a strong listener base comprised of a specific demographic group in each of our markets, we are able to attract advertisers seeking to reach these listeners.</w:t>
      </w:r>
    </w:p>
    <w:p>
      <w:pPr>
        <w:spacing w:after="0" w:line="188"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Other media, including broadcast television and/or radio (as applicable), cable television, newspapers, magazines, direct mail, the Internet, coupons and billboard advertising, also compete with us for advertising revenues.</w:t>
      </w:r>
    </w:p>
    <w:p>
      <w:pPr>
        <w:spacing w:after="0" w:line="124"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The radio broadcasting industry is also subject to competition from new media technologies, such as the delivery of audio programming by cable and satellite television systems, satellite radio systems, direct reception from satellites, and streaming of audio on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Our revenue varies throughout the year. Advertising expenditures, our primary source of revenue, is generally lowest in the first quarter.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As the owner, lessee or operator of various real properties and facilities, we are subject to various federal, state and local environmental laws and regulations. Historically, compliance with these laws and regulations has not had a material adverse effect on our business. There can be no assurance, however, that compliance with existing or new environmental laws and regulations will not require us to make significant expenditures of funds.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Our key human capital management objectives are to attract, develop and retain top industry talent that reflects the diversity of the communities in which we broadcast. To support this goal, our human resources programs are designed to develop talent to prepare for key roles and leadership positions for the future; reward employees through competitive industry pay, benefits and other programs, instill our culture with a focus on ethical behavior and enhance our employees’ performance through investment in current technology, tools and training to enable our employees to operate at a high level.</w:t>
      </w:r>
    </w:p>
    <w:p>
      <w:pPr>
        <w:spacing w:after="0" w:line="192" w:lineRule="exact"/>
        <w:rPr>
          <w:sz w:val="20"/>
          <w:szCs w:val="20"/>
          <w:color w:val="auto"/>
        </w:rPr>
      </w:pPr>
    </w:p>
    <w:p>
      <w:pPr>
        <w:ind w:left="60" w:right="519" w:firstLine="324"/>
        <w:spacing w:after="0" w:line="308" w:lineRule="auto"/>
        <w:rPr>
          <w:sz w:val="20"/>
          <w:szCs w:val="20"/>
          <w:color w:val="auto"/>
        </w:rPr>
      </w:pPr>
      <w:r>
        <w:rPr>
          <w:rFonts w:ascii="Arial" w:cs="Arial" w:eastAsia="Arial" w:hAnsi="Arial"/>
          <w:sz w:val="17"/>
          <w:szCs w:val="17"/>
          <w:color w:val="auto"/>
        </w:rPr>
        <w:t>As of December 31, 2022, we had approximately 585 full-time employees and 225 part-time employees, none of whom are represented by unions. We believe that our relations with our employees are good.</w:t>
      </w:r>
    </w:p>
    <w:p>
      <w:pPr>
        <w:spacing w:after="0" w:line="146"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We employ several high-profile personalities with large loyal audiences in their respective markets. We have entered into employment and non-competition agreements with our President and with most of our on-air personalities, as well as non-competition agreements with our commissioned sales representatives.</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We are committed to hiring, developing and supporting a diverse and inclusive workplace. Our management teams are expected to exhibit and promote honest, ethical and respectful conduct in the workplace. All of our employees must adhere to a code of conduct that sets standards for appropriate ethical behavior.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You can find more information about us at our Internet website www.sagacom.com. Our Annual Report on Form 10-K, our Quarterly Reports on Form 10-Q, our Current Reports on Form 8-K and any amendments to those reports are available free of charge on our Internet website as soon as reasonably practicable after we electronically file such material with, or furnish it to, the Securities and Exchange Commission (the “SEC”).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Federal Regulation of Radio Broadcasting</w:t>
      </w:r>
    </w:p>
    <w:p>
      <w:pPr>
        <w:spacing w:after="0" w:line="229"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b w:val="1"/>
          <w:bCs w:val="1"/>
          <w:i w:val="1"/>
          <w:iCs w:val="1"/>
          <w:color w:val="auto"/>
        </w:rPr>
        <w:t xml:space="preserve">Introduction. </w:t>
      </w:r>
      <w:r>
        <w:rPr>
          <w:rFonts w:ascii="Arial" w:cs="Arial" w:eastAsia="Arial" w:hAnsi="Arial"/>
          <w:sz w:val="17"/>
          <w:szCs w:val="17"/>
          <w:color w:val="auto"/>
        </w:rPr>
        <w:t>The ownership, operation and sale of radio stations, including those licensed to us, are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 of the FCC, which acts under authority granted by the Communications Act. Among other things, the FCC assigns frequency bands for broadcasting; determines the particular frequencies, locations and operating power of stations; issues, renews, revokes and modifies station licenses; determines whether to approve changes in ownership or control of station licenses; regulates equipment used by stations; adopts and implements regulations and policies that directly or indirectly affect the ownership, operation and employment practices of stations; and has the power to impose penalties for violations of its rules or the Communications Act. For additional information on the impact of FCC regulations and the introduction of new technologies on our operations, see “Forward Looking Statements” and “Risk Factors” contained elsewhere in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The following is a brief summary of certain provisions of the Communications Act and of specific FCC regulations and policies. Reference should be made to the Communications Act, FCC rules (Title 47 Code of Federal Regulation, Chapter I, Subchapters A and C) and the public notices and rulings of the FCC for further information concerning the nature and extent of federal regulation of broadcast stations.</w:t>
      </w:r>
    </w:p>
    <w:p>
      <w:pPr>
        <w:spacing w:after="0" w:line="187"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b w:val="1"/>
          <w:bCs w:val="1"/>
          <w:i w:val="1"/>
          <w:iCs w:val="1"/>
          <w:color w:val="auto"/>
        </w:rPr>
        <w:t xml:space="preserve">License Renewal. </w:t>
      </w:r>
      <w:r>
        <w:rPr>
          <w:rFonts w:ascii="Arial" w:cs="Arial" w:eastAsia="Arial" w:hAnsi="Arial"/>
          <w:sz w:val="16"/>
          <w:szCs w:val="16"/>
          <w:color w:val="auto"/>
        </w:rPr>
        <w:t>Radio broadcasting licenses are granted for maximum terms of eight years, and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renewal upon application to the FCC. Under its “two-step” renewal process, the FCC must grant a renewal application if it finds that during the preceding term the licensee has served the public interest, convenience and necessity, and there have been no serious violations of the Communications Act or the FCC’s rules which, taken together, would constitute a pattern of abuse. If a renewal applicant fails to meet these standards, the FCC may either deny its application or grant the application on such terms and conditions as are appropriate, including renewal for less than the full 8-year term. In making the determination of whether to renew the license, the FCC may not consider whether the public interest would be served by the grant of a license to a person other than the renewal applicant. If the FCC, after notice and opportunity for a hearing, finds that the licensee has failed to meet the requirements for renewal and no mitigating factors justify the imposition of lesser sanctions, the FCC may issue an order denying the renewal application, and only thereafter may the FCC accept applications for a construction permit specifying the broadcasting facilities of the former licensee. Petitions may be filed to deny the renewal applications of our stations, but any such petitions must raise issues that would cause the FCC to deny a renewal application under the standards adopted in the “two-step” renewal process. Failure to renew a license could have a material adverse effect on the Company’s business. Radio station licenses generally expire along with the licenses of all other radio stations in a given state. The FCC accepts renewal applications for various groups of radio stations every two months. The last cycle having begun in June 2019, concluded for the Company’s stations in June 2022. All the Company’s renewal applications were routinely granted by the FCC. In January 2018 and again in February 2022, the FCC designated the renewal applications of radio stations (not the Company’s) for hearing based on the stations’ records of extended periods of silence during and following their respective license renewal terms. Under the Communications Act, if a broadcast station fails to transmit signals for any consecutive 12-month period, the FCC license expires at the end of that period, unless the FCC exercises its discretion to extend or reinstate the license “to promote equity and fairness.” The FCC, to date, has rarely exercised such discretion. Further, the FCC has revoked the licenses of broadcast stations that failed to pay regulatory fees. The Company is current in the payment of regulatory fees to the FCC.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The following table sets forth information about our radio stations, including the markets they serve, their format, and the FCC class of each of the broadcast stations that we own or operate with an attributable interest and the date on which each such station’s FCC license expires: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ind w:left="740"/>
              <w:spacing w:after="0"/>
              <w:rPr>
                <w:sz w:val="20"/>
                <w:szCs w:val="20"/>
                <w:color w:val="auto"/>
              </w:rPr>
            </w:pPr>
            <w:r>
              <w:rPr>
                <w:rFonts w:ascii="Arial" w:cs="Arial" w:eastAsia="Arial" w:hAnsi="Arial"/>
                <w:sz w:val="18"/>
                <w:szCs w:val="18"/>
                <w:b w:val="1"/>
                <w:bCs w:val="1"/>
                <w:color w:val="auto"/>
              </w:rPr>
              <w:t>Station</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FCC Station</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Expiration Date of</w:t>
            </w:r>
          </w:p>
        </w:tc>
      </w:tr>
      <w:tr>
        <w:trPr>
          <w:trHeight w:val="234"/>
        </w:trPr>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Station</w:t>
            </w:r>
          </w:p>
        </w:tc>
        <w:tc>
          <w:tcPr>
            <w:tcW w:w="160" w:type="dxa"/>
            <w:vAlign w:val="bottom"/>
          </w:tcPr>
          <w:p>
            <w:pPr>
              <w:spacing w:after="0"/>
              <w:rPr>
                <w:sz w:val="20"/>
                <w:szCs w:val="20"/>
                <w:color w:val="auto"/>
              </w:rPr>
            </w:pPr>
          </w:p>
        </w:tc>
        <w:tc>
          <w:tcPr>
            <w:tcW w:w="25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Market (1)</w:t>
            </w:r>
          </w:p>
        </w:tc>
        <w:tc>
          <w:tcPr>
            <w:tcW w:w="160" w:type="dxa"/>
            <w:vAlign w:val="bottom"/>
          </w:tcPr>
          <w:p>
            <w:pPr>
              <w:spacing w:after="0"/>
              <w:rPr>
                <w:sz w:val="20"/>
                <w:szCs w:val="20"/>
                <w:color w:val="auto"/>
              </w:rPr>
            </w:pPr>
          </w:p>
        </w:tc>
        <w:tc>
          <w:tcPr>
            <w:tcW w:w="20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Format</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Class (2)</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FCC Authorization</w:t>
            </w:r>
          </w:p>
        </w:tc>
        <w:tc>
          <w:tcPr>
            <w:tcW w:w="180" w:type="dxa"/>
            <w:vAlign w:val="bottom"/>
          </w:tcPr>
          <w:p>
            <w:pPr>
              <w:spacing w:after="0"/>
              <w:rPr>
                <w:sz w:val="20"/>
                <w:szCs w:val="20"/>
                <w:color w:val="auto"/>
              </w:rPr>
            </w:pPr>
          </w:p>
        </w:tc>
      </w:tr>
      <w:tr>
        <w:trPr>
          <w:trHeight w:val="42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FM:</w:t>
            </w: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WOXL</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Asheville, NC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C2</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WTMT</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Asheville, NC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C2</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KISM</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Bellingham, WA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February 1, 2030</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KAFE</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Bellingham, WA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February 1, 2030</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WRSY</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Brattleboro, VT</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Album Alternative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April 1, 2030</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WKVT</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Brattleboro, VT</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April 1, 2030</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WQEL</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Bucyrus,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WLRW</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Champaign, IL</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WIXY</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Champaign, IL</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WREE</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Champaign, IL</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B1</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WYXY</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Champaign, IL</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WAVF</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Charleston,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Variety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WCKN</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Charleston,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WMXZ</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Charleston,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C2</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WXST</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Charleston,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Urban 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WWWV</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WQMZ</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WCNR</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Album Alternative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WCVL</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Charlottesville,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WCVQ</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August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WZZP</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WVVR</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C0</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August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WRND</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Clarksville, TN/Hopkinsville, KY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WSNY</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WNNP</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WNND</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WVMX</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WLVQ</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Columbus, OH</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2028</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KSTZ</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 Moines, IA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Hot 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February 1, 2029</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KIOA</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Des Moines, IA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February 1, 2029</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KAZR</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 Moines, IA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February 1, 2029</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KOEZ</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Des Moines, IA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Soft 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C1</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February 1, 2029</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WHAI</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Greenfield, MA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April 1, 2030</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WPVQ</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Greenfield, MA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April 1, 2030</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WMQR</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Harrisonburg,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WQPO</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Harrisonburg,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Contemporary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WSIG</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Harrisonburg, VA</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Classic 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WWRE</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Harrisonburg, VA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Hits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WOEZ</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 Adult Contemporary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WLHH</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C3</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WVSC</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Hilton Head Island, SC</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Adult Variety Hits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C3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December 1, 2027</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WYXL</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Ithaca, NY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Adult Contemporary</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June 1, 2030</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WQNY</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Ithaca, NY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Country</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June 1, 2030</w:t>
            </w:r>
          </w:p>
        </w:tc>
      </w:tr>
      <w:tr>
        <w:trPr>
          <w:trHeight w:val="21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WIII</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Ithaca, NY</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Classic Rock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June 1, 2030</w:t>
            </w: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WFIZ</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Ithaca, NY</w:t>
            </w: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Contemporary Hits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June 1, 2030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ind w:left="740"/>
              <w:spacing w:after="0"/>
              <w:rPr>
                <w:sz w:val="20"/>
                <w:szCs w:val="20"/>
                <w:color w:val="auto"/>
              </w:rPr>
            </w:pPr>
            <w:r>
              <w:rPr>
                <w:rFonts w:ascii="Arial" w:cs="Arial" w:eastAsia="Arial" w:hAnsi="Arial"/>
                <w:sz w:val="18"/>
                <w:szCs w:val="18"/>
                <w:b w:val="1"/>
                <w:bCs w:val="1"/>
                <w:color w:val="auto"/>
              </w:rPr>
              <w:t>Station</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FCC Station</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Expiration Date of</w:t>
            </w:r>
          </w:p>
        </w:tc>
      </w:tr>
      <w:tr>
        <w:trPr>
          <w:trHeight w:val="234"/>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Station</w:t>
            </w:r>
          </w:p>
        </w:tc>
        <w:tc>
          <w:tcPr>
            <w:tcW w:w="2580" w:type="dxa"/>
            <w:vAlign w:val="bottom"/>
            <w:gridSpan w:val="2"/>
          </w:tcPr>
          <w:p>
            <w:pPr>
              <w:ind w:left="820"/>
              <w:spacing w:after="0"/>
              <w:rPr>
                <w:sz w:val="20"/>
                <w:szCs w:val="20"/>
                <w:color w:val="auto"/>
              </w:rPr>
            </w:pPr>
            <w:r>
              <w:rPr>
                <w:rFonts w:ascii="Arial" w:cs="Arial" w:eastAsia="Arial" w:hAnsi="Arial"/>
                <w:sz w:val="18"/>
                <w:szCs w:val="18"/>
                <w:b w:val="1"/>
                <w:bCs w:val="1"/>
                <w:color w:val="auto"/>
              </w:rPr>
              <w:t>Market (1)</w:t>
            </w:r>
          </w:p>
        </w:tc>
        <w:tc>
          <w:tcPr>
            <w:tcW w:w="2140" w:type="dxa"/>
            <w:vAlign w:val="bottom"/>
            <w:gridSpan w:val="2"/>
          </w:tcPr>
          <w:p>
            <w:pPr>
              <w:ind w:left="720"/>
              <w:spacing w:after="0"/>
              <w:rPr>
                <w:sz w:val="20"/>
                <w:szCs w:val="20"/>
                <w:color w:val="auto"/>
              </w:rPr>
            </w:pPr>
            <w:r>
              <w:rPr>
                <w:rFonts w:ascii="Arial" w:cs="Arial" w:eastAsia="Arial" w:hAnsi="Arial"/>
                <w:sz w:val="18"/>
                <w:szCs w:val="18"/>
                <w:b w:val="1"/>
                <w:bCs w:val="1"/>
                <w:color w:val="auto"/>
              </w:rPr>
              <w:t>Format</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Class (2)</w:t>
            </w: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8"/>
              </w:rPr>
              <w:t>FCC Authorization</w:t>
            </w:r>
          </w:p>
        </w:tc>
      </w:tr>
      <w:tr>
        <w:trPr>
          <w:trHeight w:val="209"/>
        </w:trPr>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KEGI</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Jonesboro, AR</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Classic Rock</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C2</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 2028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KDXY</w:t>
            </w:r>
          </w:p>
        </w:tc>
        <w:tc>
          <w:tcPr>
            <w:tcW w:w="2580" w:type="dxa"/>
            <w:vAlign w:val="bottom"/>
            <w:gridSpan w:val="2"/>
          </w:tcPr>
          <w:p>
            <w:pPr>
              <w:spacing w:after="0"/>
              <w:rPr>
                <w:sz w:val="20"/>
                <w:szCs w:val="20"/>
                <w:color w:val="auto"/>
              </w:rPr>
            </w:pPr>
            <w:r>
              <w:rPr>
                <w:rFonts w:ascii="Arial" w:cs="Arial" w:eastAsia="Arial" w:hAnsi="Arial"/>
                <w:sz w:val="18"/>
                <w:szCs w:val="18"/>
                <w:color w:val="auto"/>
              </w:rPr>
              <w:t>Jonesboro, AR</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KJBX</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Jonesboro, AR</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 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WKNE</w:t>
            </w:r>
          </w:p>
        </w:tc>
        <w:tc>
          <w:tcPr>
            <w:tcW w:w="258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tcPr>
          <w:p>
            <w:pPr>
              <w:spacing w:after="0"/>
              <w:rPr>
                <w:sz w:val="20"/>
                <w:szCs w:val="20"/>
                <w:color w:val="auto"/>
              </w:rPr>
            </w:pPr>
            <w:r>
              <w:rPr>
                <w:rFonts w:ascii="Arial" w:cs="Arial" w:eastAsia="Arial" w:hAnsi="Arial"/>
                <w:sz w:val="18"/>
                <w:szCs w:val="18"/>
                <w:color w:val="auto"/>
              </w:rPr>
              <w:t>Hot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WSNI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WINQ</w:t>
            </w:r>
          </w:p>
        </w:tc>
        <w:tc>
          <w:tcPr>
            <w:tcW w:w="258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WZID</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Manchester, NH</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WMLL</w:t>
            </w:r>
          </w:p>
        </w:tc>
        <w:tc>
          <w:tcPr>
            <w:tcW w:w="2580" w:type="dxa"/>
            <w:vAlign w:val="bottom"/>
            <w:gridSpan w:val="2"/>
          </w:tcPr>
          <w:p>
            <w:pPr>
              <w:spacing w:after="0"/>
              <w:rPr>
                <w:sz w:val="20"/>
                <w:szCs w:val="20"/>
                <w:color w:val="auto"/>
              </w:rPr>
            </w:pPr>
            <w:r>
              <w:rPr>
                <w:rFonts w:ascii="Arial" w:cs="Arial" w:eastAsia="Arial" w:hAnsi="Arial"/>
                <w:sz w:val="18"/>
                <w:szCs w:val="18"/>
                <w:color w:val="auto"/>
              </w:rPr>
              <w:t>Manchester, NH</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WKLH</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WHQG</w:t>
            </w:r>
          </w:p>
        </w:tc>
        <w:tc>
          <w:tcPr>
            <w:tcW w:w="258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tcPr>
          <w:p>
            <w:pPr>
              <w:spacing w:after="0"/>
              <w:rPr>
                <w:sz w:val="20"/>
                <w:szCs w:val="20"/>
                <w:color w:val="auto"/>
              </w:rPr>
            </w:pPr>
            <w:r>
              <w:rPr>
                <w:rFonts w:ascii="Arial" w:cs="Arial" w:eastAsia="Arial" w:hAnsi="Arial"/>
                <w:sz w:val="18"/>
                <w:szCs w:val="18"/>
                <w:color w:val="auto"/>
              </w:rPr>
              <w:t>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WRXS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WJMR</w:t>
            </w:r>
          </w:p>
        </w:tc>
        <w:tc>
          <w:tcPr>
            <w:tcW w:w="258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140" w:type="dxa"/>
            <w:vAlign w:val="bottom"/>
            <w:gridSpan w:val="2"/>
          </w:tcPr>
          <w:p>
            <w:pPr>
              <w:spacing w:after="0"/>
              <w:rPr>
                <w:sz w:val="20"/>
                <w:szCs w:val="20"/>
                <w:color w:val="auto"/>
              </w:rPr>
            </w:pPr>
            <w:r>
              <w:rPr>
                <w:rFonts w:ascii="Arial" w:cs="Arial" w:eastAsia="Arial" w:hAnsi="Arial"/>
                <w:sz w:val="18"/>
                <w:szCs w:val="18"/>
                <w:color w:val="auto"/>
                <w:w w:val="99"/>
              </w:rPr>
              <w:t>Urban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KMIT</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SD</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2029</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KUQL</w:t>
            </w:r>
          </w:p>
        </w:tc>
        <w:tc>
          <w:tcPr>
            <w:tcW w:w="2580" w:type="dxa"/>
            <w:vAlign w:val="bottom"/>
            <w:gridSpan w:val="2"/>
          </w:tcPr>
          <w:p>
            <w:pPr>
              <w:spacing w:after="0"/>
              <w:rPr>
                <w:sz w:val="20"/>
                <w:szCs w:val="20"/>
                <w:color w:val="auto"/>
              </w:rPr>
            </w:pPr>
            <w:r>
              <w:rPr>
                <w:rFonts w:ascii="Arial" w:cs="Arial" w:eastAsia="Arial" w:hAnsi="Arial"/>
                <w:sz w:val="18"/>
                <w:szCs w:val="18"/>
                <w:color w:val="auto"/>
              </w:rPr>
              <w:t>Mitchell, SD</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Hits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2029</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WNOR</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 2027</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WAFX</w:t>
            </w:r>
          </w:p>
        </w:tc>
        <w:tc>
          <w:tcPr>
            <w:tcW w:w="2580" w:type="dxa"/>
            <w:vAlign w:val="bottom"/>
            <w:gridSpan w:val="2"/>
          </w:tcPr>
          <w:p>
            <w:pPr>
              <w:spacing w:after="0"/>
              <w:rPr>
                <w:sz w:val="20"/>
                <w:szCs w:val="20"/>
                <w:color w:val="auto"/>
              </w:rPr>
            </w:pPr>
            <w:r>
              <w:rPr>
                <w:rFonts w:ascii="Arial" w:cs="Arial" w:eastAsia="Arial" w:hAnsi="Arial"/>
                <w:sz w:val="18"/>
                <w:szCs w:val="18"/>
                <w:color w:val="auto"/>
              </w:rPr>
              <w:t>Norfolk, VA</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 2027</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WOGK</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WYND</w:t>
            </w:r>
          </w:p>
        </w:tc>
        <w:tc>
          <w:tcPr>
            <w:tcW w:w="2580" w:type="dxa"/>
            <w:vAlign w:val="bottom"/>
            <w:gridSpan w:val="2"/>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WNDD</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WNDN</w:t>
            </w:r>
          </w:p>
        </w:tc>
        <w:tc>
          <w:tcPr>
            <w:tcW w:w="2580" w:type="dxa"/>
            <w:vAlign w:val="bottom"/>
            <w:gridSpan w:val="2"/>
          </w:tcPr>
          <w:p>
            <w:pPr>
              <w:spacing w:after="0"/>
              <w:rPr>
                <w:sz w:val="20"/>
                <w:szCs w:val="20"/>
                <w:color w:val="auto"/>
              </w:rPr>
            </w:pPr>
            <w:r>
              <w:rPr>
                <w:rFonts w:ascii="Arial" w:cs="Arial" w:eastAsia="Arial" w:hAnsi="Arial"/>
                <w:sz w:val="18"/>
                <w:szCs w:val="18"/>
                <w:color w:val="auto"/>
              </w:rPr>
              <w:t>Ocala, FL</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WRSI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Northampton, MA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Adult Album Alternative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WPOR</w:t>
            </w:r>
          </w:p>
        </w:tc>
        <w:tc>
          <w:tcPr>
            <w:tcW w:w="258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WCLZ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Adult Album Alternative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WMGX</w:t>
            </w:r>
          </w:p>
        </w:tc>
        <w:tc>
          <w:tcPr>
            <w:tcW w:w="258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tcPr>
          <w:p>
            <w:pPr>
              <w:spacing w:after="0"/>
              <w:rPr>
                <w:sz w:val="20"/>
                <w:szCs w:val="20"/>
                <w:color w:val="auto"/>
              </w:rPr>
            </w:pPr>
            <w:r>
              <w:rPr>
                <w:rFonts w:ascii="Arial" w:cs="Arial" w:eastAsia="Arial" w:hAnsi="Arial"/>
                <w:sz w:val="18"/>
                <w:szCs w:val="18"/>
                <w:color w:val="auto"/>
              </w:rPr>
              <w:t>Hot Adult Contemporary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WYNZ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Hits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KICD</w:t>
            </w:r>
          </w:p>
        </w:tc>
        <w:tc>
          <w:tcPr>
            <w:tcW w:w="2580" w:type="dxa"/>
            <w:vAlign w:val="bottom"/>
            <w:gridSpan w:val="2"/>
          </w:tcPr>
          <w:p>
            <w:pPr>
              <w:spacing w:after="0"/>
              <w:rPr>
                <w:sz w:val="20"/>
                <w:szCs w:val="20"/>
                <w:color w:val="auto"/>
              </w:rPr>
            </w:pPr>
            <w:r>
              <w:rPr>
                <w:rFonts w:ascii="Arial" w:cs="Arial" w:eastAsia="Arial" w:hAnsi="Arial"/>
                <w:sz w:val="18"/>
                <w:szCs w:val="18"/>
                <w:color w:val="auto"/>
              </w:rPr>
              <w:t>Spencer, IA</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 2029</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KMRR</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IA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2029</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WLZX</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MA</w:t>
            </w:r>
          </w:p>
        </w:tc>
        <w:tc>
          <w:tcPr>
            <w:tcW w:w="2140" w:type="dxa"/>
            <w:vAlign w:val="bottom"/>
            <w:gridSpan w:val="2"/>
          </w:tcPr>
          <w:p>
            <w:pPr>
              <w:spacing w:after="0"/>
              <w:rPr>
                <w:sz w:val="20"/>
                <w:szCs w:val="20"/>
                <w:color w:val="auto"/>
              </w:rPr>
            </w:pPr>
            <w:r>
              <w:rPr>
                <w:rFonts w:ascii="Arial" w:cs="Arial" w:eastAsia="Arial" w:hAnsi="Arial"/>
                <w:sz w:val="18"/>
                <w:szCs w:val="18"/>
                <w:color w:val="auto"/>
              </w:rPr>
              <w:t>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A</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WAQY</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MA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WYMG</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tcPr>
          <w:p>
            <w:pPr>
              <w:spacing w:after="0"/>
              <w:rPr>
                <w:sz w:val="20"/>
                <w:szCs w:val="20"/>
                <w:color w:val="auto"/>
              </w:rPr>
            </w:pPr>
            <w:r>
              <w:rPr>
                <w:rFonts w:ascii="Arial" w:cs="Arial" w:eastAsia="Arial" w:hAnsi="Arial"/>
                <w:sz w:val="18"/>
                <w:szCs w:val="18"/>
                <w:color w:val="auto"/>
              </w:rPr>
              <w:t>Classic Rock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WLFZ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WDBR</w:t>
            </w:r>
          </w:p>
        </w:tc>
        <w:tc>
          <w:tcPr>
            <w:tcW w:w="258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tcPr>
          <w:p>
            <w:pPr>
              <w:spacing w:after="0"/>
              <w:rPr>
                <w:sz w:val="20"/>
                <w:szCs w:val="20"/>
                <w:color w:val="auto"/>
              </w:rPr>
            </w:pPr>
            <w:r>
              <w:rPr>
                <w:rFonts w:ascii="Arial" w:cs="Arial" w:eastAsia="Arial" w:hAnsi="Arial"/>
                <w:sz w:val="18"/>
                <w:szCs w:val="18"/>
                <w:color w:val="auto"/>
              </w:rPr>
              <w:t>Contemporary Hits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WTAX</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IL</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December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WNAX</w:t>
            </w:r>
          </w:p>
        </w:tc>
        <w:tc>
          <w:tcPr>
            <w:tcW w:w="2580" w:type="dxa"/>
            <w:vAlign w:val="bottom"/>
            <w:gridSpan w:val="2"/>
          </w:tcPr>
          <w:p>
            <w:pPr>
              <w:spacing w:after="0"/>
              <w:rPr>
                <w:sz w:val="20"/>
                <w:szCs w:val="20"/>
                <w:color w:val="auto"/>
              </w:rPr>
            </w:pPr>
            <w:r>
              <w:rPr>
                <w:rFonts w:ascii="Arial" w:cs="Arial" w:eastAsia="Arial" w:hAnsi="Arial"/>
                <w:sz w:val="18"/>
                <w:szCs w:val="18"/>
                <w:color w:val="auto"/>
              </w:rPr>
              <w:t>Yankton, SD</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2029</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AM:</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WISE</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Asheville, NC</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December 1, 2027</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WYSE</w:t>
            </w:r>
          </w:p>
        </w:tc>
        <w:tc>
          <w:tcPr>
            <w:tcW w:w="2580" w:type="dxa"/>
            <w:vAlign w:val="bottom"/>
            <w:gridSpan w:val="2"/>
          </w:tcPr>
          <w:p>
            <w:pPr>
              <w:spacing w:after="0"/>
              <w:rPr>
                <w:sz w:val="20"/>
                <w:szCs w:val="20"/>
                <w:color w:val="auto"/>
              </w:rPr>
            </w:pPr>
            <w:r>
              <w:rPr>
                <w:rFonts w:ascii="Arial" w:cs="Arial" w:eastAsia="Arial" w:hAnsi="Arial"/>
                <w:sz w:val="18"/>
                <w:szCs w:val="18"/>
                <w:color w:val="auto"/>
              </w:rPr>
              <w:t>Asheville, NC</w:t>
            </w:r>
          </w:p>
        </w:tc>
        <w:tc>
          <w:tcPr>
            <w:tcW w:w="21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2027</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KGMI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KPUG</w:t>
            </w:r>
          </w:p>
        </w:tc>
        <w:tc>
          <w:tcPr>
            <w:tcW w:w="2580" w:type="dxa"/>
            <w:vAlign w:val="bottom"/>
            <w:gridSpan w:val="2"/>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KBAI</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Bellingham, WA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Hits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2030</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WINQ</w:t>
            </w:r>
          </w:p>
        </w:tc>
        <w:tc>
          <w:tcPr>
            <w:tcW w:w="2580" w:type="dxa"/>
            <w:vAlign w:val="bottom"/>
            <w:gridSpan w:val="2"/>
          </w:tcPr>
          <w:p>
            <w:pPr>
              <w:spacing w:after="0"/>
              <w:rPr>
                <w:sz w:val="20"/>
                <w:szCs w:val="20"/>
                <w:color w:val="auto"/>
              </w:rPr>
            </w:pPr>
            <w:r>
              <w:rPr>
                <w:rFonts w:ascii="Arial" w:cs="Arial" w:eastAsia="Arial" w:hAnsi="Arial"/>
                <w:sz w:val="18"/>
                <w:szCs w:val="18"/>
                <w:color w:val="auto"/>
              </w:rPr>
              <w:t>Brattleboro, VT</w:t>
            </w:r>
          </w:p>
        </w:tc>
        <w:tc>
          <w:tcPr>
            <w:tcW w:w="214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2030</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WBCO</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Bucyrus, OH</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Country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D</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WSPO</w:t>
            </w:r>
          </w:p>
        </w:tc>
        <w:tc>
          <w:tcPr>
            <w:tcW w:w="2580" w:type="dxa"/>
            <w:vAlign w:val="bottom"/>
            <w:gridSpan w:val="2"/>
          </w:tcPr>
          <w:p>
            <w:pPr>
              <w:spacing w:after="0"/>
              <w:rPr>
                <w:sz w:val="20"/>
                <w:szCs w:val="20"/>
                <w:color w:val="auto"/>
              </w:rPr>
            </w:pPr>
            <w:r>
              <w:rPr>
                <w:rFonts w:ascii="Arial" w:cs="Arial" w:eastAsia="Arial" w:hAnsi="Arial"/>
                <w:sz w:val="18"/>
                <w:szCs w:val="18"/>
                <w:color w:val="auto"/>
              </w:rPr>
              <w:t>Charleston, SC</w:t>
            </w:r>
          </w:p>
        </w:tc>
        <w:tc>
          <w:tcPr>
            <w:tcW w:w="2140" w:type="dxa"/>
            <w:vAlign w:val="bottom"/>
            <w:gridSpan w:val="2"/>
          </w:tcPr>
          <w:p>
            <w:pPr>
              <w:spacing w:after="0"/>
              <w:rPr>
                <w:sz w:val="20"/>
                <w:szCs w:val="20"/>
                <w:color w:val="auto"/>
              </w:rPr>
            </w:pPr>
            <w:r>
              <w:rPr>
                <w:rFonts w:ascii="Arial" w:cs="Arial" w:eastAsia="Arial" w:hAnsi="Arial"/>
                <w:sz w:val="18"/>
                <w:szCs w:val="18"/>
                <w:color w:val="auto"/>
              </w:rPr>
              <w:t>Gospel</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December 1, 2027</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WINA</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 2027</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WVAX</w:t>
            </w:r>
          </w:p>
        </w:tc>
        <w:tc>
          <w:tcPr>
            <w:tcW w:w="2580" w:type="dxa"/>
            <w:vAlign w:val="bottom"/>
            <w:gridSpan w:val="2"/>
          </w:tcPr>
          <w:p>
            <w:pPr>
              <w:spacing w:after="0"/>
              <w:rPr>
                <w:sz w:val="20"/>
                <w:szCs w:val="20"/>
                <w:color w:val="auto"/>
              </w:rPr>
            </w:pPr>
            <w:r>
              <w:rPr>
                <w:rFonts w:ascii="Arial" w:cs="Arial" w:eastAsia="Arial" w:hAnsi="Arial"/>
                <w:sz w:val="18"/>
                <w:szCs w:val="18"/>
                <w:color w:val="auto"/>
              </w:rPr>
              <w:t>Charlottesville, VA</w:t>
            </w:r>
          </w:p>
        </w:tc>
        <w:tc>
          <w:tcPr>
            <w:tcW w:w="21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C</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 2027</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WQEZ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TN/Hopkinsville, KY</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 Adult Contemporary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D</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WKFN</w:t>
            </w:r>
          </w:p>
        </w:tc>
        <w:tc>
          <w:tcPr>
            <w:tcW w:w="2580" w:type="dxa"/>
            <w:vAlign w:val="bottom"/>
            <w:gridSpan w:val="2"/>
          </w:tcPr>
          <w:p>
            <w:pPr>
              <w:spacing w:after="0"/>
              <w:rPr>
                <w:sz w:val="20"/>
                <w:szCs w:val="20"/>
                <w:color w:val="auto"/>
              </w:rPr>
            </w:pPr>
            <w:r>
              <w:rPr>
                <w:rFonts w:ascii="Arial" w:cs="Arial" w:eastAsia="Arial" w:hAnsi="Arial"/>
                <w:sz w:val="18"/>
                <w:szCs w:val="18"/>
                <w:color w:val="auto"/>
              </w:rPr>
              <w:t>Clarksville, TN</w:t>
            </w:r>
          </w:p>
        </w:tc>
        <w:tc>
          <w:tcPr>
            <w:tcW w:w="21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August 1, 2028</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WNZE</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Clarksville, TN</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1, 2028</w:t>
            </w:r>
          </w:p>
        </w:tc>
      </w:tr>
      <w:tr>
        <w:trPr>
          <w:trHeight w:val="216"/>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KRNT</w:t>
            </w:r>
          </w:p>
        </w:tc>
        <w:tc>
          <w:tcPr>
            <w:tcW w:w="2580" w:type="dxa"/>
            <w:vAlign w:val="bottom"/>
            <w:gridSpan w:val="2"/>
          </w:tcPr>
          <w:p>
            <w:pPr>
              <w:spacing w:after="0"/>
              <w:rPr>
                <w:sz w:val="20"/>
                <w:szCs w:val="20"/>
                <w:color w:val="auto"/>
              </w:rPr>
            </w:pPr>
            <w:r>
              <w:rPr>
                <w:rFonts w:ascii="Arial" w:cs="Arial" w:eastAsia="Arial" w:hAnsi="Arial"/>
                <w:sz w:val="18"/>
                <w:szCs w:val="18"/>
                <w:color w:val="auto"/>
              </w:rPr>
              <w:t>Des Moines, IA</w:t>
            </w:r>
          </w:p>
        </w:tc>
        <w:tc>
          <w:tcPr>
            <w:tcW w:w="21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 2029</w:t>
            </w:r>
          </w:p>
        </w:tc>
      </w:tr>
      <w:tr>
        <w:trPr>
          <w:trHeight w:val="216"/>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KPSZ</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IA</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2029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Station</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FCC Station</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Expiration Date of</w:t>
            </w:r>
          </w:p>
        </w:tc>
      </w:tr>
      <w:tr>
        <w:trPr>
          <w:trHeight w:val="234"/>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Station</w:t>
            </w:r>
          </w:p>
        </w:tc>
        <w:tc>
          <w:tcPr>
            <w:tcW w:w="2420" w:type="dxa"/>
            <w:vAlign w:val="bottom"/>
            <w:gridSpan w:val="2"/>
          </w:tcPr>
          <w:p>
            <w:pPr>
              <w:ind w:left="700"/>
              <w:spacing w:after="0"/>
              <w:rPr>
                <w:sz w:val="20"/>
                <w:szCs w:val="20"/>
                <w:color w:val="auto"/>
              </w:rPr>
            </w:pPr>
            <w:r>
              <w:rPr>
                <w:rFonts w:ascii="Arial" w:cs="Arial" w:eastAsia="Arial" w:hAnsi="Arial"/>
                <w:sz w:val="18"/>
                <w:szCs w:val="18"/>
                <w:b w:val="1"/>
                <w:bCs w:val="1"/>
                <w:color w:val="auto"/>
              </w:rPr>
              <w:t>Market (1)</w:t>
            </w:r>
          </w:p>
        </w:tc>
        <w:tc>
          <w:tcPr>
            <w:tcW w:w="204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Format</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Class (2)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FCC Authorization</w:t>
            </w:r>
          </w:p>
        </w:tc>
      </w:tr>
      <w:tr>
        <w:trPr>
          <w:trHeight w:val="210"/>
        </w:trPr>
        <w:tc>
          <w:tcPr>
            <w:tcW w:w="1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WHMQ</w:t>
            </w: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Greenfield, MA</w:t>
            </w:r>
          </w:p>
        </w:tc>
        <w:tc>
          <w:tcPr>
            <w:tcW w:w="1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News/Talk</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1, 2030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WIZZ</w:t>
            </w:r>
          </w:p>
        </w:tc>
        <w:tc>
          <w:tcPr>
            <w:tcW w:w="2420" w:type="dxa"/>
            <w:vAlign w:val="bottom"/>
            <w:gridSpan w:val="2"/>
          </w:tcPr>
          <w:p>
            <w:pPr>
              <w:spacing w:after="0"/>
              <w:rPr>
                <w:sz w:val="20"/>
                <w:szCs w:val="20"/>
                <w:color w:val="auto"/>
              </w:rPr>
            </w:pPr>
            <w:r>
              <w:rPr>
                <w:rFonts w:ascii="Arial" w:cs="Arial" w:eastAsia="Arial" w:hAnsi="Arial"/>
                <w:sz w:val="18"/>
                <w:szCs w:val="18"/>
                <w:color w:val="auto"/>
              </w:rPr>
              <w:t>Greenfield, MA</w:t>
            </w:r>
          </w:p>
        </w:tc>
        <w:tc>
          <w:tcPr>
            <w:tcW w:w="2040" w:type="dxa"/>
            <w:vAlign w:val="bottom"/>
            <w:gridSpan w:val="2"/>
          </w:tcPr>
          <w:p>
            <w:pPr>
              <w:spacing w:after="0"/>
              <w:rPr>
                <w:sz w:val="20"/>
                <w:szCs w:val="20"/>
                <w:color w:val="auto"/>
              </w:rPr>
            </w:pPr>
            <w:r>
              <w:rPr>
                <w:rFonts w:ascii="Arial" w:cs="Arial" w:eastAsia="Arial" w:hAnsi="Arial"/>
                <w:sz w:val="18"/>
                <w:szCs w:val="18"/>
                <w:color w:val="auto"/>
              </w:rPr>
              <w:t>Oldies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WSVA</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Harrisonburg, VA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1, 2027</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WHBG</w:t>
            </w:r>
          </w:p>
        </w:tc>
        <w:tc>
          <w:tcPr>
            <w:tcW w:w="2420" w:type="dxa"/>
            <w:vAlign w:val="bottom"/>
            <w:gridSpan w:val="2"/>
          </w:tcPr>
          <w:p>
            <w:pPr>
              <w:spacing w:after="0"/>
              <w:rPr>
                <w:sz w:val="20"/>
                <w:szCs w:val="20"/>
                <w:color w:val="auto"/>
              </w:rPr>
            </w:pPr>
            <w:r>
              <w:rPr>
                <w:rFonts w:ascii="Arial" w:cs="Arial" w:eastAsia="Arial" w:hAnsi="Arial"/>
                <w:sz w:val="18"/>
                <w:szCs w:val="18"/>
                <w:color w:val="auto"/>
              </w:rPr>
              <w:t>Harrisonburg, VA</w:t>
            </w:r>
          </w:p>
        </w:tc>
        <w:tc>
          <w:tcPr>
            <w:tcW w:w="2040" w:type="dxa"/>
            <w:vAlign w:val="bottom"/>
            <w:gridSpan w:val="2"/>
          </w:tcPr>
          <w:p>
            <w:pPr>
              <w:spacing w:after="0"/>
              <w:rPr>
                <w:sz w:val="20"/>
                <w:szCs w:val="20"/>
                <w:color w:val="auto"/>
              </w:rPr>
            </w:pPr>
            <w:r>
              <w:rPr>
                <w:rFonts w:ascii="Arial" w:cs="Arial" w:eastAsia="Arial" w:hAnsi="Arial"/>
                <w:sz w:val="18"/>
                <w:szCs w:val="18"/>
                <w:color w:val="auto"/>
              </w:rPr>
              <w:t>Sports/Talk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October 1, 2027</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WHCU</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Ithaca, NY</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WNYY</w:t>
            </w:r>
          </w:p>
        </w:tc>
        <w:tc>
          <w:tcPr>
            <w:tcW w:w="2420" w:type="dxa"/>
            <w:vAlign w:val="bottom"/>
            <w:gridSpan w:val="2"/>
          </w:tcPr>
          <w:p>
            <w:pPr>
              <w:spacing w:after="0"/>
              <w:rPr>
                <w:sz w:val="20"/>
                <w:szCs w:val="20"/>
                <w:color w:val="auto"/>
              </w:rPr>
            </w:pPr>
            <w:r>
              <w:rPr>
                <w:rFonts w:ascii="Arial" w:cs="Arial" w:eastAsia="Arial" w:hAnsi="Arial"/>
                <w:sz w:val="18"/>
                <w:szCs w:val="18"/>
                <w:color w:val="auto"/>
              </w:rPr>
              <w:t>Ithaca, NY</w:t>
            </w:r>
          </w:p>
        </w:tc>
        <w:tc>
          <w:tcPr>
            <w:tcW w:w="2040" w:type="dxa"/>
            <w:vAlign w:val="bottom"/>
            <w:gridSpan w:val="2"/>
          </w:tcPr>
          <w:p>
            <w:pPr>
              <w:spacing w:after="0"/>
              <w:rPr>
                <w:sz w:val="20"/>
                <w:szCs w:val="20"/>
                <w:color w:val="auto"/>
              </w:rPr>
            </w:pPr>
            <w:r>
              <w:rPr>
                <w:rFonts w:ascii="Arial" w:cs="Arial" w:eastAsia="Arial" w:hAnsi="Arial"/>
                <w:sz w:val="18"/>
                <w:szCs w:val="18"/>
                <w:color w:val="auto"/>
              </w:rPr>
              <w:t>Oldies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June 1, 2030</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WKBK</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Keene, NH</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WZBK</w:t>
            </w:r>
          </w:p>
        </w:tc>
        <w:tc>
          <w:tcPr>
            <w:tcW w:w="2420" w:type="dxa"/>
            <w:vAlign w:val="bottom"/>
            <w:gridSpan w:val="2"/>
          </w:tcPr>
          <w:p>
            <w:pPr>
              <w:spacing w:after="0"/>
              <w:rPr>
                <w:sz w:val="20"/>
                <w:szCs w:val="20"/>
                <w:color w:val="auto"/>
              </w:rPr>
            </w:pPr>
            <w:r>
              <w:rPr>
                <w:rFonts w:ascii="Arial" w:cs="Arial" w:eastAsia="Arial" w:hAnsi="Arial"/>
                <w:sz w:val="18"/>
                <w:szCs w:val="18"/>
                <w:color w:val="auto"/>
              </w:rPr>
              <w:t>Keene, NH</w:t>
            </w:r>
          </w:p>
        </w:tc>
        <w:tc>
          <w:tcPr>
            <w:tcW w:w="2040" w:type="dxa"/>
            <w:vAlign w:val="bottom"/>
            <w:gridSpan w:val="2"/>
          </w:tcPr>
          <w:p>
            <w:pPr>
              <w:spacing w:after="0"/>
              <w:rPr>
                <w:sz w:val="20"/>
                <w:szCs w:val="20"/>
                <w:color w:val="auto"/>
              </w:rPr>
            </w:pPr>
            <w:r>
              <w:rPr>
                <w:rFonts w:ascii="Arial" w:cs="Arial" w:eastAsia="Arial" w:hAnsi="Arial"/>
                <w:sz w:val="18"/>
                <w:szCs w:val="18"/>
                <w:color w:val="auto"/>
              </w:rPr>
              <w:t>Classic Hits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WFEA</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Manchester, NH</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WJOI</w:t>
            </w:r>
          </w:p>
        </w:tc>
        <w:tc>
          <w:tcPr>
            <w:tcW w:w="2420" w:type="dxa"/>
            <w:vAlign w:val="bottom"/>
            <w:gridSpan w:val="2"/>
          </w:tcPr>
          <w:p>
            <w:pPr>
              <w:spacing w:after="0"/>
              <w:rPr>
                <w:sz w:val="20"/>
                <w:szCs w:val="20"/>
                <w:color w:val="auto"/>
              </w:rPr>
            </w:pPr>
            <w:r>
              <w:rPr>
                <w:rFonts w:ascii="Arial" w:cs="Arial" w:eastAsia="Arial" w:hAnsi="Arial"/>
                <w:sz w:val="18"/>
                <w:szCs w:val="18"/>
                <w:color w:val="auto"/>
              </w:rPr>
              <w:t>Milwaukee, WI</w:t>
            </w:r>
          </w:p>
        </w:tc>
        <w:tc>
          <w:tcPr>
            <w:tcW w:w="2040" w:type="dxa"/>
            <w:vAlign w:val="bottom"/>
            <w:gridSpan w:val="2"/>
          </w:tcPr>
          <w:p>
            <w:pPr>
              <w:spacing w:after="0"/>
              <w:rPr>
                <w:sz w:val="20"/>
                <w:szCs w:val="20"/>
                <w:color w:val="auto"/>
              </w:rPr>
            </w:pPr>
            <w:r>
              <w:rPr>
                <w:rFonts w:ascii="Arial" w:cs="Arial" w:eastAsia="Arial" w:hAnsi="Arial"/>
                <w:sz w:val="18"/>
                <w:szCs w:val="18"/>
                <w:color w:val="auto"/>
              </w:rPr>
              <w:t>Christian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December 1, 2028</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WHMP</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Northampton, MA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WGAN</w:t>
            </w:r>
          </w:p>
        </w:tc>
        <w:tc>
          <w:tcPr>
            <w:tcW w:w="242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WZAN</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Country</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WBAE</w:t>
            </w:r>
          </w:p>
        </w:tc>
        <w:tc>
          <w:tcPr>
            <w:tcW w:w="2420" w:type="dxa"/>
            <w:vAlign w:val="bottom"/>
            <w:gridSpan w:val="2"/>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tcPr>
          <w:p>
            <w:pPr>
              <w:spacing w:after="0"/>
              <w:rPr>
                <w:sz w:val="20"/>
                <w:szCs w:val="20"/>
                <w:color w:val="auto"/>
              </w:rPr>
            </w:pPr>
            <w:r>
              <w:rPr>
                <w:rFonts w:ascii="Arial" w:cs="Arial" w:eastAsia="Arial" w:hAnsi="Arial"/>
                <w:sz w:val="18"/>
                <w:szCs w:val="18"/>
                <w:color w:val="auto"/>
              </w:rPr>
              <w:t>Soft Adult Contemporary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WVAE</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Portland, ME</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 Adult Contemporary</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KICD</w:t>
            </w:r>
          </w:p>
        </w:tc>
        <w:tc>
          <w:tcPr>
            <w:tcW w:w="2420" w:type="dxa"/>
            <w:vAlign w:val="bottom"/>
            <w:gridSpan w:val="2"/>
          </w:tcPr>
          <w:p>
            <w:pPr>
              <w:spacing w:after="0"/>
              <w:rPr>
                <w:sz w:val="20"/>
                <w:szCs w:val="20"/>
                <w:color w:val="auto"/>
              </w:rPr>
            </w:pPr>
            <w:r>
              <w:rPr>
                <w:rFonts w:ascii="Arial" w:cs="Arial" w:eastAsia="Arial" w:hAnsi="Arial"/>
                <w:sz w:val="18"/>
                <w:szCs w:val="18"/>
                <w:color w:val="auto"/>
              </w:rPr>
              <w:t>Spencer, IA</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February 1, 2029</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WLZX</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Springfield, MA</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2030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WTAX</w:t>
            </w:r>
          </w:p>
        </w:tc>
        <w:tc>
          <w:tcPr>
            <w:tcW w:w="2420" w:type="dxa"/>
            <w:vAlign w:val="bottom"/>
            <w:gridSpan w:val="2"/>
          </w:tcPr>
          <w:p>
            <w:pPr>
              <w:spacing w:after="0"/>
              <w:rPr>
                <w:sz w:val="20"/>
                <w:szCs w:val="20"/>
                <w:color w:val="auto"/>
              </w:rPr>
            </w:pPr>
            <w:r>
              <w:rPr>
                <w:rFonts w:ascii="Arial" w:cs="Arial" w:eastAsia="Arial" w:hAnsi="Arial"/>
                <w:sz w:val="18"/>
                <w:szCs w:val="18"/>
                <w:color w:val="auto"/>
              </w:rPr>
              <w:t>Springfield, IL</w:t>
            </w:r>
          </w:p>
        </w:tc>
        <w:tc>
          <w:tcPr>
            <w:tcW w:w="2040" w:type="dxa"/>
            <w:vAlign w:val="bottom"/>
            <w:gridSpan w:val="2"/>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December 1, 2028</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WNAX</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Yankton, SD</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News/Talk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April 1,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stations are licensed to a different community located within the market that they serve.</w:t>
      </w:r>
    </w:p>
    <w:p>
      <w:pPr>
        <w:spacing w:after="0" w:line="225" w:lineRule="exact"/>
        <w:rPr>
          <w:rFonts w:ascii="Arial" w:cs="Arial" w:eastAsia="Arial" w:hAnsi="Arial"/>
          <w:sz w:val="18"/>
          <w:szCs w:val="18"/>
          <w:color w:val="auto"/>
        </w:rPr>
      </w:pPr>
    </w:p>
    <w:p>
      <w:pPr>
        <w:ind w:left="380" w:right="79" w:hanging="330"/>
        <w:spacing w:after="0" w:line="25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of increasing power, AM stations are classified as: Class D, C, B or A. (See Title 47 C.F.R. §73.21 for a definition of AM station class information, including operating power.) In order of increasing power and antenna height, FM stations are classified as: Class A, B1, C3, B, C2, C1, C0 or C. (See Title 47 C.F.R. §73.210 for a definition of FM station class information, including effective radiated power [“ERP”] and antenna height.) WISE, KPSZ, KPUG, KGMI, KBAI, WNYY, WHCU, WINQ(AM) and WSVA operate with lower power at night than during daytime. WYSE, WBCO, WQEZ, WKFN, WHBG, WZBK and WLZX(AM) are “Class D” stations that operate daytime only or with greatly reduced power at night.</w:t>
      </w:r>
    </w:p>
    <w:p>
      <w:pPr>
        <w:spacing w:after="0" w:line="200" w:lineRule="exact"/>
        <w:rPr>
          <w:sz w:val="20"/>
          <w:szCs w:val="20"/>
          <w:color w:val="auto"/>
        </w:rPr>
      </w:pPr>
    </w:p>
    <w:p>
      <w:pPr>
        <w:spacing w:after="0" w:line="211" w:lineRule="exact"/>
        <w:rPr>
          <w:sz w:val="20"/>
          <w:szCs w:val="20"/>
          <w:color w:val="auto"/>
        </w:rPr>
      </w:pPr>
    </w:p>
    <w:p>
      <w:pPr>
        <w:ind w:left="60" w:right="59" w:firstLine="315"/>
        <w:spacing w:after="0" w:line="255" w:lineRule="auto"/>
        <w:rPr>
          <w:sz w:val="20"/>
          <w:szCs w:val="20"/>
          <w:color w:val="auto"/>
        </w:rPr>
      </w:pPr>
      <w:r>
        <w:rPr>
          <w:rFonts w:ascii="Arial" w:cs="Arial" w:eastAsia="Arial" w:hAnsi="Arial"/>
          <w:sz w:val="18"/>
          <w:szCs w:val="18"/>
          <w:b w:val="1"/>
          <w:bCs w:val="1"/>
          <w:i w:val="1"/>
          <w:iCs w:val="1"/>
          <w:color w:val="auto"/>
        </w:rPr>
        <w:t xml:space="preserve">Ownership Matters. </w:t>
      </w:r>
      <w:r>
        <w:rPr>
          <w:rFonts w:ascii="Arial" w:cs="Arial" w:eastAsia="Arial" w:hAnsi="Arial"/>
          <w:sz w:val="18"/>
          <w:szCs w:val="18"/>
          <w:color w:val="auto"/>
        </w:rPr>
        <w:t>The Communications Act prohibits the assignment of a broadcast license or the transfer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a broadcast licensee without the prior approval of the FCC. In determining whether to grant or renew a broadcast license, the FCC considers a number of factors pertaining to the licensee, including compliance with the Communications Act’s limitations on alien ownership; compliance with various rules limiting common ownership of broadcast, cable and newspaper properties; and the “character” and other qualifications of the licensee and those persons holding “attributable or cognizable” interests therein.</w:t>
      </w:r>
    </w:p>
    <w:p>
      <w:pPr>
        <w:spacing w:after="0" w:line="192"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Under the Communications Act (Section 310(b)), broadcast licenses may not be granted to any corporation having more than one-fifth of its issued and outstanding capital stock owned or voted by aliens (including non-U.S. corporations), foreign governments or their representatives (collectively, “Aliens”). The Communications Act also prohibits a corporation, without FCC waiver, from holding a broadcast license if that corporation is controlled, directly or indirectly, by another corporation in which more than 25% of the issued and outstanding capital stock is owned or voted by Aliens. The FCC has issued interpretations of existing law under which these restrictions in modified form apply to other forms of business organizations, including partnerships. We serve as a holding company for our various radio station subsidiaries (and as such we cannot have more than 25% of our stock owned or voted by Aliens).</w:t>
      </w:r>
    </w:p>
    <w:p>
      <w:pPr>
        <w:spacing w:after="0" w:line="165" w:lineRule="exact"/>
        <w:rPr>
          <w:sz w:val="20"/>
          <w:szCs w:val="20"/>
          <w:color w:val="auto"/>
        </w:rPr>
      </w:pPr>
    </w:p>
    <w:p>
      <w:pPr>
        <w:ind w:left="60" w:right="639" w:firstLine="324"/>
        <w:spacing w:after="0" w:line="308" w:lineRule="auto"/>
        <w:rPr>
          <w:sz w:val="20"/>
          <w:szCs w:val="20"/>
          <w:color w:val="auto"/>
        </w:rPr>
      </w:pPr>
      <w:r>
        <w:rPr>
          <w:rFonts w:ascii="Arial" w:cs="Arial" w:eastAsia="Arial" w:hAnsi="Arial"/>
          <w:sz w:val="17"/>
          <w:szCs w:val="17"/>
          <w:color w:val="auto"/>
        </w:rPr>
        <w:t>The FCC has adopted rules to extend to broadcast licensees the same rules and procedures that common carrier wireless licensees use to seek approval for foreign ownership, with broadcast-specific modifications.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rules and procedures allow a broadcast licensee to request in a petition for declaratory ruling under Title 47 U.S.C.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310(b)(4):</w:t>
      </w:r>
    </w:p>
    <w:p>
      <w:pPr>
        <w:spacing w:after="0" w:line="211"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approval of up to and including 100 percent aggregate foreign ownership of its controlling U.S. parent;</w:t>
      </w:r>
    </w:p>
    <w:p>
      <w:pPr>
        <w:spacing w:after="0" w:line="236" w:lineRule="exact"/>
        <w:rPr>
          <w:rFonts w:ascii="Arial" w:cs="Arial" w:eastAsia="Arial" w:hAnsi="Arial"/>
          <w:sz w:val="17"/>
          <w:szCs w:val="17"/>
          <w:color w:val="auto"/>
        </w:rPr>
      </w:pPr>
    </w:p>
    <w:p>
      <w:pPr>
        <w:jc w:val="both"/>
        <w:ind w:left="1040" w:right="179" w:hanging="315"/>
        <w:spacing w:after="0" w:line="31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approval for a proposed, controlling foreign investor to increase its equity and/or voting interests in the U.S. parent up to and including 100 percent at some future time without filing a new petition—this applies where the foreign investor would acquire an initial controlling interest of less than 100 percent; and</w:t>
      </w:r>
    </w:p>
    <w:p>
      <w:pPr>
        <w:spacing w:after="0" w:line="148" w:lineRule="exact"/>
        <w:rPr>
          <w:rFonts w:ascii="Arial" w:cs="Arial" w:eastAsia="Arial" w:hAnsi="Arial"/>
          <w:sz w:val="16"/>
          <w:szCs w:val="16"/>
          <w:color w:val="auto"/>
        </w:rPr>
      </w:pPr>
    </w:p>
    <w:p>
      <w:pPr>
        <w:ind w:left="1040" w:right="33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for a non-controlling foreign investor named in the petition to increase its equity and/or voting interests in the U.S. parent at some future time, up to and including a non-controlling 49.99 percent equity and/or voting interest.</w:t>
      </w:r>
    </w:p>
    <w:p>
      <w:pPr>
        <w:spacing w:after="0" w:line="184"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rules require the Company to seek specific approval only of foreign individuals or entities with a greater than 5 percent ownership interest (or, in certain situations, an interest greater than 10 percent).</w:t>
      </w:r>
    </w:p>
    <w:p>
      <w:pPr>
        <w:spacing w:after="0" w:line="170"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rules allow broadcast licensees that have foreign ownership rulings to apply those rulings to all radio and television broadcast licenses then held or subsequently proposed to be acquired by the same licensee and its covered subsidiaries and affiliates, regardless of the broadcast service (e.g., AM, FM, or TV) or the geographic area in which the stations are located.</w:t>
      </w:r>
    </w:p>
    <w:p>
      <w:pPr>
        <w:spacing w:after="0" w:line="18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methodology provides a framework for a publicly traded licensee or controlling U.S. parent to ascertain its foreign ownership using information that is “known or reasonably should be known” to the company in the ordinary course of business.</w:t>
      </w:r>
    </w:p>
    <w:p>
      <w:pPr>
        <w:spacing w:after="0" w:line="184"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For publicly traded licensees and U.S. parent companies (like the Company), the rules formalize the current equitable practice of recognizing a licensee’s good faith efforts to comply with Section 310(b) where the non-compliance was due solely to circumstances beyond the licensee’s control that were not known or reasonably foreseeable to the licensee.</w:t>
      </w:r>
    </w:p>
    <w:p>
      <w:pPr>
        <w:spacing w:after="0" w:line="149"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We are permitted to own an unlimited number of radio stations on a nationwide basis (subject to the local ownership restrictions described below).</w:t>
      </w:r>
    </w:p>
    <w:p>
      <w:pPr>
        <w:spacing w:after="0" w:line="170"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Under the rules, the number of radio stations one party may own in a local Nielsen Audio-rated radio market is determined by the number of full-power commercial and noncommercial educational (“NCE”) radio stations in the market as determined by Nielsen Audio and BIA Advisory Services, LLC d/b/a BIA/Kelsey. Radio markets that are not Nielsen Audio rated are determined by analysis of the broadcast coverage contours of the radio stations involved.</w:t>
      </w:r>
    </w:p>
    <w:p>
      <w:pPr>
        <w:spacing w:after="0" w:line="15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Under the Communications Act, and the FCC’s “Local Radio Ownership Rule,” we are permitted to own radio stations (without regard to the audience shares of the stations) based upon the number of full-power commercial and NCE radio stations in the relevant radio market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Number of Stations</w:t>
            </w:r>
          </w:p>
        </w:tc>
        <w:tc>
          <w:tcPr>
            <w:tcW w:w="2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 Radio Market</w:t>
            </w:r>
          </w:p>
        </w:tc>
        <w:tc>
          <w:tcPr>
            <w:tcW w:w="260" w:type="dxa"/>
            <w:vAlign w:val="bottom"/>
          </w:tcPr>
          <w:p>
            <w:pPr>
              <w:spacing w:after="0"/>
              <w:rPr>
                <w:sz w:val="20"/>
                <w:szCs w:val="20"/>
                <w:color w:val="auto"/>
              </w:rPr>
            </w:pPr>
          </w:p>
        </w:tc>
        <w:tc>
          <w:tcPr>
            <w:tcW w:w="5180" w:type="dxa"/>
            <w:vAlign w:val="bottom"/>
          </w:tcPr>
          <w:p>
            <w:pPr>
              <w:ind w:left="1300"/>
              <w:spacing w:after="0"/>
              <w:rPr>
                <w:sz w:val="20"/>
                <w:szCs w:val="20"/>
                <w:color w:val="auto"/>
              </w:rPr>
            </w:pPr>
            <w:r>
              <w:rPr>
                <w:rFonts w:ascii="Arial" w:cs="Arial" w:eastAsia="Arial" w:hAnsi="Arial"/>
                <w:sz w:val="18"/>
                <w:szCs w:val="18"/>
                <w:b w:val="1"/>
                <w:bCs w:val="1"/>
                <w:color w:val="auto"/>
              </w:rPr>
              <w:t>Number of Stations We Can Own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 or Fewer</w:t>
            </w:r>
          </w:p>
        </w:tc>
        <w:tc>
          <w:tcPr>
            <w:tcW w:w="54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Total of 5 stations, not more than 3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except the Company cannot own more than 50% of the stations 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15-29</w:t>
            </w: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w w:val="96"/>
              </w:rPr>
              <w:t>Total of 6 stations, not more than 4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30-44</w:t>
            </w:r>
          </w:p>
        </w:tc>
        <w:tc>
          <w:tcPr>
            <w:tcW w:w="5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Total of 7 stations, not more than 4 in the same service (AM or FM).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45 or More</w:t>
            </w: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w w:val="96"/>
              </w:rPr>
              <w:t>Total of 8 stations, not more than 5 in the same service (AM or FM).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 xml:space="preserve">The FCC’s </w:t>
      </w:r>
      <w:r>
        <w:rPr>
          <w:rFonts w:ascii="Arial" w:cs="Arial" w:eastAsia="Arial" w:hAnsi="Arial"/>
          <w:sz w:val="16"/>
          <w:szCs w:val="16"/>
          <w:i w:val="1"/>
          <w:iCs w:val="1"/>
          <w:color w:val="auto"/>
        </w:rPr>
        <w:t>2010/2014 Quadrennial Review Order on Reconsideration</w:t>
      </w:r>
      <w:r>
        <w:rPr>
          <w:rFonts w:ascii="Arial" w:cs="Arial" w:eastAsia="Arial" w:hAnsi="Arial"/>
          <w:sz w:val="16"/>
          <w:szCs w:val="16"/>
          <w:color w:val="auto"/>
        </w:rPr>
        <w:t xml:space="preserve">, 32 FCC Rcd 9802 (2017), modified the FCC’s media ownership rules by: (1) eliminating the newspaper/broadcast cross-ownership and radio/television cross-ownership rules; (2) revising the local television ownership rule by eliminating the “eight voices” test and permitting applicants to seek the combination of two top-four ranked stations in a given market on a case-by-case basis; and (3) deeming joint sales agreements between television stations to be non-attributable. In </w:t>
      </w:r>
      <w:r>
        <w:rPr>
          <w:rFonts w:ascii="Arial" w:cs="Arial" w:eastAsia="Arial" w:hAnsi="Arial"/>
          <w:sz w:val="16"/>
          <w:szCs w:val="16"/>
          <w:i w:val="1"/>
          <w:iCs w:val="1"/>
          <w:color w:val="auto"/>
        </w:rPr>
        <w:t>FCC v. Prometheus Radio Project,</w:t>
      </w:r>
      <w:r>
        <w:rPr>
          <w:rFonts w:ascii="Arial" w:cs="Arial" w:eastAsia="Arial" w:hAnsi="Arial"/>
          <w:sz w:val="16"/>
          <w:szCs w:val="16"/>
          <w:color w:val="auto"/>
        </w:rPr>
        <w:t xml:space="preserve"> 141 S. Ct. 1150</w:t>
      </w:r>
    </w:p>
    <w:p>
      <w:pPr>
        <w:spacing w:after="0" w:line="2" w:lineRule="exact"/>
        <w:rPr>
          <w:sz w:val="20"/>
          <w:szCs w:val="20"/>
          <w:color w:val="auto"/>
        </w:rPr>
      </w:pPr>
    </w:p>
    <w:p>
      <w:pPr>
        <w:ind w:left="60" w:right="119"/>
        <w:spacing w:after="0" w:line="267" w:lineRule="auto"/>
        <w:rPr>
          <w:sz w:val="20"/>
          <w:szCs w:val="20"/>
          <w:color w:val="auto"/>
        </w:rPr>
      </w:pPr>
      <w:r>
        <w:rPr>
          <w:rFonts w:ascii="Arial" w:cs="Arial" w:eastAsia="Arial" w:hAnsi="Arial"/>
          <w:sz w:val="17"/>
          <w:szCs w:val="17"/>
          <w:color w:val="auto"/>
        </w:rPr>
        <w:t>(2021), the U. S. Supreme Court reversed a decision of the Court of Appeals for the Third Circuit which had vacated the FCC’s 2017 order. The FCC is required by the Telecommunications Act of 1996 to review its media ownership rules every four years to determine whether they remain “necessary in the public interest as the result of competition.” On December 12, 2018, the FCC adopted a Notice of Proposed Rulemaking (“NPRM”) to initiate the 2018 Quadrennial Review proceeding. On June 4, 2021, the FCC released a Public Notice seeking to refresh the record in the 2018 Quadrennial Review proceeding. That proceeding remains pending. On December 22, 2022, the FCC’s Media Bureau released a Public Notice commencing the 2022 Quadrennial Review of the FCC’s media ownership rules. Although they remain subject to the ongoing 2018 Quadrennial Review proceeding, the three rules currently in place and subject to the 2022 review are the Local Radio Ownership Rule and the Local Television Ownership Rule—which limit ownership by a single entity of broadcast radio or television stations in local markets respectively—and the Dual Network Rule, which effectively prohibits mergers among the “Big Four” broadcast television networks (ABC, CBS, Fox, and NBC). In the context of these three rules, as with prior reviews, the FCC is seeking information regarding the media marketplace, including ongoing trends or developments (e.g., consolidation, technological innovation, or the emergence of new video or audio options for consumers). The Company cannot predict whether the FCC will adopt new or revise existing media ownership rules.</w:t>
      </w:r>
    </w:p>
    <w:p>
      <w:pPr>
        <w:spacing w:after="0" w:line="18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New rules that could be promulgated under the Communications Act may permit us to own, operate, control or have a cognizable interest in additional radio broadcast stations if the FCC determines that such ownership, operation, control or cognizable interest will result in an increase in the number of radio stations in operation. No firm date has been established for initiation of this rule-making proceeding. New rules could restrict the Company’s ability to acquire additional radio and television stations in some markets. The Court and FCC proceedings are ongoing and we cannot predict what action, if any, the Court or the FCC may take to further modify its rules. Due to changes in local radio markets, the ownership of some of our radio stations, in the future, could exceed the current ownership limits imposed by the Local Radio Ownership Rule. Their current ownership structure is “grandfathered” by the FCC. Absent a waiver, it might not be possible to sell all of them as currently configured in “clusters” to a single purchaser. The statements herein are based solely on the FCC’s multiple ownership rules in effect as of the date hereof and do not include any forward-looking statements concerning compliance with any future multiple ownership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All commercial broadcasters are required to file a “biennial” ownership report, the next report due by December 1, 2023, describing the ownership of their stations as of October 1, 2023. The FCC eliminated the prior requirement to file with the FCC paper copies of certain agreements, corporate organization documents, and the like. Instead, a broadcaster is required to upload copies of these documents to the station’s online public inspection file (“OPIF”), or provide a list of such documents and make them available to a requesting party. The FCC generally applies its ownership limits to “attributable” interests held by an individual, corporation, partnership or other association. In the case of corporations holding broadcast licenses, the interests of officers, directors and those who, directly or indirectly, have the right to vote 5% or more of the corporation’s stock (or 20% or more of such stock in the case of certain passive investors that are holding stock for investment purposes only) are generally attributable, as are positions of an officer or director of a corporate parent of a broadcast licensee. Currently, none of our directors has an attributable interest or interests in companies applying for or licensed to operate broadcast stations other than the Company.</w:t>
      </w:r>
    </w:p>
    <w:p>
      <w:pPr>
        <w:spacing w:after="0" w:line="18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FCC’s ownership attribution rules (a) apply to limited liability companies and registered limited liability partnerships the same attribution rules that the FCC applies to limited partnerships; and (b) include an equity/debt plus (“EDP”) rule that attributes the other media interests of an otherwise passive investor if the investor is (1) a “major-market program supplier” that supplies over 15% of a station’s total weekly broadcast programming hours, or (2) a same-market media entity subject to the FCC’s multiple ownership rules (including broadcasters, cable operators and newspapers) so that its interest in a licensee or other media entity in that market will be attributed if that interest, aggregating both debt and equity holdings, exceeds 33% of the total asset value (equity plus debt) of the licensee or media entity. We could be prohibited from acquiring a financial interest in stations in markets where application of the EDP rule would result in us having an attributable interest in the stations.</w:t>
      </w:r>
    </w:p>
    <w:p>
      <w:pPr>
        <w:spacing w:after="0" w:line="181" w:lineRule="exact"/>
        <w:rPr>
          <w:sz w:val="20"/>
          <w:szCs w:val="20"/>
          <w:color w:val="auto"/>
        </w:rPr>
      </w:pPr>
    </w:p>
    <w:p>
      <w:pPr>
        <w:ind w:left="60" w:right="319" w:firstLine="324"/>
        <w:spacing w:after="0" w:line="301" w:lineRule="auto"/>
        <w:rPr>
          <w:sz w:val="20"/>
          <w:szCs w:val="20"/>
          <w:color w:val="auto"/>
        </w:rPr>
      </w:pPr>
      <w:r>
        <w:rPr>
          <w:rFonts w:ascii="Arial" w:cs="Arial" w:eastAsia="Arial" w:hAnsi="Arial"/>
          <w:sz w:val="16"/>
          <w:szCs w:val="16"/>
          <w:color w:val="auto"/>
        </w:rPr>
        <w:t>In addition to the FCC’s multiple ownership rules, the Antitrust Division of the United States Department of Justice and the Federal Trade Commission and some state governments have the authority to examine proposed transactions for compliance with antitrust statutes and guidelines. The Antitrust Division has issued “civil investigative demands” and obtained consent decrees requiring the divestiture of stations in a particular market based on antitrust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b w:val="1"/>
          <w:bCs w:val="1"/>
          <w:i w:val="1"/>
          <w:iCs w:val="1"/>
          <w:color w:val="auto"/>
        </w:rPr>
        <w:t xml:space="preserve">Programming and Operation. </w:t>
      </w:r>
      <w:r>
        <w:rPr>
          <w:rFonts w:ascii="Arial" w:cs="Arial" w:eastAsia="Arial" w:hAnsi="Arial"/>
          <w:sz w:val="16"/>
          <w:szCs w:val="16"/>
          <w:color w:val="auto"/>
        </w:rPr>
        <w:t>The Communications Act requires broadcasters to serve the “public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Licensees are required to present programming that is responsive to community problems, needs and interests and to maintain certain records demonstrating such responsiveness. Complaints from listeners concerning a station’s programming often will be considered by the FCC when it evaluates renewal applications of a licensee, although such complaints may be filed at any time and generally may be considered by the FCC at any time. Stations also must follow various rules promulgated under the Communications Act that regulate, among other things, political advertising, sponsorship identification, the advertisement of contests and lotteries, obscene and indecent broadcasts, and technical operations, including limits on radio frequency radiation. In 2020, the FCC entered into a Consent Decree with Sinclair Broadcast Group, which agreed to pay a $48 million dollar fine to settle issues related to sponsorship identification violations, among other matters. The FCC also entered into a Consent Decree with Cumulus Radio to settle violations of the sponsorship identification requirements in connection with the broadcast of issue ads promoting a construction project in New Hampshire. There are other examples of FCC enforcement action for violation of the sponsorship identification requirements. A licensee that broadcasts or advertises information about a contest it conducts must fully and accurately disclose the material terms of the contest, and conduct the contest substantially as announced or advertised over the air or on the Internet. The disclosure of material terms must be made by either periodic disclosures broadcast on the station or written disclosures on the station's Internet web site. Violation of the rule can result in significant fines. In 2020, the FCC fined a broadcaster $5,200 for failing to conduct its contests as advertised by failing to award prizes in a timely manner. Another licensee entered into a Consent Decree with the FCC, paying a fine of $125,000 for, among other things, predetermining the outcome of a contest. The FCC requires the owners of antenna supporting structures (towers) to register them with the FCC. As an owner of such towers, our subsidiaries are subject to the registration requirements. On January 13, 2020, the FCC released an Order confirming a Consent Decree whereby the owner of several antenna structures agreed to pay the government a civil penalty of $1,130,000 and develop a Compliance Plan requiring reports for two years as a result of (1) failing to conduct required daily inspections of the lighting systems at 10 towers, (2) failing to completely log lighting failures at 7 towers, and (3) failing to timely notify the FCC of its acquisition of 2 towers. In 2017, the FCC eliminated the broadcast main studio rule. The FCC retained the requirement that stations maintain a local or toll-free telephone number to ensure consumers have ready access to their local stations. The FCC’s rules require cable operators, direct satellite TV providers, broadcast radio licensees, and satellite radio licensees to post public inspection files to the FCC's online database (the “OPIF” referred to above) rather than maintaining them in a local public inspection file. The FCC believes posting these files to the OPIF renders the materials more widely accessible to the public. The Company’s radio stations post their public inspection files to the FCC’s website. The FCC has warned licensees of possible enforcement action if these files are found not to be in compliance at the time of license renewal. Because of inadvertent untimely posting to the OPIF of certain political records at stations owned by one of the Company’s subsidiaries, that subsidiary was obliged to enter into a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with the FCC (FCC </w:t>
      </w:r>
      <w:r>
        <w:rPr>
          <w:rFonts w:ascii="Arial" w:cs="Arial" w:eastAsia="Arial" w:hAnsi="Arial"/>
          <w:sz w:val="16"/>
          <w:szCs w:val="16"/>
          <w:i w:val="1"/>
          <w:iCs w:val="1"/>
          <w:color w:val="auto"/>
        </w:rPr>
        <w:t>Order</w:t>
      </w:r>
      <w:r>
        <w:rPr>
          <w:rFonts w:ascii="Arial" w:cs="Arial" w:eastAsia="Arial" w:hAnsi="Arial"/>
          <w:sz w:val="16"/>
          <w:szCs w:val="16"/>
          <w:color w:val="auto"/>
        </w:rPr>
        <w:t xml:space="preserve">, DA 20-1263, released October 26, 2020). The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required Company employees responsible for performing, supervising, overseeing, or managing activities related to the maintenance of online political files to thoroughly understand the Company’s obligation to comply with laws regulating political broadcasting and to promptly report to the FCC any noncompliance with those laws. The affected subsidiary filed a report with the FCC on December 8, 2021, regarding its record of compliance with the political laws and the Company’s obligations under the </w:t>
      </w:r>
      <w:r>
        <w:rPr>
          <w:rFonts w:ascii="Arial" w:cs="Arial" w:eastAsia="Arial" w:hAnsi="Arial"/>
          <w:sz w:val="16"/>
          <w:szCs w:val="16"/>
          <w:i w:val="1"/>
          <w:iCs w:val="1"/>
          <w:color w:val="auto"/>
        </w:rPr>
        <w:t>Consent Decree</w:t>
      </w:r>
      <w:r>
        <w:rPr>
          <w:rFonts w:ascii="Arial" w:cs="Arial" w:eastAsia="Arial" w:hAnsi="Arial"/>
          <w:sz w:val="16"/>
          <w:szCs w:val="16"/>
          <w:color w:val="auto"/>
        </w:rPr>
        <w:t xml:space="preserve"> terminated as of February 7, 2022. The FCC in 2020 revised its rules governing the publication of local notice of the filing of certain broadcast applications. FCC licensees, like the Company’s subsidiaries, must maintain a tab on their station websites where the public can view the OPIF and a tab where notices describing pending applications must be posted, rather than printing such notices in local newspapers.</w:t>
      </w:r>
    </w:p>
    <w:p>
      <w:pPr>
        <w:spacing w:after="0" w:line="394"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The Company is required to pay (1) FCC filing fees in connection with its applications and (2) annual regulatory fees determined by the number and character of the radio stations the Company owns as of October 1 of each prior year.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270"/>
        <w:spacing w:after="0" w:line="283" w:lineRule="auto"/>
        <w:rPr>
          <w:sz w:val="20"/>
          <w:szCs w:val="20"/>
          <w:color w:val="auto"/>
        </w:rPr>
      </w:pPr>
      <w:r>
        <w:rPr>
          <w:rFonts w:ascii="Arial" w:cs="Arial" w:eastAsia="Arial" w:hAnsi="Arial"/>
          <w:sz w:val="16"/>
          <w:szCs w:val="16"/>
          <w:b w:val="1"/>
          <w:bCs w:val="1"/>
          <w:i w:val="1"/>
          <w:iCs w:val="1"/>
          <w:color w:val="auto"/>
        </w:rPr>
        <w:t xml:space="preserve">Equal Employment Opportunity Rules. </w:t>
      </w:r>
      <w:r>
        <w:rPr>
          <w:rFonts w:ascii="Arial" w:cs="Arial" w:eastAsia="Arial" w:hAnsi="Arial"/>
          <w:sz w:val="16"/>
          <w:szCs w:val="16"/>
          <w:color w:val="auto"/>
        </w:rPr>
        <w:t>Equal employment opportunity (EEO) rules and policies for broadcasters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prohibit discrimination by broadcasters and multichannel video programming distributors. They also require broadcasters to provide notice of job vacancies and to undertake additional outreach measures, such as job fairs and scholarship programs. The rules mandate a “three prong” outreach program; i.e., Prong 1: widely disseminate information concerning each full-time (30 hours or more) job vacancy, except for vacancies filled in exigent circumstances; Prong 2: provide notice of each full-time job vacancy to recruitment organizations that have requested such notice; and Prong 3: complete two (for broadcast employment units with five to ten full-time employees or that are located in smaller markets) or four (for employment units with more than ten full-time employees located in larger markets) longer-term recruitment initiatives within a two-year period. These include, for example, job fairs, scholarship and internship programs, and other community events designed to inform the public as to employment opportunities in broadcasting. The rules mandate extensive record keeping and reporting requirements. In 2017, the FCC issued a Declaratory Ruling permitting broadcast stations to use the internet for job postings as their sole means of recruiting employees (so long as the postings reach all segments of the station’s community). The EEO rules are enforced through review at renewal time, and through random audits and targeted investigations resulting from information received as to possible violations. The FCC has not yet decided on whether and how to apply the EEO rule to part-time positions. Failure to observe these or other rules and policies can result in the imposition of various sanctions, including monetary forfeitures, the grant of “short” (less than the full eight-year) renewal terms or, for particularly egregious violations, the denial of a license renewal application or the revocation of a license. As announced in an NPRM released June 21, 2019 (MB Docket No. 19-177), the FCC is reviewing the EEO rules. In the NPRM, the FCC seeks comment on its track record on EEO enforcement, whether the agency should make improvements to EEO compliance and enforcement, and invites comment on its audit program. In a </w:t>
      </w:r>
      <w:r>
        <w:rPr>
          <w:rFonts w:ascii="Arial" w:cs="Arial" w:eastAsia="Arial" w:hAnsi="Arial"/>
          <w:sz w:val="16"/>
          <w:szCs w:val="16"/>
          <w:i w:val="1"/>
          <w:iCs w:val="1"/>
          <w:color w:val="auto"/>
        </w:rPr>
        <w:t>Further NPRM</w:t>
      </w:r>
      <w:r>
        <w:rPr>
          <w:rFonts w:ascii="Arial" w:cs="Arial" w:eastAsia="Arial" w:hAnsi="Arial"/>
          <w:sz w:val="16"/>
          <w:szCs w:val="16"/>
          <w:color w:val="auto"/>
        </w:rPr>
        <w:t xml:space="preserve"> (MB Docket No. 98-204), released July 23, 2021, the FCC sought to refresh the existing record regarding the statutorily mandated collection of data on the FCC Form 395-B, as contemplated by the Act. This employment report form is intended to gather workforce composition data from broadcasters on an annual basis but the form and data have not been collected for many years. The filing of the form was suspended in 2001 in the wake of a decision by the U.S. Court of Appeals for the District of Columbia Circuit (D.C. Circuit) vacating certain aspects of the FCC's Equal Employment Opportunity (EEO) requirements. While the FCC in 2004 adopted revised regulations regarding the filing of Form 395-B and updated the form, the requirement that broadcasters once again submit the form to the FCC was suspended until issues were resolved regarding confidentiality of the employment data. To date, those issues remain unresolved, and the filing of Form 395-B remains suspended. The FCC is seeking “to refresh the record” regarding the collection of broadcaster workforce composition data and obtain further input on the legal, logistical, and technical issues surrounding FCC Form 395-B. On February 3, 2023, the FCC released a Public Notice, “Expanding Digital and Media Ownership Opportunities for Women and Minorities,”</w:t>
      </w:r>
    </w:p>
    <w:p>
      <w:pPr>
        <w:spacing w:after="0" w:line="20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announcing a symposium to explore the challenges as well as possible creative solutions to increasing ownership opportunities for women and people of color to achieve success and viewpoint diversity in all facets of media – TV, radio, cable, and streaming.The Company cannot predict whether, or if changes may be made as a result of these NPRMs and the symposium.</w:t>
      </w:r>
    </w:p>
    <w:p>
      <w:pPr>
        <w:spacing w:after="0" w:line="189"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b w:val="1"/>
          <w:bCs w:val="1"/>
          <w:i w:val="1"/>
          <w:iCs w:val="1"/>
          <w:color w:val="auto"/>
        </w:rPr>
        <w:t>Time Brokerage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is common in the industry, we have previously entered into what have commonly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referred to as Time Brokerage Agreements (“TBAs”) which are sometimes termed “Local Marketing Agreements.” Such arrangements are an extension of the concept of agreements under which a licensee of a station sells (or “leases”) blocks of time on its station to an entity or entities which purchase the blocks of time and use the time to broadcast material the lessee has produced, or which sell their own commercial advertising announcements during the time periods in question. While these agreements may take varying forms, under a typical TBA, separately owned and licensed radio or television stations agree to enter into cooperative arrangements of varying sorts, subject to compliance with the requirements of antitrust laws and with the FCC’s rules and policies. Under these types of arrangements, separately-owned stations agree to function cooperatively in terms of programming, advertising sales, and other matters, subject to the licensee of each station maintaining independent control over the financing, programming and station operations of its own station. One typical type of TBA is a programming agreement between two separately-owned radio or television stations serving a common service area, whereby the licensee of one station purchases substantial portions of the broadcast day on the other licensee’s station, subject to ultimate editorial and other controls being exercised by the latter licensee, and sells advertising time during such program segments.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The FCC’s rules provide that a station purchasing (brokering or leasing) time on another station serving the same market will be considered to have an attributable ownership interest in the brokered station for purposes of the FCC’s multiple ownership rules. As a result, under the rules, a broadcast station will not be permitted to enter into a time brokerage agreement giving it the right to purchase more than 15% of the broadcast time, on a weekly basis, of another local station that it could not own under the local ownership rules of the FCC’s multiple ownership rules. Effective October 22, 2020, the FCC eliminated Title 47 C.F.R. § 73.3556, a rule that prohibited the duplication of programming on co-owned radio stations in the same market. A petition for reconsideration of that action as to FM duplication is pending. The Company cannot predict how the FCC may act on that petition.</w:t>
      </w:r>
    </w:p>
    <w:p>
      <w:pPr>
        <w:spacing w:after="0" w:line="178"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The FCC has adopted rules that require the broadcast of a specific disclosure at the time of broadcast if material aired pursuant to a lease of time on a station has been sponsored, paid for, or furnished by a foreign governmental entity. Consistent with the Communications Act and the FCC’s sponsorship identification rules, the Company’s stations are required to disclose political programming or programming involving the discussion of a controversial issue if such programming is provided by a foreign governmental entity for free, or for nominal compensation, as an inducement to air. The rule requires the Company to exercise reasonable diligence (and obtain certifications from lessees) to ascertain whether the foreign sponsorship disclosure requirements apply at the time of the lease agreement and at any renewal thereof. A station must place in its OPIF on a quarterly basis certain information if the station broadcasts such foreign-sponsored programming. On October 6, 2022, the FCC released a Second NPRM, seeking comment on establishing a requirement that licensees require a lessee to use a specific certification form to disclose whether a lessee is or is not a foreign governmental entity and whether it knows of any entity or individual further back in the programming production or distribution chain that qualifies as a foreign governmental entity. If adopted, the proposed rules would require the Company to upload the certifications to the OPIF whether or not the lessee has a connection to a foreign government. The Company cannot predict whether such new rules will be adopted, and if so, the form they might take.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FCC Requirements</w:t>
      </w:r>
      <w:r>
        <w:rPr>
          <w:rFonts w:ascii="Arial" w:cs="Arial" w:eastAsia="Arial" w:hAnsi="Arial"/>
          <w:sz w:val="18"/>
          <w:szCs w:val="18"/>
          <w:color w:val="auto"/>
        </w:rPr>
        <w:t>.</w:t>
      </w:r>
    </w:p>
    <w:p>
      <w:pPr>
        <w:spacing w:after="0" w:line="229"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b w:val="1"/>
          <w:bCs w:val="1"/>
          <w:i w:val="1"/>
          <w:iCs w:val="1"/>
          <w:color w:val="auto"/>
        </w:rPr>
        <w:t xml:space="preserve">Low Power FM Radio. </w:t>
      </w:r>
      <w:r>
        <w:rPr>
          <w:rFonts w:ascii="Arial" w:cs="Arial" w:eastAsia="Arial" w:hAnsi="Arial"/>
          <w:sz w:val="16"/>
          <w:szCs w:val="16"/>
          <w:color w:val="auto"/>
        </w:rPr>
        <w:t>There exists a “low power radio service” on the FM band (“LPFM”) in which the FCC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authorizes the construction and operation of NCE FM stations with up to 100 watts ERP with antenna height above average terrain (“HAAT”) at up to 30 meters (100 feet). This combination is calculated to produce a service area radius of approximately 3.5 miles. The FCC’s rules will not permit any broadcaster or other media entity subject to the FCC’s ownership rules to control or hold an attributable interest in an LPFM station or enter into related operating agreements with an LPFM licensee. Thus, absent a waiver, we could not own or program an LPFM station. LPFM stations are allocated throughout the FM broadcast band, (i.e., 88.1 to 107.9 MHz), although they must operate with a NCE format. The FCC has established allocation rules that require FM stations to be separated by specified distances to other stations on the same frequency, and stations on frequencies on the first, second and third channels adjacent to the center frequency. As required by the Local Community Radio Act of 2010, the FCC in 2012 modified its rules to maintain its existing minimum distance separation requirements for full-service FM stations, FM translator stations, and FM booster stations that broadcast radio reading services via an analog subcarrier frequency to avoid potential interference by LPFM stations; and when licensing new FM translator stations, FM booster stations, and LPFM stations, to ensure that: (i) licenses are available to FM translator stations, FM booster stations, and LPFM stations; (ii) such decisions are made based on the needs of the local community; and (iii) FM translator stations, FM booster stations, and LPFM stations remain equal in status and secondary to existing and modified full-service FM stations. By Report and Order, released April 23, 2020, the FCC modified the LPFM technical rules in four main ways: (1) expanding the permissible use of directional antennas; (2) expanding the definition of minor change applications for LPFM stations; (3) allowing LPFM stations to own FM boosters; and (4) permitting LPFM and Class D FM stations operating on the NCE FM reserved band (channels 201 to 220) to propose facilities short-spaced to television stations operating on channel 6 (TV6) with the consent of the potentially affected stations. The FCC also took other less significant actions affecting the LPFM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On January 5, 2012, the FCC released a Report to Congress on the impact that LPFM stations would have on full-service commercial FM stations. The FCC “found no statistically reliable evidence that low-power FM stations have a substantial or consistent economic impact on full-service commercial FM stations,” and that “low-power FM stations generally do not have, and in the future are unlikely to have, a demonstrable economic impact on full-service commercial FM radio stations.” Some LPFM stations that broadcast commercial announcements in violation of the law could have a negative economic impact on the Company’s stations. Although rule-compliant LPFM stations compete for audience with the Company’s full-power and FM translator stations, the Company cannot predict whether there will be future negative economic impact on its stations</w:t>
      </w:r>
      <w:r>
        <w:rPr>
          <w:rFonts w:ascii="Arial" w:cs="Arial" w:eastAsia="Arial" w:hAnsi="Arial"/>
          <w:sz w:val="17"/>
          <w:szCs w:val="17"/>
          <w:b w:val="1"/>
          <w:bCs w:val="1"/>
          <w:color w:val="auto"/>
        </w:rPr>
        <w:t>.</w:t>
      </w:r>
    </w:p>
    <w:p>
      <w:pPr>
        <w:spacing w:after="0" w:line="178"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As part of the transition of television stations from analog to digital operations, the FCC sought comment in a 2014 NPRM on whether to allow low power television (“LPTV”) stations (so-called “Franken FM” or “FM6” radio stations) on digital television channel 6 to continue to operate these analog FM radio-type services on an ancillary or supplementary basis. On June 7, 2022 (MB Docket No. 03-185), the FCC released a Fifth NPRM seeking comment on whether FM6 operations serve the public interest and should be authorized to continue in any capacity. The FCC limited the scope of FM6 operations to only those LPTV channel 6 stations with "active" FM6 engineering special temporary authority on the release date of the Fifth NPRM. This could result in eliminating or authorizing FM6 stations. The Company cannot predict whether Franken FM stations will become licensed radio services.</w:t>
      </w:r>
    </w:p>
    <w:p>
      <w:pPr>
        <w:spacing w:after="0" w:line="178"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As a broadcaster, the Company is required to comply with the FCC rules implementing the Emergency Alert System (“EAS”). The Company’s stations must transmit Presidential messages during national emergencies and may transmit local messages, such as severe weather alerts and AMBER (America’s Missing: Broadcast Emergency Response) alerts. On January 7, 2021, the FCC’s Enforcement Bureau issued an “Enforcement Advisory” which highlighted EAS participants’ obligations, identified measures to improve the EAS, and warned that failure to comply with the EAS rules may subject a violator to sanctions including, but not limited to, substantial monetary forfeitures. Our stations are required periodically to file with the FCC forms reporting on the results of EAS tests. In September, 2022, the FCC adopted new EAS requirements directing EAS participants to check whether certain types of alerts are available in common alerting protocol (“CAP”) format and, if so, to transmit the CAP version of the alert rather than the legacy-formatted version. The FCC also prescribed text that EAS participants must broadcast using plain language terms. In an NPRM adopted October 27, 2022, the FCC proposed to require EAS participants to report to the FCC compromises of EAS equipment, communications systems, and services. The FCC proposed to require EAS participants to annually certify to having a cybersecurity risk management plan in place and to employ sufficient security measures to ensure the confidentiality, integrity, and availability of their respective alerting systems.</w:t>
      </w:r>
    </w:p>
    <w:p>
      <w:pPr>
        <w:spacing w:after="0" w:line="184"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b w:val="1"/>
          <w:bCs w:val="1"/>
          <w:i w:val="1"/>
          <w:iCs w:val="1"/>
          <w:color w:val="auto"/>
        </w:rPr>
        <w:t>Use of FM Boosters for Geo-Targeting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NPRM released December 1, 2020, the FCC sought comment on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modify the FCC’s rules governing the operation of FM booster stations by FM radio broadcasters in certain limited circumstances. Through its NPRM, the FCC sought comment regarding changes to the booster station rules that could enable FM broadcasters to use FM booster stations to air “geo-targeted” content (e.g., news, weather, and advertisements) independent of the signals of the booster’s primary station within different portions of the primary station's protected service contour for a limited period of time during the broadcast hour. The FCC has solicited public comment on tests of the proposed system. The Company cannot predict whether the FCC will adopt the proposed rules, and if adopted, whether the Company would use FM booster stations in this manner. The Company currently has no FM booster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b w:val="1"/>
          <w:bCs w:val="1"/>
          <w:i w:val="1"/>
          <w:iCs w:val="1"/>
          <w:color w:val="auto"/>
        </w:rPr>
        <w:t xml:space="preserve">Digital Audio Radio Satellite Service and Internet Radio. </w:t>
      </w:r>
      <w:r>
        <w:rPr>
          <w:rFonts w:ascii="Arial" w:cs="Arial" w:eastAsia="Arial" w:hAnsi="Arial"/>
          <w:sz w:val="16"/>
          <w:szCs w:val="16"/>
          <w:color w:val="auto"/>
        </w:rPr>
        <w:t>In adopting its rules for the Digital Audio Radio Satellite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(“DARS”) in the 2310-2360 MHz frequency band, the FCC stated, “although healthy satellite DARS systems are likely to have some adverse impact on terrestrial radio audience size, revenues and profits, the record does not demonstrate that licensing satellite DARS would have such a strong adverse impact that it threatens the provision of local service.” The FCC granted two nationwide licenses, one to XM Satellite Radio, which began broadcasting in May 2001, and a second to Sirius Satellite Radio, which began broadcasting in February 2002. The satellite radio systems provide multiple channels of audio programming in exchange for the payment of a subscription fee. The FCC approved the application of Sirius Satellite Radio Inc. and XM Satellite Radio Holdings Inc. to transfer control of the licenses and authorizations held by the two companies to one company, which is now known as Sirius XM Radio, Inc. Various companies have introduced devices that permit the reception of audio programming streamed over the Internet on home computers and on portable receivers such as cell phones, in automobiles, and through so-called “smart speakers” like Amazon’s Alexa service. A number of digital music providers have developed and are offering their product through the Internet. Terrestrial radio operators (including the Company) are also making their product available through the Internet. Due to interference generated by their electric motors, some manufacturers of all-electric vehicles do not market vehicles that can receive AM broadcasts over the air (although AM broadcasts can be heard over digital streaming services, such as Tunein Radio). To date, the Company has not perceived negative economic impact from DARS or Internet-streamed audio on the Company’s full-service stations and FM translators, possibly due, in part, to the possibility of confusion in the digital advertising market, but the Company cannot predict whether there will be future negative economic impact</w:t>
      </w:r>
      <w:r>
        <w:rPr>
          <w:rFonts w:ascii="Arial" w:cs="Arial" w:eastAsia="Arial" w:hAnsi="Arial"/>
          <w:sz w:val="16"/>
          <w:szCs w:val="16"/>
          <w:b w:val="1"/>
          <w:bCs w:val="1"/>
          <w:color w:val="auto"/>
        </w:rPr>
        <w:t>.</w:t>
      </w:r>
    </w:p>
    <w:p>
      <w:pPr>
        <w:spacing w:after="0" w:line="171"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b w:val="1"/>
          <w:bCs w:val="1"/>
          <w:i w:val="1"/>
          <w:iCs w:val="1"/>
          <w:color w:val="auto"/>
        </w:rPr>
        <w:t xml:space="preserve">In-Band On-Channel “Hybrid Digital” Radio. </w:t>
      </w:r>
      <w:r>
        <w:rPr>
          <w:rFonts w:ascii="Arial" w:cs="Arial" w:eastAsia="Arial" w:hAnsi="Arial"/>
          <w:sz w:val="17"/>
          <w:szCs w:val="17"/>
          <w:color w:val="auto"/>
        </w:rPr>
        <w:t>The FCC’s rules permit radio stations to broadcast using in-band, on-channel (IBOC) technology that allows AM and FM stations to operate using the IBOC system developed by iBiquity Digital Corporation. This technology has become commonly known as “hybrid digital” or HD radio. Stations broadcast the same main channel program material in both analog and digital modes. HD radio technology permits “hybrid” operations, the simultaneous transmission of analog and digital signals with a single AM and FM channel. HD radio technology can provide near CD-quality sound on FM channels and FM quality on AM channels. HD radio technology also permits the transmission of up to four additional program streams over FM stations and one over AM stations (which streams do not count as separate radio stations under the multiple ownership rules.) At the present time, we are configured to broadcast in HD radio on 52 stations. On November 28, 2022, the FCC issued a Public Notice seeking comment on a petition for rulemaking requesting the Commission to adopt an updated formula to determine and increase FM digital sideband power levels for stations transmitting digital FM. On October 28, 2020, the FCC released a Report and Order, in which it adopted rules (effective January 4, 2021) to allow AM radio stations to broadcast an all-digital signal using the HD Radio in-band on-channel (IBOC) mode termed “MA3.” In adopting the new rules, the FCC said that a voluntary conversion to all-digital broadcasting will benefit many AM stations and their listeners by improving reception quality and listenable coverage in stations' service areas. At this time, the Company has not made a decision on whether to convert any of its AM radio stations to all-digital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Arial" w:cs="Arial" w:eastAsia="Arial" w:hAnsi="Arial"/>
          <w:sz w:val="16"/>
          <w:szCs w:val="16"/>
          <w:b w:val="1"/>
          <w:bCs w:val="1"/>
          <w:i w:val="1"/>
          <w:iCs w:val="1"/>
          <w:color w:val="auto"/>
        </w:rPr>
        <w:t xml:space="preserve">Use of FM Translators by AM Stations and Digital Program Streams. </w:t>
      </w:r>
      <w:r>
        <w:rPr>
          <w:rFonts w:ascii="Arial" w:cs="Arial" w:eastAsia="Arial" w:hAnsi="Arial"/>
          <w:sz w:val="16"/>
          <w:szCs w:val="16"/>
          <w:color w:val="auto"/>
        </w:rPr>
        <w:t>FM translator stations are relatively 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power radio stations (maximum ERP: 250 Watts) that rebroadcast the programs of full-power AM and FM stations on a secondary basis, meaning they must terminate or modify their operation if they cause interference to a full-power station. The FCC permits AM stations to be rebroadcast on FM translator stations in order to improve reception of programs broadcast by AM stations. The Company intends to continue to use some of its existing FM translators in connection with some of its AM stations. The Company is using some of its existing FM translators to rebroadcast HD radio program streams generated by some of its FM stations, which is permitted by the FCC. In a 2015 Report and Order, </w:t>
      </w:r>
      <w:r>
        <w:rPr>
          <w:rFonts w:ascii="Arial" w:cs="Arial" w:eastAsia="Arial" w:hAnsi="Arial"/>
          <w:sz w:val="16"/>
          <w:szCs w:val="16"/>
          <w:i w:val="1"/>
          <w:iCs w:val="1"/>
          <w:color w:val="auto"/>
        </w:rPr>
        <w:t>Revitalization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AM Service, </w:t>
      </w:r>
      <w:r>
        <w:rPr>
          <w:rFonts w:ascii="Arial" w:cs="Arial" w:eastAsia="Arial" w:hAnsi="Arial"/>
          <w:sz w:val="16"/>
          <w:szCs w:val="16"/>
          <w:color w:val="auto"/>
        </w:rPr>
        <w:t>the FCC announced an opportunity, restricted to AM licensees and permittees, to apply for and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to relocate existing FM translator stations within 250 miles for the sole and limited purpose of enhancing their existing service to the public. To implement this policy, the FCC opened “filing windows,” the last one closing October 31, 2016. Some of the Company’s subsidiaries that are AM licensees, acquired FM translators during the filing window, and relocated them to their local markets to pair with some of the Company’s AM broadcast stations. The FM translators so acquired were obligated to rebroadcast the related AM station for at least four years, not counting any periods of silence. The FCC later opened two windows for the filing of applications for construction permits for new FM translators, the final window closing January 31, 2018. In the filing windows, qualifying AM licensees could apply for one, and only one, new FM translator station, in the non-reserved FM band to be used solely to re-broadcast the licensee’s AM signal to provide fill-in and/or nighttime service on a permanent basis. The Company filed applications in both windows and obtained some construction permits as a result. If the Company should decide that a subsidiary should sell or suspend operations of an AM station with such an FM construction permit or license, the subsidiary would also be required to concurrently sell or suspend operations of the FM translator. The FCC has adopted rules regarding FM translator interference (1) allowing FM translators to resolve interference issues by changing channels to any available same-band frequency using a minor modification application; (2) standardizing the information that must be compiled and submitted by a station claiming interference from an FM translator, including a required minimum number of listener complaints;</w:t>
      </w:r>
    </w:p>
    <w:p>
      <w:pPr>
        <w:spacing w:after="0" w:line="10" w:lineRule="exact"/>
        <w:rPr>
          <w:sz w:val="20"/>
          <w:szCs w:val="20"/>
          <w:color w:val="auto"/>
        </w:rPr>
      </w:pPr>
    </w:p>
    <w:p>
      <w:pPr>
        <w:jc w:val="both"/>
        <w:ind w:left="60" w:right="59" w:hanging="10"/>
        <w:spacing w:after="0" w:line="253"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interference complaint resolution procedures; and (4) establishing an outer contour limit (45 dBm) for the affected station within which interference complaints will be considered actionable while providing for a process to waive that limit in special circumstances. Because FM translators are “secondary services,” they could be displaced by full power stations.</w:t>
      </w:r>
    </w:p>
    <w:p>
      <w:pPr>
        <w:spacing w:after="0" w:line="193"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b w:val="1"/>
          <w:bCs w:val="1"/>
          <w:i w:val="1"/>
          <w:iCs w:val="1"/>
          <w:color w:val="auto"/>
        </w:rPr>
        <w:t xml:space="preserve">Hart-Scott-Rodino Antitrust Improvements Act of 1976. </w:t>
      </w:r>
      <w:r>
        <w:rPr>
          <w:rFonts w:ascii="Arial" w:cs="Arial" w:eastAsia="Arial" w:hAnsi="Arial"/>
          <w:sz w:val="17"/>
          <w:szCs w:val="17"/>
          <w:color w:val="auto"/>
        </w:rPr>
        <w:t>The Federal Trade Commission and the Department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Justice, the federal agencies responsible for enforcing the federal antitrust laws, may investigate certain acquisitions. Under the Hart-Scott-Rodino Antitrust Improvements Act of 1976, an acquisition meeting certain size thresholds requires the parties to file Notification and Report Forms with the Federal Trade Commission and the Department of Justice and to observe specified waiting period requirements before consummating the acquisition. Any decision by the Federal Trade Commission or the Department of Justice to challenge a proposed acquisition could affect our ability to consummate the acquisition or to consummate it on the proposed terms. We cannot predict whether the FCC will adopt rules that would restrict our ability to acquire additional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7" w:lineRule="auto"/>
        <w:rPr>
          <w:sz w:val="20"/>
          <w:szCs w:val="20"/>
          <w:color w:val="auto"/>
        </w:rPr>
      </w:pPr>
      <w:r>
        <w:rPr>
          <w:rFonts w:ascii="Arial" w:cs="Arial" w:eastAsia="Arial" w:hAnsi="Arial"/>
          <w:sz w:val="17"/>
          <w:szCs w:val="17"/>
          <w:b w:val="1"/>
          <w:bCs w:val="1"/>
          <w:i w:val="1"/>
          <w:iCs w:val="1"/>
          <w:color w:val="auto"/>
        </w:rPr>
        <w:t xml:space="preserve">Changes to Application and Assignment Procedures. </w:t>
      </w:r>
      <w:r>
        <w:rPr>
          <w:rFonts w:ascii="Arial" w:cs="Arial" w:eastAsia="Arial" w:hAnsi="Arial"/>
          <w:sz w:val="17"/>
          <w:szCs w:val="17"/>
          <w:color w:val="auto"/>
        </w:rPr>
        <w:t>FCC rules give Native American tribes a priority to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broadcast radio licenses in tribal communities. The rules provide an opportunity for tribes to establish new service specifically designed to offer programming that meets the needs of tribal citizens. In addition, the rules modified the FCC’s radio application and assignment procedures, assisting qualified applicants to more rapidly introduce new radio service to the public. These modifications (1) prohibit an AM applicant that obtains a construction permit through a dispositive Section 307(b) preference from downgrading the service level that led to the dispositive preference; (2) require technical proposals for new or major change AM facilities filed with Form 175 (</w:t>
      </w:r>
      <w:r>
        <w:rPr>
          <w:rFonts w:ascii="Arial" w:cs="Arial" w:eastAsia="Arial" w:hAnsi="Arial"/>
          <w:sz w:val="17"/>
          <w:szCs w:val="17"/>
          <w:i w:val="1"/>
          <w:iCs w:val="1"/>
          <w:color w:val="auto"/>
        </w:rPr>
        <w:t>i.e</w:t>
      </w:r>
      <w:r>
        <w:rPr>
          <w:rFonts w:ascii="Arial" w:cs="Arial" w:eastAsia="Arial" w:hAnsi="Arial"/>
          <w:sz w:val="17"/>
          <w:szCs w:val="17"/>
          <w:color w:val="auto"/>
        </w:rPr>
        <w:t>., FCC “short-form” Auction) applications to meet certain minimum technical standards to be eligible for further auction processing; and (3) give FCC operating bureaus authority to cap filing window applications. In 2011, the FCC released its Third Report and Order which limits eligibility for authorizations associated with allotments added to the FM Table of Allotments using the “Tribal Priority” to the tribes whom the Tribal Priority was intended to benefit. In October 2018, the FCC released a “Second Further Notice of Proposed Rulemaking” as part of its ongoing effort to assist AM broadcast stations in providing full-time service to their communities. The FCC sought comment on technical proposals to reduce nighttime interference afforded to wide-area “Class A” AM radio stations to enable more local AM stations to increase their nighttime service. The Company has no Class A AM radio stations, but has Class B, Class C and Class D AM radio stations, some of which might benefit if the FCC changes its rules as proposed. In 2018, the FCC issued a Notice of Inquiry on whether to issue an NPRM that could lead to creation of a new Class C4 FM station that would allow use of power of up to 12 kW ERP, but the matter remains pending before the FCC.</w:t>
      </w:r>
    </w:p>
    <w:p>
      <w:pPr>
        <w:spacing w:after="0" w:line="190"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6"/>
          <w:szCs w:val="16"/>
          <w:color w:val="auto"/>
        </w:rPr>
        <w:t>The Company pays for the use of music broadcast on its stations by obtaining licenses from organizations called performing rights organizations (“PRO”) (</w:t>
      </w:r>
      <w:r>
        <w:rPr>
          <w:rFonts w:ascii="Arial" w:cs="Arial" w:eastAsia="Arial" w:hAnsi="Arial"/>
          <w:sz w:val="16"/>
          <w:szCs w:val="16"/>
          <w:i w:val="1"/>
          <w:iCs w:val="1"/>
          <w:color w:val="auto"/>
        </w:rPr>
        <w:t>e.g.</w:t>
      </w:r>
      <w:r>
        <w:rPr>
          <w:rFonts w:ascii="Arial" w:cs="Arial" w:eastAsia="Arial" w:hAnsi="Arial"/>
          <w:sz w:val="16"/>
          <w:szCs w:val="16"/>
          <w:color w:val="auto"/>
        </w:rPr>
        <w:t xml:space="preserve"> Broadcast Music, Inc., American Society of Composers, Authors and Publishers SESAC, LLC, and Global Music Rights LLC), which, in turn pay composers, authors and publishers for their works. Federal law grants a performance right for sound recordings in favor of recording companies and performing artists for non-interactive digital transmissions and Internet radio. As a result, users of music, including the Company, are required to pay royalties for these uses through Sound Exchange, a non-profit performance rights organization. (Other PROs could be formed, which could increase the royalties we pay.) Periodically, bills have been introduced in Congress, that if passed, would have required the Company to pay additional fees to an organization called MusicFirst which would distribute the money to other entities. Efforts continue by certain organizations to persuade Congress to enact a law that would require such payments. Periodically, bills have been introduced in Congress that, if adopted, would require the Company to pay additional fees to one or more organizations that would distribute the money to performers or other entities. The American Music Fairness Act was introduced on February 2, 2023, in both the Senate and House of Representatives (118</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Congress). (A similar Bill died in the 117</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Congress.) The Act would require radio stations to have an additional license to publicly perform certain sound recordings. The Copyright Royalty Board would periodically determine the royalty rates for such a license. Terrestrial broadcast stations, and the owners of such stations, that fall below certain revenue thresholds would pay certain flat fees, instead of the board-established rate, for a license.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late 2018, Congress passed the “Music Modernization Act” which was signed into law by the President. The law</w:t>
      </w:r>
    </w:p>
    <w:p>
      <w:pPr>
        <w:spacing w:after="0" w:line="35" w:lineRule="exact"/>
        <w:rPr>
          <w:sz w:val="20"/>
          <w:szCs w:val="20"/>
          <w:color w:val="auto"/>
        </w:rPr>
      </w:pPr>
    </w:p>
    <w:p>
      <w:pPr>
        <w:ind w:left="300" w:hanging="250"/>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improves compensation to songwriters and streamlined how their music is licensed; (2) enables legacy artists (who</w:t>
      </w:r>
    </w:p>
    <w:p>
      <w:pPr>
        <w:spacing w:after="0" w:line="20" w:lineRule="exact"/>
        <w:rPr>
          <w:rFonts w:ascii="Arial" w:cs="Arial" w:eastAsia="Arial" w:hAnsi="Arial"/>
          <w:sz w:val="17"/>
          <w:szCs w:val="17"/>
          <w:color w:val="auto"/>
        </w:rPr>
      </w:pPr>
    </w:p>
    <w:p>
      <w:pPr>
        <w:ind w:left="60" w:right="199"/>
        <w:spacing w:after="0" w:line="290" w:lineRule="auto"/>
        <w:rPr>
          <w:rFonts w:ascii="Arial" w:cs="Arial" w:eastAsia="Arial" w:hAnsi="Arial"/>
          <w:sz w:val="17"/>
          <w:szCs w:val="17"/>
          <w:color w:val="auto"/>
        </w:rPr>
      </w:pPr>
      <w:r>
        <w:rPr>
          <w:rFonts w:ascii="Arial" w:cs="Arial" w:eastAsia="Arial" w:hAnsi="Arial"/>
          <w:sz w:val="16"/>
          <w:szCs w:val="16"/>
          <w:color w:val="auto"/>
        </w:rPr>
        <w:t>recorded music before 1972) to be paid royalties when their music is played on digital radio; and (3) provides a consistent legal process for studio professionals, including record producers and engineers to receive royalties for their contributions to music that they help to create. The law creates a blanket license for digital music providers to make permanent downloads, limited downloads, and interactive streams, creates a collective to administer the blanket license, and makes various improvements to royalty rate proceedings. This law could impose an additional financial burden on the Company, but the extent of the burden depends on how the fee payment requirement is structured.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b w:val="1"/>
          <w:bCs w:val="1"/>
          <w:i w:val="1"/>
          <w:iCs w:val="1"/>
          <w:color w:val="auto"/>
        </w:rPr>
        <w:t xml:space="preserve">Proposed Changes. </w:t>
      </w:r>
      <w:r>
        <w:rPr>
          <w:rFonts w:ascii="Arial" w:cs="Arial" w:eastAsia="Arial" w:hAnsi="Arial"/>
          <w:sz w:val="18"/>
          <w:szCs w:val="18"/>
          <w:color w:val="auto"/>
        </w:rPr>
        <w:t>The FCC has under consideration, and may in the future consider and adopt, new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and policies regarding a wide variety of matters that could, directly or indirectly, affect us and the operation and ownership of our broadcast properties. Application processing rules adopted by the FCC might require us to apply for facilities modifications to our standard broadcast stations in future “window” periods for filing applications or result in the stations being “locked in” with their present facilities. The FCC is authorized to use auctions for the allocation of radio broadcast spectrum frequencies for commercial use. The implementation of this law could require us to bid for the use of certain frequencies.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current executive officers are: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6100" w:type="dxa"/>
            <w:vAlign w:val="bottom"/>
          </w:tcPr>
          <w:p>
            <w:pPr>
              <w:ind w:left="274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1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Forgy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Director</w:t>
            </w: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Samuel D. Bush</w:t>
            </w: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Marcia K. Lobaito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Catherine A. Bobinski</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3"/>
              </w:rPr>
              <w:t>Senior Vice President/Finance, Chief Accounting Officer and Corporate Controller</w:t>
            </w: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Wayne Leland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Operations</w:t>
            </w:r>
          </w:p>
        </w:tc>
      </w:tr>
    </w:tbl>
    <w:p>
      <w:pPr>
        <w:spacing w:after="0" w:line="20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Officers are elected annually by our Board of Directors and serve at the discretion of the Board. Set forth below is information with respect to our executive officers.</w:t>
      </w:r>
    </w:p>
    <w:p>
      <w:pPr>
        <w:spacing w:after="0" w:line="170"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i w:val="1"/>
          <w:iCs w:val="1"/>
          <w:color w:val="auto"/>
        </w:rPr>
        <w:t xml:space="preserve">Mr. Forgy </w:t>
      </w:r>
      <w:r>
        <w:rPr>
          <w:rFonts w:ascii="Arial" w:cs="Arial" w:eastAsia="Arial" w:hAnsi="Arial"/>
          <w:sz w:val="18"/>
          <w:szCs w:val="18"/>
          <w:color w:val="auto"/>
        </w:rPr>
        <w:t>has been President and Chief Executive Officer since December 2022. He was previously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Operations from May 2018 until his appointment to President and Chief Executice Officer. He was President/General Manager of our Columbus, Ohio market from 2010 to 2018 and was Director of Sales of our Columbus, Ohio market from 1995 to 2006. He has been with Saga for over 20 years..</w:t>
      </w:r>
    </w:p>
    <w:p>
      <w:pPr>
        <w:spacing w:after="0" w:line="187"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i w:val="1"/>
          <w:iCs w:val="1"/>
          <w:color w:val="auto"/>
        </w:rPr>
        <w:t xml:space="preserve">Mr. Bush </w:t>
      </w:r>
      <w:r>
        <w:rPr>
          <w:rFonts w:ascii="Arial" w:cs="Arial" w:eastAsia="Arial" w:hAnsi="Arial"/>
          <w:sz w:val="18"/>
          <w:szCs w:val="18"/>
          <w:color w:val="auto"/>
        </w:rPr>
        <w:t>has been Senior Vice President since 2002 and Chief Financial Officer and Treasurer since September 1997.</w:t>
      </w:r>
      <w:r>
        <w:rPr>
          <w:rFonts w:ascii="Arial" w:cs="Arial" w:eastAsia="Arial" w:hAnsi="Arial"/>
          <w:sz w:val="18"/>
          <w:szCs w:val="18"/>
          <w:i w:val="1"/>
          <w:iCs w:val="1"/>
          <w:color w:val="auto"/>
        </w:rPr>
        <w:t xml:space="preserve"> </w:t>
      </w:r>
      <w:r>
        <w:rPr>
          <w:rFonts w:ascii="Arial" w:cs="Arial" w:eastAsia="Arial" w:hAnsi="Arial"/>
          <w:sz w:val="18"/>
          <w:szCs w:val="18"/>
          <w:color w:val="auto"/>
        </w:rPr>
        <w:t>He was Vice President from 1997 to 2002. From 1988 to 1997 he held various positions with the Media Finance Group at AT&amp;T Capital Corporation, including senior vice president.</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i w:val="1"/>
          <w:iCs w:val="1"/>
          <w:color w:val="auto"/>
        </w:rPr>
        <w:t xml:space="preserve">Ms. Lobaito </w:t>
      </w:r>
      <w:r>
        <w:rPr>
          <w:rFonts w:ascii="Arial" w:cs="Arial" w:eastAsia="Arial" w:hAnsi="Arial"/>
          <w:sz w:val="17"/>
          <w:szCs w:val="17"/>
          <w:color w:val="auto"/>
        </w:rPr>
        <w:t>was the Director of Business Affairs and Corporate Secretary since our inception in 1986,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1996 to 2005 and Senior Vice President from 2005 to 2020. Effective March 13, 2020, Ms. Lobaito retired from Senior Vice President and Director of Business Affairs. At our request, Ms. Lobaito continues to serve as Corporate Secretary. On September 28, 2021, Ms. Lobaito was appointed to our Board of Directors.</w:t>
      </w:r>
    </w:p>
    <w:p>
      <w:pPr>
        <w:spacing w:after="0" w:line="171"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i w:val="1"/>
          <w:iCs w:val="1"/>
          <w:color w:val="auto"/>
        </w:rPr>
        <w:t xml:space="preserve">Ms. Bobinski </w:t>
      </w:r>
      <w:r>
        <w:rPr>
          <w:rFonts w:ascii="Arial" w:cs="Arial" w:eastAsia="Arial" w:hAnsi="Arial"/>
          <w:sz w:val="18"/>
          <w:szCs w:val="18"/>
          <w:color w:val="auto"/>
        </w:rPr>
        <w:t>has been Senior Vice President/Finance since March 2012 and Chief Accounting Officer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September 1991. She was Vice President from March 1999 to March 2012. Ms. Bobinski is a certified public accountant.</w:t>
      </w:r>
    </w:p>
    <w:p>
      <w:pPr>
        <w:spacing w:after="0" w:line="184"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i w:val="1"/>
          <w:iCs w:val="1"/>
          <w:color w:val="auto"/>
        </w:rPr>
        <w:t xml:space="preserve">Mr. Leland </w:t>
      </w:r>
      <w:r>
        <w:rPr>
          <w:rFonts w:ascii="Arial" w:cs="Arial" w:eastAsia="Arial" w:hAnsi="Arial"/>
          <w:sz w:val="18"/>
          <w:szCs w:val="18"/>
          <w:color w:val="auto"/>
        </w:rPr>
        <w:t>was promoted to Senior Vice President of Operations effective January 2023. He was President/General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our Norfolk, Virginia market from 2011 to 2022. He has been with Saga for 11 years and has been in the broadcasting industry since 1986.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more prominent risks and uncertainties inherent in our business are described in more detail below. However, these are not the only risks and uncertainties we face. Our business may also face additional risks and uncertainties that are unknown to us at this time.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 Related to the Economy</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Continued Uncertain Financial and Economic Conditions, including Inflation, may have an Adverse Impact on our Business, Results of Operations or Financial Condition</w:t>
      </w:r>
    </w:p>
    <w:p>
      <w:pPr>
        <w:spacing w:after="0" w:line="170"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We derive revenues from the sale of advertising and expenditures by advertisers tend to be cyclical and are reflective of economic conditions. Periods of a slowing economy, recession or economic uncertainty may be accompanied by a decrease in advertising. Financial and economic conditions continue to be uncertain over the longer term and the continuation or worsening of such conditions, including prolonged or increased inflationary developments, could reduce consumer confidence and have an adverse effect on our business, results of operations and/or financial condition. If consumer confidence were to decline, this decline could negatively affect our advertising customers' businesses and their advertising budgets. In addition, volatile economic conditions could have a negative impact on our industry or the industries of our customers who advertise on our stations, resulting in reduced advertising sales. Furthermore, it may be possible that actions taken by any governmental or regulatory body for the purpose of stabilizing the economy or financial markets will not achieve their intended effect. In addition to any negative direct consequences to our business or results of operations arising from these financial and economic developments, some of these actions may adversely affect financial institutions, capital providers, advertisers or other consumers on whom we rely, including our access to future capital or financing arrangements necessary to support our business. Our inability to obtain financing in amounts and at times necessary could make it more difficult or impossible to meet our obligations or otherwise take actions in our best interests.</w:t>
      </w:r>
    </w:p>
    <w:p>
      <w:pPr>
        <w:spacing w:after="0" w:line="171" w:lineRule="exact"/>
        <w:rPr>
          <w:sz w:val="20"/>
          <w:szCs w:val="20"/>
          <w:color w:val="auto"/>
        </w:rPr>
      </w:pPr>
    </w:p>
    <w:p>
      <w:pPr>
        <w:ind w:left="60" w:right="459"/>
        <w:spacing w:after="0" w:line="381" w:lineRule="auto"/>
        <w:rPr>
          <w:sz w:val="20"/>
          <w:szCs w:val="20"/>
          <w:color w:val="auto"/>
        </w:rPr>
      </w:pPr>
      <w:r>
        <w:rPr>
          <w:rFonts w:ascii="Arial" w:cs="Arial" w:eastAsia="Arial" w:hAnsi="Arial"/>
          <w:sz w:val="15"/>
          <w:szCs w:val="15"/>
          <w:b w:val="1"/>
          <w:bCs w:val="1"/>
          <w:i w:val="1"/>
          <w:iCs w:val="1"/>
          <w:color w:val="auto"/>
        </w:rPr>
        <w:t>Our Business and Operations Could be Adversley Affected by Health Epidemics, such as the COVID-19 Pandemic, Impacting the Markets and Communities in which we and our Partners, Advertisers, and Users Operate</w:t>
      </w:r>
    </w:p>
    <w:p>
      <w:pPr>
        <w:spacing w:after="0" w:line="10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face various risks related to health epidemics, pandemics and similar outbreaks, such as the global outbreak of COVID-19. The COVID-19 pandemic negatively impacted the economy, disrupted consumer spending and created significant volatility and disruption of financial markets. We expect the COVID-19 global pandemic may continue to have an adverse impact on our business including our results of operations, financial condition and liquidity. The extent of the impact of the COVID-19 global pandemic, or other health epidemics, pandemics and similar outbreaks in the future, on our business, including our ability to execute our near-term and long-term business strategies and initiatives in the expected time frame, will depend on numerous factors that we may not be able to accurately predict or assess, including the negative impact on the economy and economic activity, changes in advertising customers and consumer behavior, short and longer-term impact on the levels of consumer confidence; actions governments, businesses and individuals take in response to such outbreaks, and any resulting macroeconomic conditions; and how quickly economies recover after such outbreaks or pandemics subside.</w:t>
      </w:r>
    </w:p>
    <w:p>
      <w:pPr>
        <w:spacing w:after="0" w:line="182"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effects of COVID-19, or other health epidemics, pandemics and similar outbreaks in the future, may also impact financial markets and corporate credit markets which could adversely impact our access to financing or the terms of any such financing. To the extent pandemics or outbreaks adversely affect our business and financial results, it may also have the effect of heightening many of the other risks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The Success of Our Business is Dependent Upon Advertising Revenues, which are Seasonal and Cyclical, and also Fluctuate as a Result of a Number of Factors, Some of Which are Beyond Our Control.</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primary source of revenue is the sale of advertising. Our ability to sell advertising depends, among other things,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w:t>
      </w:r>
    </w:p>
    <w:p>
      <w:pPr>
        <w:spacing w:after="0" w:line="211"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economic conditions in the areas where our stations are located and in the nation as a whole;</w:t>
      </w:r>
    </w:p>
    <w:p>
      <w:pPr>
        <w:spacing w:after="0" w:line="23"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national and local demand for radio and digital advertising;</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the popularity of our programming;</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changes in the population demographics in the areas where our stations are located;</w:t>
      </w:r>
    </w:p>
    <w:p>
      <w:pPr>
        <w:spacing w:after="0" w:line="9" w:lineRule="exact"/>
        <w:rPr>
          <w:rFonts w:ascii="Arial" w:cs="Arial" w:eastAsia="Arial" w:hAnsi="Arial"/>
          <w:sz w:val="17"/>
          <w:szCs w:val="17"/>
          <w:color w:val="auto"/>
        </w:rPr>
      </w:pPr>
    </w:p>
    <w:p>
      <w:pPr>
        <w:ind w:left="1040" w:right="79" w:hanging="315"/>
        <w:spacing w:after="0" w:line="265"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7"/>
          <w:szCs w:val="17"/>
          <w:color w:val="auto"/>
        </w:rPr>
        <w:t>local and national advertising price fluctuations, which can be affected by the availability of programming, the popularity of programming, and the relative supply of and demand for commercial advertising;</w:t>
      </w: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the capability and effectiveness of our sales organization;</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our competitors' activities, including increased competition from other advertising-based mediums;</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decisions by advertisers to withdraw or delay planned advertising expenditures for any reason; and</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8"/>
          <w:szCs w:val="18"/>
          <w:color w:val="auto"/>
        </w:rPr>
        <w:t>other factors beyond our control.</w:t>
      </w:r>
    </w:p>
    <w:p>
      <w:pPr>
        <w:spacing w:after="0" w:line="197"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Our operations and revenues also tend to be seasonal in nature, with generally lower revenue generated in the first quarter of the year and generally higher revenue generated in the second and fourth quarters of the year. This seasonality causes and will likely continue to cause a variation in our quarterly operating results. Such variations could have a material effect on the timing of our cash flows. In addition, our revenues tend to fluctuate between years, consistent with, among other things, increased advertising expenditures in even-numbered years by political candidates, political parties and special interest groups.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Depend on Key Stations</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Historically our top five markets when combined represented 38%, 39%, and 40% of our net operating revenue for the years ended December 31, 2022, 2021 and 2020, respectively. Accordingly, we may have greater exposure to adverse events or conditions that affect the economy in any of these markets, which could have a material adverse effect on our revenue, results of operations and financial condition.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Local, National and Global Economic Conditions May Affect our Advertising Revenue</w:t>
      </w:r>
    </w:p>
    <w:p>
      <w:pPr>
        <w:spacing w:after="0" w:line="225"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Our financial results are dependent primarily on our ability to generate advertising revenue through rates charged to advertisers. The advertising rates a station is able to charge are affected by many factors, including the general strength of the local and national economies. Generally, advertising declines during periods of economic recession or downturns in the economy. Our revenue has been and is likely to be adversely affected during such periods, whether they occur on a global level, national level or in the geographic markets in which we operate. During such periods we may also be required to reduce our advertising rates in order to attract available advertisers. Such a decline in advertising rates could also have a material adverse effect on our revenue, results of operations and financial condition.</w:t>
      </w:r>
    </w:p>
    <w:p>
      <w:pPr>
        <w:spacing w:after="0" w:line="166"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The ongoing supply chain and labor shortage issues could result in an adverse impact on our business due to our customer’s reduction in advertising spending as their businesses are negatively impacted by low inventories, product delays, and labor shortages resulting in reduced revenue.</w:t>
      </w:r>
    </w:p>
    <w:p>
      <w:pPr>
        <w:spacing w:after="0" w:line="184"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The Russian invasion of Ukraine has created not only great devastation but also a worldwide instability that could impact economies across the globe. While direct impacts to our business are limited, the indirect impacts to our customers could impact demand for advertising and other indirect impacts could arise. In addition, the impact of other current macro-economic factors on our business, including inflation, supply chain constraints and geopolitical events,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Have Substantial Indebtedness and Debt Service Requirements</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While we currently have no debt outstanding at December 31, 2022 we have previously borrowed and may borrow to finance acquisitions and for other corporate purposes. If we borrow in the future, our leverage could make us vulnerable to an increase in interest rates, particularly related to the Secured Overnight Financing Rate (“SOFR”) as outlined in our new credit facility amendment, a downturn in our operating performance, or a decline in general economic conditions. Our credit facility is subject to mandatory prepayment requirements, including but not limited to, certain sales of assets, certain insurance proceeds, certain debt issuances and certain sales of equity. Any outstanding balance under the credit facility will be due on the maturity date of December 19, 2027. We believe that cash flows from operations will be sufficient to meet any debt service requirements for interest and scheduled payments of principal under the credit facility in the future. However, if such cash flow is not sufficient, we may be required to sell additional equity securities, refinance our obligations or dispose of one or more of our properties in order to make such scheduled payments. We cannot be sure that we would be able to affect any such transactions on favorable terms, if at all.</w:t>
      </w:r>
    </w:p>
    <w:p>
      <w:pPr>
        <w:spacing w:after="0" w:line="388"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Variable-Rate Indebtedness Exposes us to Interest Rate Risk, which could Cause Our Debt Service Obligations to Increase Significantly.</w:t>
      </w:r>
    </w:p>
    <w:p>
      <w:pPr>
        <w:spacing w:after="0" w:line="170"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Certain of our secured indebtedness, including borrowings under our existing credit facility, is or is expected to be, as applicable, subject to variable rates of interest and expose us to interest rate risk. If interest rates increase, our debt service obligations on the variable-rate indebtedness would increase and our net loss would increase, even though the amount borrowed under the facility remained the same. As of December 31, 2022, we had no outstanding variable-rate debt. However, if and to the extent we borrow in the future, an unfavorable movement in interest rates, primarily SOFR, could result in higher interest expense and cash payments for us. Although we may enter into interest rate hedges, involving the partial or full (i) exchange of floating for fixed-rate interest payments or (ii) obtaining an interest rate cap, to reduce interest rate volatility, we cannot provide assurance that we will enter into such arrangements or that they will successfully mitigate such interest rate volatility. SOFR is a broad measure of the cost of borrowing cash in the overnight U.S treasury repo market, and the Federal Reserve Bank of New York has published the daily rate since 2018.</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Debt Covenants Restrict our Financial and Operational Flexibility</w:t>
      </w:r>
    </w:p>
    <w:p>
      <w:pPr>
        <w:spacing w:after="0" w:line="22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credit facility contains a number of financial covenants which, among other things, require us to maintain specified financial ratios and impose certain limitations on us with respect to investments, additional indebtedness, dividends, distributions, guarantees, liens and encumbrances. Our ability to meet these financial ratios can be affected by operating performance or other events beyond our control, and we cannot assure you that we will meet those ratios. Certain events of default under our credit facility could allow the lenders to declare all amounts outstanding to be immediately due and payable and, therefore, could have a material adverse effect on our business. 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Radio Broadcasting Industry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Stations Must Compete for Advertising Revenues in Their Respective Markets</w:t>
      </w:r>
    </w:p>
    <w:p>
      <w:pPr>
        <w:spacing w:after="0" w:line="225"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Radio broadcasting is a highly competitive business. Our stations compete for listeners and advertising revenues within their respective markets directly with other radio stations, as well as with other media, such as broadcast radio (as applicable), cable television and/or radio, satellite television and/or satellite radio systems, newspapers, magazines, direct mail, the Internet, coupons and billboard advertising. Audience ratings and market shares are subject to change, and any change in a particular market could have a material adverse effect on the revenue of our stations located in that market. While we already compete in some of our markets with other stations with similar programming formats, if another radio station in a market were to convert its programming format to a format similar to one of our stations, or if a new station were to adopt a comparable format or if an existing competitor were to strengthen its operations, our stations could experience a reduction in ratings and/or advertising revenue and could incur increased promotional and other expenses. Other radio broadcasting companies may enter into the markets in which we operate or may operate in the future. These companies may be larger and have more financial resources than we have. We cannot assure you that any of our stations will be able to maintain or increase their current audience ratings and advertising revenues.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Depend on Key Personnel</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business is partially dependent upon the performance of certain key individuals, particularly Christopher S. Forgy, our President and CEO. Although we have entered into employment and non-competition agreements with Mr. Forgy, which terminate on December 7, 2025, and certain other key personnel, including on-air personalities, we cannot be sure that such key personnel will remain with us. We can give no assurance that all or any of these employees will remain with us or will retain their audiences. Many of our key employees are at-will employees who are under no legal obligation to remain with us. Our competitors may choose to extend offers to any of these individuals on terms which we may be unwilling to meet. In addition, any or all of our key employees may decide to leave for a variety of personal or other reasons beyond our control. Furthermore, the popularity and audience loyalty of our key on-air personalities is highly sensitive to rapidly changing public tastes. A loss of such popularity or audience loyalty is beyond our control and could limit our ability to generate revenues.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on our Ability to Identify and Integrate Acquired Stations</w:t>
      </w:r>
    </w:p>
    <w:p>
      <w:pPr>
        <w:spacing w:after="0" w:line="22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As part of our strategy, we have pursued and may continue to pursue acquisitions of additional radio stations, subject to the terms of our credit facility. Broadcasting is a rapidly consolidating industry, with many companies seeking to consummate acquisitions and increase their market share. In this environment, we compete and will continue to compete with many other buyers for the acquisition of radio stations. Some of those competitors may be able to outbid us for acquisitions because they have greater financial resources or for other reasons. As a result of these and other factors, our ability to identify and consummate future acquisitions is uncertain.</w:t>
      </w:r>
    </w:p>
    <w:p>
      <w:pPr>
        <w:spacing w:after="0" w:line="178"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consummation of all future acquisitions is subject to various conditions, including FCC and other regulatory approvals. The FCC must approve any transfer of control or assignment of broadcast licenses. Such acquisitions could be delayed by shutdowns of the U.S. Government. In addition, acquisitions may encounter intense scrutiny under federal and state antitrust laws. Our future acquisitions may be subject to notification under the Hart-Scott-Rodino Antitrust Improvements Act of 1976 and to a waiting period and possible review by the Department of Justice and the Federal Trade Commission. Any delays, injunctions, conditions or modifications by any of these federal agencies could have a negative effect on us and result in the abandonment of all or part of otherwise attractive acquisition opportunities. We cannot predict whether we will be successful in identifying future acquisition opportunities or what the consequences will be of any acquisitions.</w:t>
      </w:r>
    </w:p>
    <w:p>
      <w:pPr>
        <w:spacing w:after="0" w:line="181"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Certain of our acquisitions may prove unprofitable and fail to generate anticipated cash flows. In addition, the success of any completed acquisition will depend on our ability to effectively integrate the acquired stations. The process of integrating acquired stations may involve numerous risks, including difficulties in the assimilation of operations, the diversion of management’s attention from other business concerns, risk of entering new markets, and the potential loss of key employees of the acquired stations.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Impairment of our FCC Broadcasting Licenses Could Affect our Operating Results</w:t>
      </w:r>
    </w:p>
    <w:p>
      <w:pPr>
        <w:spacing w:after="0" w:line="22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As of December 31, 2022, our FCC broadcasting licenses represented 38% of our total assets. We are required to test our FCC broadcasting licenses for impairment on an annual basis, or more frequently if events or changes in circumstances indicate that our FCC broadcasting licenses might be impaired which may result in future impairment losses. For further discussion, see Item 7. Management’s Discussion and Analysis of Financial Condition and Results of Operations – Critical Accounting Policies and Estimates included with this Form 10-K. On January 24, 2020, the President signed into law the “PIRATE” Act which authorizes the FCC to fine illegal broadcasters up to $2 million. The current administration has included funding for PIRATE enforcement in the FCC’s budget for the current fiscal year.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Subject to Extensive Federal Regulation</w:t>
      </w:r>
    </w:p>
    <w:p>
      <w:pPr>
        <w:spacing w:after="0" w:line="225"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The broadcasting industry is subject to extensive federal regulation which, among other things, requires approval by the FCC of transfers, assignments and renewals of broadcasting licenses, limits the number of broadcasting properties that may be acquired within a specific market, and regulates programming and operations. For a detailed description of the material regulations applicable to our business, see “Federal Regulation of Radio Broadcasting” and “Other FCC Requirements” in Item 1 of this Form 10-K. Failure to comply with these regulations could, under certain circumstances and among other things, result in the denial of renewal or revocation of FCC licenses, shortened license renewal terms, monetary forfeitures or other penalties which would adversely affect our profitability. Changes in ownership requirements could limit our ability to own or acquire stations in certain markets.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Federal Regulations or Fees Could Affect our Broadcasting Operations</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There has been proposed legislation in the past and there could be again in the future that requires radio broadcasters to pay additional fees such as a spectrum fee for the use of the spectrum or a royalty fee to record labels and performing artists for use of their recorded music. Currently, we pay royalties to song composers, publishers, and performers indirectly through third parties. Any proposed legislation that becomes law could add an additional layer of royalties to be paid directly to the record labels and artists. These proposed royalties have been the subject of considerable debate and activity by the broadcast industry and other parties affected by the legislation. It is currently unknown what impact any potential required royalty payments would have on our results of operations, cash flows or financial position.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FCC’s Vigorous Enforcement of Indecency Rules Could Affect our Broadcasting Operations</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Federal law regulates the broadcast of obscene, indecent or profane material. The FCC has increased its enforcement efforts relating to the regulation of indecency violations, and Congress has increased the penalties for broadcasting obscene, indecent or profane programming, and these penalties may potentially subject broadcasters to license revocation, renewal or qualification proceedings in the event that they broadcast such material. The FCC has expanded the scope of items considered indecent to include material that coud be considered “blasphemy,” “personally reviling epithets,” “profanity” and vulgar or coarse words, amounting to a nuisance. The maximum forfeiture penalty (after 2022 annual inflation adjustment) for an indecency violation is $479,945 per incident and $4,430,255 for a continuing violation arising from a single act or failure to act. In March 2015, the FCC issued a Notice of Apparent Liability for the then maximum forfeiture amount of $325,000 against a television station for violation of the indecency laws. In addition, the FCC’s heightened focus on the indecency regulations against the broadcast industry may encourage third parties to oppose our license renewal applications or applications for consent to acquire broadcast stations. Because the FCC may investigate indecency complaints prior to notifying a licensee of the existence of a complaint, a licensee may not have knowledge of a complaint unless and until the complaint results in the issuance of a formal FCC letter of inquiry or notice of apparent liability for forfeiture. We may in the future become subject to inquiries or proceedings related to our stations’ broadcast of obscene, indecent or profane material. To the extent that any inquiries or other proceedings result in the imposition of fines, a settlement with the FCC, revocation of any of our station licenses or denials of license renewal applications, our result of operations and business could be materially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Technologies May Affect our Broadcasting Operations</w:t>
      </w:r>
    </w:p>
    <w:p>
      <w:pPr>
        <w:spacing w:after="0" w:line="225"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The FCC has and is considering ways to introduce new technologies to the broadcasting industry, including satellite and terrestrial delivery of digital audio broadcasting and the standardization of available technologies which significantly enhance the sound quality of AM broadcasters. We are unable to predict the effect such technologies may have on our broadcasting operations. The capital expenditures necessary to implement such technologies could be substantial.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Information Technology and Cybersecurity Failures or Data Security Breaches Could Harm Our Business</w:t>
      </w:r>
    </w:p>
    <w:p>
      <w:pPr>
        <w:spacing w:after="0" w:line="237"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Any internal technology error or failure impacting systems hosted internally or externally, or any large-scale external interruption in technology infrastructure we depend on, such as power, telecommunications or the Internet, may disrupt our technology network. Any individual, sustained or repeated failure of technology could impact our customer service and result in increased costs or reduced revenues. Our technology systems and related data also may be vulnerable to a variety of sources of interruption due to events beyond our control, including natural disasters, terrorist attacks, telecommunications failures, computer viruses, hackers and other security issues. While we have in place, and continue to invest in, technology security initiatives and disaster recovery plans, these measures may not be adequate or implemented properly to prevent a business disruption and its adverse financial impact and consequences to our business' reputation.</w:t>
      </w:r>
    </w:p>
    <w:p>
      <w:pPr>
        <w:spacing w:after="0" w:line="165" w:lineRule="exact"/>
        <w:rPr>
          <w:sz w:val="20"/>
          <w:szCs w:val="20"/>
          <w:color w:val="auto"/>
        </w:rPr>
      </w:pPr>
    </w:p>
    <w:p>
      <w:pPr>
        <w:ind w:left="60" w:right="79" w:firstLine="271"/>
        <w:spacing w:after="0" w:line="271" w:lineRule="auto"/>
        <w:rPr>
          <w:sz w:val="20"/>
          <w:szCs w:val="20"/>
          <w:color w:val="auto"/>
        </w:rPr>
      </w:pPr>
      <w:r>
        <w:rPr>
          <w:rFonts w:ascii="Arial" w:cs="Arial" w:eastAsia="Arial" w:hAnsi="Arial"/>
          <w:sz w:val="17"/>
          <w:szCs w:val="17"/>
          <w:color w:val="auto"/>
        </w:rPr>
        <w:t>In addition, as a part of our ordinary business operations, we may collect and store sensitive data, including personal information of our clients, listeners and employees. The secure operation of the networks and systems on which this type of information is stored, processed and maintained is critical to our business operations and strategy. Any compromise of our technology systems resulting from attacks by hackers or breaches due to employee error or malfeasance could result in the loss, disclosure, misappropriation of or access to clients’, listeners’, employees’ or business partners’ information. Any such loss, disclosure, misappropriation or access could result in legal claims or proceedings, liability or regulatory penalties under laws protecting the privacy of personal information, disrupt operations and damage our reputation, any or all of which could adversely affect our business.</w:t>
      </w:r>
    </w:p>
    <w:p>
      <w:pPr>
        <w:spacing w:after="0" w:line="178" w:lineRule="exact"/>
        <w:rPr>
          <w:sz w:val="20"/>
          <w:szCs w:val="20"/>
          <w:color w:val="auto"/>
        </w:rPr>
      </w:pPr>
    </w:p>
    <w:p>
      <w:pPr>
        <w:ind w:left="60" w:right="99" w:firstLine="276"/>
        <w:spacing w:after="0" w:line="254" w:lineRule="auto"/>
        <w:rPr>
          <w:sz w:val="20"/>
          <w:szCs w:val="20"/>
          <w:color w:val="auto"/>
        </w:rPr>
      </w:pPr>
      <w:r>
        <w:rPr>
          <w:rFonts w:ascii="Arial" w:cs="Arial" w:eastAsia="Arial" w:hAnsi="Arial"/>
          <w:sz w:val="18"/>
          <w:szCs w:val="18"/>
          <w:color w:val="auto"/>
        </w:rPr>
        <w:t>To meet business objectives, the Company relies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the Company’s sensitive data.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192" w:lineRule="exact"/>
        <w:rPr>
          <w:sz w:val="20"/>
          <w:szCs w:val="20"/>
          <w:color w:val="auto"/>
        </w:rPr>
      </w:pPr>
    </w:p>
    <w:p>
      <w:pPr>
        <w:ind w:left="60" w:right="219" w:firstLine="270"/>
        <w:spacing w:after="0" w:line="263" w:lineRule="auto"/>
        <w:rPr>
          <w:sz w:val="20"/>
          <w:szCs w:val="20"/>
          <w:color w:val="auto"/>
        </w:rPr>
      </w:pPr>
      <w:r>
        <w:rPr>
          <w:rFonts w:ascii="Arial" w:cs="Arial" w:eastAsia="Arial" w:hAnsi="Arial"/>
          <w:sz w:val="18"/>
          <w:szCs w:val="18"/>
          <w:color w:val="auto"/>
        </w:rPr>
        <w:t>In September 2021, one of our third-party service providers of a critical application used in our business, was the victim of a ransomware cyberattack. However, the Company’s data was not breached in connection with this incident and the incident did not have a material impact on the Company’s business or operations.</w:t>
      </w:r>
    </w:p>
    <w:p>
      <w:pPr>
        <w:spacing w:after="0" w:line="184" w:lineRule="exact"/>
        <w:rPr>
          <w:sz w:val="20"/>
          <w:szCs w:val="20"/>
          <w:color w:val="auto"/>
        </w:rPr>
      </w:pPr>
    </w:p>
    <w:p>
      <w:pPr>
        <w:ind w:left="60" w:right="99" w:firstLine="270"/>
        <w:spacing w:after="0" w:line="293" w:lineRule="auto"/>
        <w:rPr>
          <w:sz w:val="20"/>
          <w:szCs w:val="20"/>
          <w:color w:val="auto"/>
        </w:rPr>
      </w:pPr>
      <w:r>
        <w:rPr>
          <w:rFonts w:ascii="Arial" w:cs="Arial" w:eastAsia="Arial" w:hAnsi="Arial"/>
          <w:sz w:val="16"/>
          <w:szCs w:val="16"/>
          <w:color w:val="auto"/>
        </w:rPr>
        <w:t>To date, the Company has not experienced any material impact to the business or operations resulting from information or cybersecurity attacks; however, because of the frequently changing attack techniques, along with the increased volume and sophistication of the attacks, there remains the potential for the Company to be adversely impacted. This impact could result in reputational, competitive, operational or other business harm as well as financial costs and regulatory action. The Company currently maintains cybersecurity insurance in the event of an information security or cyber incident, however, the coverage may not be sufficient to cover all financial losses nor may it be available in the future.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Ownership of Our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is No Longer Controlled by our President, Chief Executive Officer and Chairman</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Edward K. Christian, our founder and former President, Chief Executive Officer and Chairman, passed away on August 19, 2022. Mr. Christian held approximately 65% of the combined voting power of our Common Stock (based on Class B Common Stock generally being entitled to ten votes per share, with certain exceptions, but not including options to acquire Class B Common Stock). As a result, Mr. Christian was generally able to control the vote on most matters submitted to the vote of shareholders and, therefore, was able to direct our management and policies, except with respect to</w:t>
      </w:r>
    </w:p>
    <w:p>
      <w:pPr>
        <w:spacing w:after="0" w:line="2" w:lineRule="exact"/>
        <w:rPr>
          <w:sz w:val="20"/>
          <w:szCs w:val="20"/>
          <w:color w:val="auto"/>
        </w:rPr>
      </w:pPr>
    </w:p>
    <w:p>
      <w:pPr>
        <w:ind w:left="60" w:right="119" w:hanging="10"/>
        <w:spacing w:after="0" w:line="286"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election of the two Class A directors, (ii) those matters where the shares of our Class B Common Stock are only entitled to one vote per share, and (iii) other matters requiring a class vote under the provisions of our certificate of incorporation, bylaws or applicable law. Upon Mr. Christian’s passing on August 19, 2022, his Class B shares were transferred into an estate planning trust and that transfer resulted in an automatic conversion of each Class B share he held into one fully paid and non-assessable Class A Share. Those Class A Shares have the same voting rights as all other Class A Shares, and the estate has approximately 16% voting rights after the conversion of the shares from Class B Shares to Class A Shares. As a result of the change in voting control, the Company has entered into a period of significant transition and is potentially more vulnerable to activist investors or hostile takeover attempts. If the Company is unable to manage this transition effectively, it may have an adverse impact on the Company and its shareholders.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Experience Volatility in the Market Price of our Common Stock</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market price of our common stock has fluctuated in the past and may continue to be volatile. In addition to stock market fluctuations due to economic or other factors, the volatility of our shares may be influenced by lower trading volume and concentrated ownership relative to many of our publicly-held competitors. Because several of our shareholders own significant portions of our outstanding shares, our stock is relatively less liquid and therefore more susceptible to price fluctuations than many other companies’ shares. If these shareholders were to sell all or a portion of their holdings of our common stock, then the market price of our common stock could be negatively affected. Investors should be aware that they could experience short-term volatility in our stock if such shareholders decide to sell all or a portion of their holdings of our common stock at once or within a short period of time.</w:t>
      </w:r>
    </w:p>
    <w:p>
      <w:pPr>
        <w:spacing w:after="0" w:line="178"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We are a Smaller Reporting Company and Intend to Avail Ourselves of Certain Reduced Disclosure Requirements Applicable to Smaller Reporting Companies, which could make our Common Stock Less Attractive to Investors.</w:t>
      </w:r>
    </w:p>
    <w:p>
      <w:pPr>
        <w:spacing w:after="0" w:line="100"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We are a smaller reporting company, as defined in the Exchange Act, and we intend to take advantage of certain exemptions from various reporting requirements that are applicable to other public companies that are not applicable to smaller reporting companies, including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intend to take advantage of certain of these reporting exemptions until we are no longer a smaller reporting company. We will remain a smaller reporting company until the aggregate market value of our outstanding common stock held by non-affiliates as of the last business day of our most recently completed second fiscal quarter is $250 million or more.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1B.  </w:t>
      </w:r>
      <w:r>
        <w:rPr>
          <w:rFonts w:ascii="Arial" w:cs="Arial" w:eastAsia="Arial" w:hAnsi="Arial"/>
          <w:sz w:val="18"/>
          <w:szCs w:val="18"/>
          <w:b w:val="1"/>
          <w:bCs w:val="1"/>
          <w:i w:val="1"/>
          <w:iCs w:val="1"/>
          <w:u w:val="single" w:color="auto"/>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i w:val="1"/>
          <w:iCs w:val="1"/>
          <w:u w:val="single" w:color="auto"/>
          <w:color w:val="auto"/>
        </w:rPr>
        <w:t>. Properties</w:t>
      </w:r>
    </w:p>
    <w:p>
      <w:pPr>
        <w:spacing w:after="0" w:line="229"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corporate headquarters is located in Grosse Pointe Farms, Michigan. The types of properties required to support each of our stations include offices, studios, and transmitter and antenna sites. A station’s studios are generally housed with its offices in business districts. The transmitter sites and antenna sites are generally located so as to provide maximum market coverage for our stations’ broadcast signals.</w:t>
      </w:r>
    </w:p>
    <w:p>
      <w:pPr>
        <w:spacing w:after="0" w:line="187"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As of December 31, 2022, the studios and offices of 25 of our 28 operating locations, including our corporate headquarters in Michigan, are located in facilities we own. The remaining studios and offices are located in leased facilities with lease terms that expire in 1.9 years to 5.8 years. We own or lease our transmitter and antenna sites, with lease terms that expire in less than 1 year to 68 years. We do not anticipate any difficulties in renewing those leases that expire within the next five years or in leasing other space, if required.</w:t>
      </w:r>
    </w:p>
    <w:p>
      <w:pPr>
        <w:spacing w:after="0" w:line="176"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No one property is material to our overall operations. We believe that our properties are in good condition and suitable for our operations.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own substantially all of the equipment used in our broadcasting business.</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i w:val="1"/>
          <w:iCs w:val="1"/>
          <w:u w:val="single" w:color="auto"/>
          <w:color w:val="auto"/>
        </w:rPr>
        <w:t>Legal Proceedings</w:t>
      </w:r>
    </w:p>
    <w:p>
      <w:pPr>
        <w:spacing w:after="0" w:line="229" w:lineRule="exact"/>
        <w:rPr>
          <w:sz w:val="20"/>
          <w:szCs w:val="20"/>
          <w:color w:val="auto"/>
        </w:rPr>
      </w:pPr>
    </w:p>
    <w:p>
      <w:pPr>
        <w:jc w:val="both"/>
        <w:ind w:left="60" w:right="459" w:firstLine="324"/>
        <w:spacing w:after="0" w:line="286" w:lineRule="auto"/>
        <w:rPr>
          <w:sz w:val="20"/>
          <w:szCs w:val="20"/>
          <w:color w:val="auto"/>
        </w:rPr>
      </w:pPr>
      <w:r>
        <w:rPr>
          <w:rFonts w:ascii="Arial" w:cs="Arial" w:eastAsia="Arial" w:hAnsi="Arial"/>
          <w:sz w:val="17"/>
          <w:szCs w:val="17"/>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6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i w:val="1"/>
          <w:iCs w:val="1"/>
          <w:u w:val="single" w:color="auto"/>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659"/>
        <w:spacing w:after="0" w:line="282" w:lineRule="auto"/>
        <w:rPr>
          <w:sz w:val="20"/>
          <w:szCs w:val="20"/>
          <w:color w:val="auto"/>
        </w:rPr>
      </w:pPr>
      <w:r>
        <w:rPr>
          <w:rFonts w:ascii="Arial" w:cs="Arial" w:eastAsia="Arial" w:hAnsi="Arial"/>
          <w:sz w:val="18"/>
          <w:szCs w:val="18"/>
          <w:b w:val="1"/>
          <w:bCs w:val="1"/>
          <w:u w:val="single" w:color="auto"/>
          <w:color w:val="auto"/>
        </w:rPr>
        <w:t xml:space="preserve">Item 5. </w:t>
      </w:r>
      <w:r>
        <w:rPr>
          <w:rFonts w:ascii="Arial" w:cs="Arial" w:eastAsia="Arial" w:hAnsi="Arial"/>
          <w:sz w:val="18"/>
          <w:szCs w:val="18"/>
          <w:b w:val="1"/>
          <w:bCs w:val="1"/>
          <w:i w:val="1"/>
          <w:iCs w:val="1"/>
          <w:u w:val="single" w:color="auto"/>
          <w:color w:val="auto"/>
        </w:rPr>
        <w:t>Market for Registrant’s Common Equity, Related Shareholder Matters and Issuer Purchases of Equity</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i w:val="1"/>
          <w:iCs w:val="1"/>
          <w:u w:val="single" w:color="auto"/>
          <w:color w:val="auto"/>
        </w:rPr>
        <w:t>Securities</w:t>
      </w:r>
    </w:p>
    <w:p>
      <w:pPr>
        <w:spacing w:after="0" w:line="16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Our Class A Common Stock trades on the NASDAQ Global Market of the NASDAQ Stock Market LLC under the ticker symbol SGA.</w:t>
      </w:r>
    </w:p>
    <w:p>
      <w:pPr>
        <w:spacing w:after="0" w:line="170"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The closing price for our Class A Common Stock on March 3, 2023 as reported by the NASDAQ was $24.05. As of March 3, 2023, there were approximately 174 holders of record of our Class A Common Stock. This figure does not include an estimate of the indeterminate number of beneficial holders whose shares may be held of record by brokerage firms and clearing agencies.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During 2022, our Board of Directors declared four quarterly cash dividends and two special dividends totaling $4.86 per share on our Classes A and B shares. These dividends totaling approximately $29.6 million were accrued or paid during 2022. In December 2022, the Board of Directors adopted a new variable dividend policy for the allocation of cash flows aligned with the Company’s goals of maintaining a strong balance sheet, increasing cash returns to shareholders, and continuing to grow the Company through strategic acquisitions. Under the new policy, in addition to any quarterly and special dividends paid, the Company will declare an additional dividend in the second quarter of each year of 70% of the preceding year’s annual Free Cash Flow, as reported in the Company’s fourth quarter earnings release, net of acquisitions, special and quarterly dividends, debt paydowns and debt issuance costs, and stock buybacks. See Note 1 of the financial statements for specific details on the dividends.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During 2021, our Board of Directors declared three quarterly cash dividends and a special dividend totaling $0.98 per share on our Classes A and B shares. These dividends totaling approximately $5.9 million were accrued or paid during 2021. See Note 1 of the financial statements for specific details on the dividends.</w:t>
      </w:r>
    </w:p>
    <w:p>
      <w:pPr>
        <w:spacing w:after="0" w:line="184"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During 2020, our Board of Directors declared one quarterly cash dividends totaling $0.32 per share on our Classes A and B shares. These dividends totaling approximately $1.9 million were paid during 2020. In the second quarter of 2020, our Board of Directors announced that it was temporarily suspending the quarterly cash dividend in response to the continued uncertainty of the ongoing impact of COVID-19. See Note 1 of the financial statements for specific details on the dividends.</w:t>
      </w:r>
    </w:p>
    <w:p>
      <w:pPr>
        <w:spacing w:after="0" w:line="188"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Company currently intends to declare regular quarterly cash dividends, special dividends, variable dividends, and stock buybacks in the future consistent with its goals as previously stated. The declaration and payment of any future dividend, whether fixed, special, or based upon the variable policy, will remain at the full discretion of the Company’s Board of Directors and will depend upon the Company’s financial results, cash requirements, future expectations, and other factors that the Company’s Board of Directors finds relevant at the time of considering any potential dividend declaration.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 Information</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following table sets forth as of December 31, 2022, the number of securities outstanding under our equity compensation plans, the weighted average exercise price of such securities and the number of securities available for grant under these plans: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20"/>
                <w:szCs w:val="20"/>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191"/>
        </w:trPr>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Future Issuance</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Exercise Price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9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Outstanding 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Warrants, and</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Warrants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(Excluding</w:t>
            </w:r>
          </w:p>
        </w:tc>
      </w:tr>
      <w:tr>
        <w:trPr>
          <w:trHeight w:val="234"/>
        </w:trPr>
        <w:tc>
          <w:tcPr>
            <w:tcW w:w="4140" w:type="dxa"/>
            <w:vAlign w:val="bottom"/>
            <w:gridSpan w:val="3"/>
          </w:tcPr>
          <w:p>
            <w:pPr>
              <w:ind w:left="20"/>
              <w:spacing w:after="0"/>
              <w:rPr>
                <w:sz w:val="20"/>
                <w:szCs w:val="20"/>
                <w:color w:val="auto"/>
              </w:rPr>
            </w:pPr>
            <w:r>
              <w:rPr>
                <w:rFonts w:ascii="Arial" w:cs="Arial" w:eastAsia="Arial" w:hAnsi="Arial"/>
                <w:sz w:val="18"/>
                <w:szCs w:val="18"/>
                <w:b w:val="1"/>
                <w:bCs w:val="1"/>
                <w:color w:val="auto"/>
              </w:rPr>
              <w:t>Plan Category</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Rights</w:t>
            </w:r>
          </w:p>
        </w:tc>
        <w:tc>
          <w:tcPr>
            <w:tcW w:w="10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and Rights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Column (a))</w:t>
            </w:r>
          </w:p>
        </w:tc>
      </w:tr>
      <w:tr>
        <w:trPr>
          <w:trHeight w:val="210"/>
        </w:trPr>
        <w:tc>
          <w:tcPr>
            <w:tcW w:w="2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02"/>
        </w:trPr>
        <w:tc>
          <w:tcPr>
            <w:tcW w:w="41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Equity Compensation Plans Approved by</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6"/>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Employees’ 401(k) Savings and Investment Plan</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520,665</w:t>
            </w: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2005 Incentive Compensation Plan</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91,120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125,295</w:t>
            </w:r>
          </w:p>
        </w:tc>
      </w:tr>
      <w:tr>
        <w:trPr>
          <w:trHeight w:val="202"/>
        </w:trPr>
        <w:tc>
          <w:tcPr>
            <w:tcW w:w="4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Shareholders: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4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645,960</w:t>
            </w: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67" w:lineRule="exact"/>
        <w:rPr>
          <w:sz w:val="20"/>
          <w:szCs w:val="20"/>
          <w:color w:val="auto"/>
        </w:rPr>
      </w:pPr>
    </w:p>
    <w:p>
      <w:pPr>
        <w:ind w:left="700" w:hanging="6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91,120 shares are restricted stock.</w:t>
      </w:r>
    </w:p>
    <w:p>
      <w:pPr>
        <w:spacing w:after="0" w:line="225" w:lineRule="exact"/>
        <w:rPr>
          <w:rFonts w:ascii="Arial" w:cs="Arial" w:eastAsia="Arial" w:hAnsi="Arial"/>
          <w:sz w:val="18"/>
          <w:szCs w:val="18"/>
          <w:color w:val="auto"/>
        </w:rPr>
      </w:pPr>
    </w:p>
    <w:p>
      <w:pPr>
        <w:ind w:left="700" w:hanging="6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Weighted-Average Exercise Price of Outstanding Options is $0.00 as they are all restricted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659" w:firstLine="324"/>
        <w:spacing w:after="0" w:line="263"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December 31, 2022. Shares repurchased during the quarter were from the retention of shares for the payment of withholding taxes related to the vesting of restricted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Dollar</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40" w:type="dxa"/>
            <w:vAlign w:val="bottom"/>
            <w:gridSpan w:val="4"/>
          </w:tcPr>
          <w:p>
            <w:pPr>
              <w:ind w:left="180"/>
              <w:spacing w:after="0"/>
              <w:rPr>
                <w:sz w:val="20"/>
                <w:szCs w:val="20"/>
                <w:color w:val="auto"/>
              </w:rPr>
            </w:pPr>
            <w:r>
              <w:rPr>
                <w:rFonts w:ascii="Arial" w:cs="Arial" w:eastAsia="Arial" w:hAnsi="Arial"/>
                <w:sz w:val="18"/>
                <w:szCs w:val="18"/>
                <w:b w:val="1"/>
                <w:bCs w:val="1"/>
                <w:color w:val="auto"/>
              </w:rPr>
              <w:t>Paid per</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42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Program(2)</w:t>
            </w:r>
          </w:p>
        </w:tc>
      </w:tr>
      <w:tr>
        <w:trPr>
          <w:trHeight w:val="209"/>
        </w:trPr>
        <w:tc>
          <w:tcPr>
            <w:tcW w:w="20" w:type="dxa"/>
            <w:vAlign w:val="bottom"/>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October 31,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18,343,398</w:t>
            </w: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November 1 - November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5,771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18,203,509</w:t>
            </w: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18,203,509</w:t>
            </w:r>
          </w:p>
        </w:tc>
      </w:tr>
      <w:tr>
        <w:trPr>
          <w:trHeight w:val="209"/>
        </w:trPr>
        <w:tc>
          <w:tcPr>
            <w:tcW w:w="424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18,203,509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67" w:lineRule="exact"/>
        <w:rPr>
          <w:sz w:val="20"/>
          <w:szCs w:val="20"/>
          <w:color w:val="auto"/>
        </w:rPr>
      </w:pPr>
    </w:p>
    <w:p>
      <w:pPr>
        <w:ind w:left="720" w:right="7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shares were purchased other than through a publicly announced plan or program. The shares were forfeited to the Company for payment of tax withholding obligations related to the vesting of restricted stock.</w:t>
      </w:r>
    </w:p>
    <w:p>
      <w:pPr>
        <w:spacing w:after="0" w:line="146" w:lineRule="exact"/>
        <w:rPr>
          <w:rFonts w:ascii="Arial" w:cs="Arial" w:eastAsia="Arial" w:hAnsi="Arial"/>
          <w:sz w:val="17"/>
          <w:szCs w:val="17"/>
          <w:color w:val="auto"/>
        </w:rPr>
      </w:pPr>
    </w:p>
    <w:p>
      <w:pPr>
        <w:ind w:left="720" w:right="13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 longer required to provide a performance graph.</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w:t>
      </w:r>
      <w:r>
        <w:rPr>
          <w:rFonts w:ascii="Arial" w:cs="Arial" w:eastAsia="Arial" w:hAnsi="Arial"/>
          <w:sz w:val="18"/>
          <w:szCs w:val="18"/>
          <w:b w:val="1"/>
          <w:bCs w:val="1"/>
          <w:i w:val="1"/>
          <w:iCs w:val="1"/>
          <w:u w:val="single" w:color="auto"/>
          <w:color w:val="auto"/>
        </w:rPr>
        <w:t>Reserved</w:t>
      </w:r>
      <w:r>
        <w:rPr>
          <w:rFonts w:ascii="Arial" w:cs="Arial" w:eastAsia="Arial" w:hAnsi="Arial"/>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5"/>
          <w:szCs w:val="15"/>
          <w:b w:val="1"/>
          <w:bCs w:val="1"/>
          <w:i w:val="1"/>
          <w:iCs w:val="1"/>
          <w:u w:val="single" w:color="auto"/>
          <w:color w:val="auto"/>
        </w:rPr>
        <w:t>Management’s Discussion and Analysis of Financial Condition and Results of Operations</w:t>
      </w:r>
    </w:p>
    <w:p>
      <w:pPr>
        <w:spacing w:after="0" w:line="229"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following discussion should be read in conjunction with Item 1. Business and the consolidated financial statements and notes thereto of Saga Communications, Inc. and its subsidiaries contained elsewhere herein. The following discussion is presented on a consolidated basis. We serve twenty-seven radio markets (reporting units) that aggregate into one operating segment (Radio), which also qualifies as a reportable segment. We operate under one reportable busines segment for which segment disclosure is consistent with the management decision-making process that determines the allocation of resources and the measuring of performance. Corporate general and administrative expenses, interest expense, write-off debt issuance costs, other (income) expense, and income tax provision are managed on a consolidated basis.</w:t>
      </w:r>
    </w:p>
    <w:p>
      <w:pPr>
        <w:spacing w:after="0" w:line="192" w:lineRule="exact"/>
        <w:rPr>
          <w:sz w:val="20"/>
          <w:szCs w:val="20"/>
          <w:color w:val="auto"/>
        </w:rPr>
      </w:pPr>
    </w:p>
    <w:p>
      <w:pPr>
        <w:ind w:left="60" w:right="419" w:firstLine="324"/>
        <w:spacing w:after="0" w:line="308" w:lineRule="auto"/>
        <w:rPr>
          <w:sz w:val="20"/>
          <w:szCs w:val="20"/>
          <w:color w:val="auto"/>
        </w:rPr>
      </w:pPr>
      <w:r>
        <w:rPr>
          <w:rFonts w:ascii="Arial" w:cs="Arial" w:eastAsia="Arial" w:hAnsi="Arial"/>
          <w:sz w:val="17"/>
          <w:szCs w:val="17"/>
          <w:color w:val="auto"/>
        </w:rPr>
        <w:t>The discussion of our operating performance focuses on station operating income because we manage our stations primarily on station operating income. Operating performance is evaluated for each individual market.</w:t>
      </w:r>
    </w:p>
    <w:p>
      <w:pPr>
        <w:spacing w:after="0" w:line="14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it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Radio Stations</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84"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years ended December 31, 2022, 2021 and 2020, approximately 89%, 89% and 84%,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76"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revenue varies throughout the year. Advertising expenditures, our primary source of revenue, generally have been lowest during the winter months, which include the first quarter of each year. Political revenue was significantly higher in 2022 and 2020 due to the increased number of national, state, and local elections in most of our markets as compared to 2021. Our gross political revenue for the years ended December 31, 2022, 2021 and 2020 was $3,625,000, $1,780,000 and $6,890,000, respectively. We expect political revenue in 2023 to decrease from 2022 levels as a result of less elections in 2023 at the local, state and national levels.</w:t>
      </w:r>
    </w:p>
    <w:p>
      <w:pPr>
        <w:spacing w:after="0" w:line="178"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Our net operating revenue, station operating expense and operating income vary from market to market based upon the market’s rank or size which is based upon population and the available radio advertising revenue in that particular market.</w:t>
      </w:r>
    </w:p>
    <w:p>
      <w:pPr>
        <w:spacing w:after="0" w:line="124"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broadcast primarily in small to midsize markets. Historically, these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88"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81"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are increasing at a faster rate than our growth in revenues, until such time as we achieve our targeted levels of revenue for the acquired station or group of stations.</w:t>
      </w:r>
    </w:p>
    <w:p>
      <w:pPr>
        <w:spacing w:after="0" w:line="164"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by adjusting prices based upon local market conditions and ratings.</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While there may be shifts from time to time in the number of advertisements broadcast during a particular time of the day, the total number of advertisements broadcast on a particular station generally does not vary significantly from year to year. Any change in our revenue, with the exception of those instances where stations are acquired or sold, is generally the result of inventory sell out ratios and pricing adjustments, which are made to ensure that the station efficiently utilizes available inventory.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9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46"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84"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187"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During the years ended December 31, 2022, 2021 and 2020, our Columbus, Ohio; Des Moines, Iowa; Milwaukee, Wisconsin; Norfolk, Virginia and Portland, Maine markets, when combined, represented approximately 38%, 39%, and 40%, respectively, of our consolidated net operating revenue. An adverse change in any of these radio markets or relative market position in those markets could have a significant impact on our operating results as a whole.</w:t>
      </w:r>
    </w:p>
    <w:p>
      <w:pPr>
        <w:spacing w:after="0" w:line="15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tables describe the percentage of our consolidated net operating revenue represented by each of these markets:</w:t>
      </w:r>
    </w:p>
    <w:p>
      <w:pPr>
        <w:spacing w:after="0" w:line="20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Percentage of Consolidated</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Net Operating Revenue</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for the Years</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5715</wp:posOffset>
            </wp:positionV>
            <wp:extent cx="1808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ind w:left="6120"/>
        <w:spacing w:after="0"/>
        <w:tabs>
          <w:tab w:leader="none" w:pos="7120" w:val="left"/>
          <w:tab w:leader="none" w:pos="81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Market:</w:t>
            </w: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Des Moines, Iowa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Norfolk, Virginia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Portland, Maine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During the years ended December 31, 2022, 2021 and 2020, the radio stations in our five largest markets when combined, represented approximately 44%, 43% and 52%, respectively, of our consolidated station operating income. We note that the percent of consolidated station operating income at December 31, 2020 is higher than normal due to the impact of the COVID-19 pandemic on our markets. As the pandemic is resolved, we would anticipate results by market to continue to be back to normalized amounts in future years. The following tables describe the percentage of our consolidated station operating income represented by each of these markets:</w:t>
      </w:r>
    </w:p>
    <w:p>
      <w:pPr>
        <w:spacing w:after="0" w:line="18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Percentage of Consolidated</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Station Operating Income(*)</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for the Years Ended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5715</wp:posOffset>
            </wp:positionV>
            <wp:extent cx="18084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ind w:left="6120"/>
        <w:spacing w:after="0"/>
        <w:tabs>
          <w:tab w:leader="none" w:pos="7120" w:val="left"/>
          <w:tab w:leader="none" w:pos="81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w:t>
            </w: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Des Moines, Iowa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Norfolk, Virginia</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Portland, Maine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8 %</w:t>
            </w:r>
          </w:p>
        </w:tc>
      </w:tr>
      <w:tr>
        <w:trPr>
          <w:trHeight w:val="115"/>
        </w:trPr>
        <w:tc>
          <w:tcPr>
            <w:tcW w:w="224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380" w:right="219" w:hanging="330"/>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plus corporate general and administrative expenses, depreciation and amortization, other operating (income) expenses, and impairment of intangible assets.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tables summarize our results of operations for the three years ended December 31, 2022, 2021 and 2020.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Results of Operations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7"/>
            <w:vMerge w:val="restart"/>
          </w:tcPr>
          <w:p>
            <w:pPr>
              <w:jc w:val="right"/>
              <w:ind w:right="255"/>
              <w:spacing w:after="0"/>
              <w:rPr>
                <w:sz w:val="20"/>
                <w:szCs w:val="20"/>
                <w:color w:val="auto"/>
              </w:rPr>
            </w:pPr>
            <w:r>
              <w:rPr>
                <w:rFonts w:ascii="Arial" w:cs="Arial" w:eastAsia="Arial" w:hAnsi="Arial"/>
                <w:sz w:val="17"/>
                <w:szCs w:val="17"/>
                <w:b w:val="1"/>
                <w:bCs w:val="1"/>
                <w:color w:val="auto"/>
                <w:w w:val="96"/>
              </w:rPr>
              <w:t>Years Ended December 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7"/>
                <w:szCs w:val="17"/>
                <w:b w:val="1"/>
                <w:bCs w:val="1"/>
                <w:color w:val="auto"/>
              </w:rPr>
              <w:t>2022 vs. 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2021 vs. 2020</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7"/>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8"/>
              </w:rPr>
              <w:t>$ Increase</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Increase</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 Increase</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980" w:type="dxa"/>
            <w:vAlign w:val="bottom"/>
            <w:gridSpan w:val="3"/>
          </w:tcPr>
          <w:p>
            <w:pPr>
              <w:ind w:left="200"/>
              <w:spacing w:after="0"/>
              <w:rPr>
                <w:sz w:val="20"/>
                <w:szCs w:val="20"/>
                <w:color w:val="auto"/>
              </w:rPr>
            </w:pPr>
            <w:r>
              <w:rPr>
                <w:rFonts w:ascii="Arial" w:cs="Arial" w:eastAsia="Arial" w:hAnsi="Arial"/>
                <w:sz w:val="17"/>
                <w:szCs w:val="17"/>
                <w:b w:val="1"/>
                <w:bCs w:val="1"/>
                <w:color w:val="auto"/>
                <w:w w:val="87"/>
              </w:rPr>
              <w:t>(Decrease)</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7"/>
              </w:rPr>
              <w:t>(Decrease)</w:t>
            </w:r>
          </w:p>
        </w:tc>
        <w:tc>
          <w:tcPr>
            <w:tcW w:w="820" w:type="dxa"/>
            <w:vAlign w:val="bottom"/>
            <w:gridSpan w:val="3"/>
          </w:tcPr>
          <w:p>
            <w:pPr>
              <w:ind w:left="40"/>
              <w:spacing w:after="0"/>
              <w:rPr>
                <w:sz w:val="20"/>
                <w:szCs w:val="20"/>
                <w:color w:val="auto"/>
              </w:rPr>
            </w:pPr>
            <w:r>
              <w:rPr>
                <w:rFonts w:ascii="Arial" w:cs="Arial" w:eastAsia="Arial" w:hAnsi="Arial"/>
                <w:sz w:val="17"/>
                <w:szCs w:val="17"/>
                <w:b w:val="1"/>
                <w:bCs w:val="1"/>
                <w:color w:val="auto"/>
                <w:w w:val="87"/>
              </w:rPr>
              <w:t>(Decrease)</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7"/>
              </w:rPr>
              <w:t>(Decrease)</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gridSpan w:val="13"/>
          </w:tcPr>
          <w:p>
            <w:pPr>
              <w:jc w:val="right"/>
              <w:ind w:right="255"/>
              <w:spacing w:after="0" w:line="183" w:lineRule="exact"/>
              <w:rPr>
                <w:sz w:val="20"/>
                <w:szCs w:val="20"/>
                <w:color w:val="auto"/>
              </w:rPr>
            </w:pPr>
            <w:r>
              <w:rPr>
                <w:rFonts w:ascii="Arial" w:cs="Arial" w:eastAsia="Arial" w:hAnsi="Arial"/>
                <w:sz w:val="17"/>
                <w:szCs w:val="17"/>
                <w:b w:val="1"/>
                <w:bCs w:val="1"/>
                <w:color w:val="auto"/>
                <w:w w:val="97"/>
              </w:rPr>
              <w:t>(In thousands, except %’s and per share information)</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Net operating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108,343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95,813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w:t>
            </w: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6.0 % $</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13.1 %</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7"/>
                <w:szCs w:val="17"/>
                <w:color w:val="auto"/>
                <w:w w:val="97"/>
              </w:rPr>
              <w:t>Station operating expense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87,537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83,245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81,586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4,292</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5.2 %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1,659</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Corporate general and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administrative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11,574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42.4 %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5"/>
        </w:trPr>
        <w:tc>
          <w:tcPr>
            <w:tcW w:w="1940" w:type="dxa"/>
            <w:vAlign w:val="bottom"/>
          </w:tcPr>
          <w:p>
            <w:pPr>
              <w:spacing w:after="0" w:line="185" w:lineRule="exact"/>
              <w:rPr>
                <w:sz w:val="20"/>
                <w:szCs w:val="20"/>
                <w:color w:val="auto"/>
              </w:rPr>
            </w:pPr>
            <w:r>
              <w:rPr>
                <w:rFonts w:ascii="Arial" w:cs="Arial" w:eastAsia="Arial" w:hAnsi="Arial"/>
                <w:sz w:val="17"/>
                <w:szCs w:val="17"/>
                <w:color w:val="auto"/>
              </w:rPr>
              <w:t>Other operating (income)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N/M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1,254</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Impairment of intangible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20"/>
                <w:szCs w:val="20"/>
                <w:color w:val="auto"/>
              </w:rPr>
            </w:pPr>
            <w:r>
              <w:rPr>
                <w:rFonts w:ascii="Arial" w:cs="Arial" w:eastAsia="Arial" w:hAnsi="Arial"/>
                <w:sz w:val="17"/>
                <w:szCs w:val="17"/>
                <w:color w:val="auto"/>
              </w:rPr>
              <w:t>Operating income (loss)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13,070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15,051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(1,981)</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16,300</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(394)</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N/M</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65"/>
        </w:trPr>
        <w:tc>
          <w:tcPr>
            <w:tcW w:w="1940" w:type="dxa"/>
            <w:vAlign w:val="bottom"/>
          </w:tcPr>
          <w:p>
            <w:pPr>
              <w:spacing w:after="0" w:line="165" w:lineRule="exact"/>
              <w:rPr>
                <w:sz w:val="20"/>
                <w:szCs w:val="20"/>
                <w:color w:val="auto"/>
              </w:rPr>
            </w:pPr>
            <w:r>
              <w:rPr>
                <w:rFonts w:ascii="Arial" w:cs="Arial" w:eastAsia="Arial" w:hAnsi="Arial"/>
                <w:sz w:val="17"/>
                <w:szCs w:val="17"/>
                <w:color w:val="auto"/>
              </w:rPr>
              <w:t>Income (loss) before</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7"/>
                <w:szCs w:val="17"/>
                <w:color w:val="auto"/>
              </w:rPr>
              <w:t>(benefit)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14,002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(1,415)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16,625</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12.7 %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income (loss)</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9,202</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11,157</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(1,913)</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(1,955)</w:t>
            </w:r>
          </w:p>
        </w:tc>
        <w:tc>
          <w:tcPr>
            <w:tcW w:w="20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13,070</w:t>
            </w:r>
          </w:p>
        </w:tc>
        <w:tc>
          <w:tcPr>
            <w:tcW w:w="20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line="165" w:lineRule="exact"/>
              <w:rPr>
                <w:sz w:val="20"/>
                <w:szCs w:val="20"/>
                <w:color w:val="auto"/>
              </w:rPr>
            </w:pPr>
            <w:r>
              <w:rPr>
                <w:rFonts w:ascii="Arial" w:cs="Arial" w:eastAsia="Arial" w:hAnsi="Arial"/>
                <w:sz w:val="17"/>
                <w:szCs w:val="17"/>
                <w:color w:val="auto"/>
              </w:rPr>
              <w:t>Earnings (loss) per share</w:t>
            </w:r>
          </w:p>
        </w:tc>
        <w:tc>
          <w:tcPr>
            <w:tcW w:w="3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1.52</w:t>
            </w:r>
          </w:p>
        </w:tc>
        <w:tc>
          <w:tcPr>
            <w:tcW w:w="3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1.85</w:t>
            </w:r>
          </w:p>
        </w:tc>
        <w:tc>
          <w:tcPr>
            <w:tcW w:w="3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(0.32)</w:t>
            </w:r>
          </w:p>
        </w:tc>
        <w:tc>
          <w:tcPr>
            <w:tcW w:w="38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(0.33)</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2.17</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940" w:type="dxa"/>
            <w:vAlign w:val="bottom"/>
          </w:tcPr>
          <w:p>
            <w:pPr>
              <w:spacing w:after="0"/>
              <w:rPr>
                <w:sz w:val="20"/>
                <w:szCs w:val="20"/>
                <w:color w:val="auto"/>
              </w:rPr>
            </w:pPr>
            <w:r>
              <w:rPr>
                <w:rFonts w:ascii="Arial" w:cs="Arial" w:eastAsia="Arial" w:hAnsi="Arial"/>
                <w:sz w:val="17"/>
                <w:szCs w:val="17"/>
                <w:color w:val="auto"/>
              </w:rPr>
              <w:t>(diluted)</w:t>
            </w:r>
          </w:p>
        </w:tc>
        <w:tc>
          <w:tcPr>
            <w:tcW w:w="30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(17.8)%</w:t>
            </w: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year ended December 31, 2022, consolidated net operating revenue was $114,893,000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$108,343,000 for the year ended December 31, 2021, an increase of $6,550,000 or 6.0%. The increase in revenue in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was due to increases in gross local revenue of $2,284,000, gross political revenue of $1,846,000, non-spot revenue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$1,689,000, gross interactive revenue of $1,577,000, and gross barter revenue of $302,000 partially offset by a decrease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national revenue of $697,000 and an increase in agency commissions of $598,000 from 2021. The most significant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increases in gross local revenue and in agency commissions occurred in our Asheville, North Carolina; Charleston, South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Carolina; Ithaca, New York; and Manchester, New Hampshire markets. The gross political revenue increased due to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 in the number of national, state and local elections. The increase in non-spot revenue is primarily due to us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hosting more events again in 2022. The markets with the most significant increases in 2022 in non-spot events were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Charleston, South Carolina; Clarksville, Tennessee; Hilton Head, South Carolina; Jonesboro, Arkansas; Milwaukee,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Wisconsin; Portland, Maine and Yankton, South Dakota. The increase in gross interactive results is primarily due to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 in our streaming and website content revenue. The decrease in gross national revenue was attributable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decreases at the majority of markets due to the focus on local market advertisers offset by increases at our Columbus, Ohio;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Manchester, New Hampshire; and Portland, Maine markets.</w:t>
      </w:r>
    </w:p>
    <w:p>
      <w:pPr>
        <w:spacing w:after="0" w:line="211"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Station operating expense was $87,537,000 for the year ended December 31, 2022, compared with $83,245,000 for the year ended December 31, 2021, an increase of $4,292,000 or 5.2%. The increase in operating expenses was primarily a result of increases in sales survey expenses, compensation related expenses, commission expense, bad debt expenses, barter expenses, music licensing fees, utilities, merchant account fees, and promotional expenses of $1,407,000, $965,000, $840,000, $352,000, $346,000, $311,000, $286,000, $153,000 and $113,000, respectively, partially offset by decreases in healthcare costs of $530,000 from 2021.</w:t>
      </w:r>
    </w:p>
    <w:p>
      <w:pPr>
        <w:spacing w:after="0" w:line="178"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had operating income for the year ended December 31, 2022 of $13,070,000 compared to $15,051,000 for the year ended December 31, 2021, a decrease of $1,981,000. The decrease was a result of the increase in net operating revenue partially offset by the increase in station operating expense, described above, a decrease in other operating (income) expense of $21,000 offset by an increase in our corporate general and administrative expenses of $4,260,000 or 42.4%. The increase in corporate general and administrative expenses was primarily attributable to expenses under the employment agreement we had with our founder and CEO, Mr. Christian upon his death of which $3,900,000 was recorded in the third quarter of 2022. In addition, we had an increase in legal expenses, and transportation related costs of $207,000, and $156,000, respectively, from 2021. For our other operating (income) expense, net in 2022 we recorded a gain on the sale of fixed assets of $14,000 compared to a loss on the sale of fixed assets of $7,000 in 2021.</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generated net income of $9,202,000 ($1.52 per share on a fully diluted basis) during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compared to $11,157,000 ($1.85 per share on a fully diluted basis) for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2021, a decrease of $1,955,000. The decrease in net income is due to the decrease of operating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described above, an increase income taxes of $540,000, offset by a decrease in interest expense of $154,000, an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income of $394,000 and an increase in other income of $18,000. The decrease in interest expense is due to no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longer having any debt outstanding, after paying off the remaining balance in the fourth quarter of 2021. The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income is related to our short-term investments as described in footnote 1 (Summary of Significant Accounting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Policies). The increase in other income is primarily due to insurance proceeds for weather-related damages of $535,000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reimbursements from the FCC related to their spectrum auction of $116,000 in 2022 versus insurance proceeds in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$589,000 and other gains of $45,000 in 2021 as described in footnote 16 (Other Income). The increase in our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 expense is due to the permanent difference between book and taxable income related to the compensation paid to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founder and CEO as described above and in footnote 6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the year ended December 31, 2021, consolidated net operating revenue was $108,343,000 compared 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$95,813,000 for the year ended December 31, 2020, an increase of $12,530,000 or 13.1%. The increase in revenue in 2021</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attributable to lower-than-normal revenue in 2020 due to the COVID-19 pandemic. We had increases in gross local</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of $12,209,000, gross interactive revenue of $2,921,000, non-spot gross revenue of $1,484,000, gross national</w:t>
      </w:r>
    </w:p>
    <w:p>
      <w:pPr>
        <w:ind w:left="60"/>
        <w:spacing w:after="0" w:line="238" w:lineRule="auto"/>
        <w:rPr>
          <w:sz w:val="20"/>
          <w:szCs w:val="20"/>
          <w:color w:val="auto"/>
        </w:rPr>
      </w:pPr>
      <w:r>
        <w:rPr>
          <w:rFonts w:ascii="Arial" w:cs="Arial" w:eastAsia="Arial" w:hAnsi="Arial"/>
          <w:sz w:val="17"/>
          <w:szCs w:val="17"/>
          <w:color w:val="auto"/>
        </w:rPr>
        <w:t>revenue (excluding national political revenue) of $819,000, and gross barter revenue of $236,000 partially offset by a</w:t>
      </w:r>
    </w:p>
    <w:p>
      <w:pPr>
        <w:ind w:left="60"/>
        <w:spacing w:after="0"/>
        <w:rPr>
          <w:sz w:val="20"/>
          <w:szCs w:val="20"/>
          <w:color w:val="auto"/>
        </w:rPr>
      </w:pPr>
      <w:r>
        <w:rPr>
          <w:rFonts w:ascii="Arial" w:cs="Arial" w:eastAsia="Arial" w:hAnsi="Arial"/>
          <w:sz w:val="16"/>
          <w:szCs w:val="16"/>
          <w:color w:val="auto"/>
        </w:rPr>
        <w:t>decrease in gross political revenue of $5,104,000 from 2020. The increase in gross local, gross national and gross barter</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occurred in the majority of our markets as a result of the impact of the COVID-19 pandemic and the disruption to</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advertiser’s businesses in 2020, in contrast with the economic recovery that had begun to take place in 2021. The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gross interactive revenue was primarily due to an increase in our streaming and website content revenue.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non-spot gross revenue was primarily due to us starting to host events again in 2021, whereas the number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events being held in 2020 due to the COVID-19 pandemic was relatively very few. The decrease in gross political revenue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 due to fewer national, state and local elections in 2021 versus 2020 in the majority of our markets.</w:t>
      </w:r>
    </w:p>
    <w:p>
      <w:pPr>
        <w:spacing w:after="0" w:line="169" w:lineRule="exact"/>
        <w:rPr>
          <w:sz w:val="20"/>
          <w:szCs w:val="20"/>
          <w:color w:val="auto"/>
        </w:rPr>
      </w:pPr>
    </w:p>
    <w:p>
      <w:pPr>
        <w:ind w:left="60" w:right="139" w:firstLine="259"/>
        <w:spacing w:after="0" w:line="247" w:lineRule="auto"/>
        <w:rPr>
          <w:sz w:val="20"/>
          <w:szCs w:val="20"/>
          <w:color w:val="auto"/>
        </w:rPr>
      </w:pPr>
      <w:r>
        <w:rPr>
          <w:rFonts w:ascii="Arial" w:cs="Arial" w:eastAsia="Arial" w:hAnsi="Arial"/>
          <w:sz w:val="17"/>
          <w:szCs w:val="17"/>
          <w:color w:val="auto"/>
        </w:rPr>
        <w:t>Station operating expense was $83,245,000 for the year ended December 31, 2021, compared with $81,586,000 for the year ended December 31, 2020, an increase of $1,659,000 or 2.0%. The increase in operating expenses was primarily a result of increases in sales rating survey expenses, commission expense, barter expenses, interactive services expenses, healthcare costs and promotional expenses of $1,836,000, $1,035,000, $362,000, $331,000, $210,000, and $173,000, respectively, partially offset by decreases in compensation related expenses, depreciation and amortization expenses, and bad debt expense of $1,698,000, $754,000 and $364,000, respectively, from 2020.</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had operating income for the year ended December 31, 2021 of $15,051,000 compared to an operating loss of</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$1,249,000 for the year ended December 31, 2020, an increase of $16,300,000. The increase was a result of the increase in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operating revenue partially offset by the increase in station operating expense, described above, a non-cash impairment</w:t>
      </w:r>
    </w:p>
    <w:p>
      <w:pPr>
        <w:ind w:left="60"/>
        <w:spacing w:after="0" w:line="238" w:lineRule="auto"/>
        <w:rPr>
          <w:sz w:val="20"/>
          <w:szCs w:val="20"/>
          <w:color w:val="auto"/>
        </w:rPr>
      </w:pPr>
      <w:r>
        <w:rPr>
          <w:rFonts w:ascii="Arial" w:cs="Arial" w:eastAsia="Arial" w:hAnsi="Arial"/>
          <w:sz w:val="17"/>
          <w:szCs w:val="17"/>
          <w:color w:val="auto"/>
        </w:rPr>
        <w:t>charge of $5,149,000 in 2020 versus no impairment charge in 2021, and a decrease in our corporate general and</w:t>
      </w:r>
    </w:p>
    <w:p>
      <w:pPr>
        <w:ind w:left="60"/>
        <w:spacing w:after="0"/>
        <w:rPr>
          <w:sz w:val="20"/>
          <w:szCs w:val="20"/>
          <w:color w:val="auto"/>
        </w:rPr>
      </w:pPr>
      <w:r>
        <w:rPr>
          <w:rFonts w:ascii="Arial" w:cs="Arial" w:eastAsia="Arial" w:hAnsi="Arial"/>
          <w:sz w:val="16"/>
          <w:szCs w:val="16"/>
          <w:color w:val="auto"/>
        </w:rPr>
        <w:t>administrative expenses of $1,534,000 or 13.3%, offset by a decrease in other operating income of $1,254,000 due to a gain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the sale of land and a building at one of our tower sites in Bellingham, Washington for $1,400,000 in 2020. The</w:t>
      </w:r>
    </w:p>
    <w:p>
      <w:pPr>
        <w:ind w:left="60"/>
        <w:spacing w:after="0" w:line="234" w:lineRule="auto"/>
        <w:rPr>
          <w:sz w:val="20"/>
          <w:szCs w:val="20"/>
          <w:color w:val="auto"/>
        </w:rPr>
      </w:pPr>
      <w:r>
        <w:rPr>
          <w:rFonts w:ascii="Arial" w:cs="Arial" w:eastAsia="Arial" w:hAnsi="Arial"/>
          <w:sz w:val="18"/>
          <w:szCs w:val="18"/>
          <w:color w:val="auto"/>
        </w:rPr>
        <w:t>decrease in corporate general and administrative expenses was primarily attributable to decreases in non-cash</w:t>
      </w:r>
    </w:p>
    <w:p>
      <w:pPr>
        <w:ind w:left="60"/>
        <w:spacing w:after="0" w:line="232" w:lineRule="auto"/>
        <w:rPr>
          <w:sz w:val="20"/>
          <w:szCs w:val="20"/>
          <w:color w:val="auto"/>
        </w:rPr>
      </w:pPr>
      <w:r>
        <w:rPr>
          <w:rFonts w:ascii="Arial" w:cs="Arial" w:eastAsia="Arial" w:hAnsi="Arial"/>
          <w:sz w:val="17"/>
          <w:szCs w:val="17"/>
          <w:color w:val="auto"/>
        </w:rPr>
        <w:t>compensation related expenses, legal expenses, and contribution expenses of $886,000, $323,000, and $158,000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respectively.</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generated net income of $11,157,000 ($1.85 per share on a fully diluted basis) during the year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2021, compared to a net loss of $1,913,000 ($ (0.32) per share on a fully diluted basis) for the year ended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an increase of $13,070,000. The increase in net income was due to the increase of operating income,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described above, a decrease in interest expense of $56,000 and an increase in other income of $401,000, partially offset by</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 increase in income taxes of $3,555,000, and a decrease in interest income of $132,000. The decrease in interest expense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due to the decrease in our debt outstanding partially offset by an increase in our interest rates. The increase in other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was primarily due to insurance proceeds for weather-related damages. The increase in our income tax expense was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due to the increase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225"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On August 18, 2015, we entered into a credit facility (the “Credit Facility”) with JPMorgan Chase Bank, N.A., The Huntington National Bank, Citizens Bank, National Association and J.P. Morgan Securities LLC (collectively, the “Lenders”).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On November 1, 2021, we elected to further reduce our Revolving Credit Facility to $50 million. On December 19, 2022, we entered into a Third Amendment to our Credit Facility, (the “Third Amendment”), which extended the maturity date to December 19, 2027, reduced the lenders to JPMorgan Chase Bank, N.A., and the Huntington National Bank, established an interest rate equal to the secured overnight financing rate (“SOFR”) as administered by the SOFR Administrator (currently established as the Federal Reserve Bank of New York) as the interest base and increased the basis points.</w:t>
      </w:r>
    </w:p>
    <w:p>
      <w:pPr>
        <w:spacing w:after="0" w:line="171"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Approximately $266,000 of debt issuance costs related to the Credit Facility were capitalized and are being amortized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over the life of the Credit Facility. These debt issuance costs are included in other assets, net in the consolidated balance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sheets. As a result of the Second Amendment, the Company incurred an additional $120,000 of transaction fees related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Credit Facility that were capitalized. As a result of the Third Amendment, the Company incurred an additional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$161,000 of transaction fees related to the Credit Facility that were capitalized. The cumulative transaction fees are being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amortized over the remaining life of the Credit Facility.</w:t>
      </w:r>
    </w:p>
    <w:p>
      <w:pPr>
        <w:spacing w:after="0" w:line="211"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Interest rates under the Credit Facility are payable, at our option, at alternatives equal to SOFR (4.3% at December 31, 2022),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used portion of the Credit Facility. We previously paid quarterly commitment fees of 0.2% to 0.3% per annum on the unused portion of the Credit Facility.</w:t>
      </w:r>
    </w:p>
    <w:p>
      <w:pPr>
        <w:spacing w:after="0" w:line="166"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December 31, 2022) which, among other things, require us to maintain specified financial ratios and impose certain limitations on us with respect to investments, additional indebtedness, dividends, distributions, guarantees, liens and encumbrances.</w:t>
      </w:r>
    </w:p>
    <w:p>
      <w:pPr>
        <w:spacing w:after="0" w:line="187"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w:t>
      </w:r>
    </w:p>
    <w:p>
      <w:pPr>
        <w:spacing w:after="0" w:line="170"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After we paid down our debt and reduced our Revolving Credit Facility as noted above, we had approximately $50 million of unused borrowing capacity under the Revolving Credit Facility at December 31,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years ended December 31, 2022, 2021 and 2020, we had net cash flows from operating activities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$17,125,000, $19,104,000 and $12,088,000, respectively. We believe that cash flow from operations will be sufficient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meet any quarterly debt service requirements for interest and scheduled payments of principal under the Credit Facility if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borrow in the future. However, if such cash flow is not sufficient, we may be required to sell additional equity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securities, refinance our obligations or dispose of one or more of our properties in order to make such scheduled payments.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can be no assurance that we would be able to effect any such transactions on favorable terms, if at all.</w:t>
      </w:r>
    </w:p>
    <w:p>
      <w:pPr>
        <w:spacing w:after="0" w:line="211"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In March 2013, our Board of Directors authorized an increase to our Stock Buy-Back Program (the “Buy-Back Program”) to allow us to purchase up to $75.8 million of our Class A Common Stock. From its inception in 1998 through December 31, 2022, we have repurchased 2.2 million shares of our Class A Common Stock for $57.6 million. During the year ended December 31, 2022, approximately 6,000 shares were retained for payment of withholding taxes for $147,000 related to the vesting of restricted stock. Given the unprecedented uncertainty surrounding the COVID-19 virus and the resulting economic issues we halted the directions for any additional buybacks under our plan in 2020. We continue to monitor economic conditions to determine if and when it makes sense to make additional buybacks under our plan.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capital expenditures, exclusive of acquisitions, for the year ended December 31, 2022 were $5,994,000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($3,969,000 in 2021). We anticipate capital expenditures in 2023 to be approximately $5.0 million to $5.5 million,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expect to finance through funds generated from operations.</w:t>
      </w:r>
    </w:p>
    <w:p>
      <w:pPr>
        <w:spacing w:after="0" w:line="211"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16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On January 8, 2021, we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8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On January 2, 2020, we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w:t>
      </w:r>
    </w:p>
    <w:p>
      <w:pPr>
        <w:spacing w:after="0" w:line="188"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On March 31, 2020, we sold land and a building in our Bellingham, Washington market for approximately $1,700,000 to Talbot Real Estate, LLC resulting in a $1,400,000 gain on the sale of assets. The gain is recorded in the other operating (income) expense, net in the Company’s Consolidated Statements of Income.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7, 2022, the Company’s Board of Directors declared a quarterly cash dividend of $0.25 per share and 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special cash dividend of $2.00 per share on its Classes A Common Stock. This dividend, totaling approximately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$13,800,000, was paid on January 13, 2023 to shareholders of record on December 21, 2022 and is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in our Consolidated Balance Sheet at December 31, 2022.</w:t>
      </w:r>
    </w:p>
    <w:p>
      <w:pPr>
        <w:spacing w:after="0" w:line="211"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20, 2022, the Company’s Board of Directors declared a quarterly cash dividend of $0.25 per share and a special cash dividend of $2.00 per share on its Classes A Common Stock. This dividend, totaling approximately $13,600,000, was paid on October 21, 2022 to shareholders of record on October 3, 2022.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49"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14, 2021, the Company’s Board of Directors declared a quarterly cash dividend of $0.16 per share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special cash dividend of $0.50 per share on its Classes A and B Common Stock. This dividend, totaling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$3,988,000, was paid on January 14, 2022 to shareholders of record on December 27, 2021 and was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on the Company’s Consolidated Balance sheet at December 31, 2021.</w:t>
      </w:r>
    </w:p>
    <w:p>
      <w:pPr>
        <w:spacing w:after="0" w:line="211"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84" w:lineRule="exact"/>
        <w:rPr>
          <w:sz w:val="20"/>
          <w:szCs w:val="20"/>
          <w:color w:val="auto"/>
        </w:rPr>
      </w:pPr>
    </w:p>
    <w:p>
      <w:pPr>
        <w:ind w:left="60" w:right="47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61"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On March 4, 2020, our Board of Directors declared a regular cash dividend of $0.32 per share on its Classes A and B Common Stock. This dividend, totaling approximately $1.9 million, was paid on April 10, 2020 to shareholders of record on March 16, 2020 and funded by cash on the Company’s balance sheet.</w:t>
      </w:r>
    </w:p>
    <w:p>
      <w:pPr>
        <w:spacing w:after="0" w:line="184"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On December 11, 2019, our Board of Directors declared a quarterly cash dividend of $0.30 per share on its Classes A and B Common Stock. This dividend totaling approximately $1.8 million was paid on January 17, 2020 to shareholders of record on December 27, 2019 and funded by cash on the Company’s balance sheet.</w:t>
      </w:r>
    </w:p>
    <w:p>
      <w:pPr>
        <w:spacing w:after="0" w:line="184" w:lineRule="exact"/>
        <w:rPr>
          <w:sz w:val="20"/>
          <w:szCs w:val="20"/>
          <w:color w:val="auto"/>
        </w:rPr>
      </w:pPr>
    </w:p>
    <w:p>
      <w:pPr>
        <w:jc w:val="both"/>
        <w:ind w:left="60" w:right="159" w:firstLine="324"/>
        <w:spacing w:after="0" w:line="277"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w:t>
      </w:r>
    </w:p>
    <w:p>
      <w:pPr>
        <w:spacing w:after="0" w:line="170"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On May 3, 2022, we used $10 million in cash to purchase U.S. Treasury Bills to be held to maturity with maturity dates between July 2022 and February 2023. During the year $8 million of those $10 million were redeemed and we used the proceeds to purchase an additional $8 million of U.S. Treasury Bills to be held to maturity. At December 31, 2022, we have recorded $10.1 million of held-to-maturity U.S. Treasury Bills at amortized cost basis that have a fair market value of $10 million. Our held-to-maturity U.S. Treasury Bills all have original maturity dates ranging from February 2023 to June 2023.</w:t>
      </w:r>
    </w:p>
    <w:p>
      <w:pPr>
        <w:spacing w:after="0" w:line="192"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pacing w:after="0" w:line="170"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We anticipate that any future acquisitions of radio stations and dividend payments will be financed through funds generated from operations, borrowings under the Credit Agreement, additional debt or equity financing, or a combination thereof. However, there can be no assurances that any such financing will be available on acceptable terms, if at all.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Disclosures About Contractual Obligations</w:t>
      </w:r>
    </w:p>
    <w:p>
      <w:pPr>
        <w:spacing w:after="0" w:line="229"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We have future cash obligations under various types of contracts, including the terms of our Credit Facility, operating leases, programming contracts, employment agreements, and other operating contracts. The following table reflects a summary of our contractual cash obligations and other commercial commitments as of December 31,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87"/>
              </w:rPr>
              <w:t>Less Than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94"/>
              </w:rPr>
              <w:t>More Than</w:t>
            </w:r>
          </w:p>
        </w:tc>
        <w:tc>
          <w:tcPr>
            <w:tcW w:w="0" w:type="dxa"/>
            <w:vAlign w:val="bottom"/>
          </w:tcPr>
          <w:p>
            <w:pPr>
              <w:spacing w:after="0"/>
              <w:rPr>
                <w:sz w:val="1"/>
                <w:szCs w:val="1"/>
                <w:color w:val="auto"/>
              </w:rPr>
            </w:pPr>
          </w:p>
        </w:tc>
      </w:tr>
      <w:tr>
        <w:trPr>
          <w:trHeight w:val="234"/>
        </w:trPr>
        <w:tc>
          <w:tcPr>
            <w:tcW w:w="3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1 to 3 Years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4 to 5 Years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5"/>
              </w:rPr>
              <w:t>(In thousands)</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Long-Term Debt(1)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32,085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2,802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5,007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419" w:hanging="330"/>
        <w:spacing w:after="0" w:line="34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payments on our Credit Facility are based on unused commitment of the credit facility and scheduled debt maturities, if we were to borrow in the future and the interest rates are held constant over the remaining terms.</w:t>
      </w:r>
    </w:p>
    <w:p>
      <w:pPr>
        <w:spacing w:after="0" w:line="123" w:lineRule="exact"/>
        <w:rPr>
          <w:rFonts w:ascii="Arial" w:cs="Arial" w:eastAsia="Arial" w:hAnsi="Arial"/>
          <w:sz w:val="16"/>
          <w:szCs w:val="16"/>
          <w:color w:val="auto"/>
        </w:rPr>
      </w:pPr>
    </w:p>
    <w:p>
      <w:pPr>
        <w:ind w:left="380" w:right="539" w:hanging="330"/>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$15,317,000 in obligations under employment agreements and contracts with on-air personalities, other employees, and our President, and CEO, Christopher S. Forgy.</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We anticipate that the above contractual cash obligations will be financed through funds generated from operations or additional borrowings under our Credit Facility, or a combination thereof.</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Our consolidated financial statements have been prepared in conformity with accounting principles generally accepted in the United States, which require us to make estimates, judgments and assumptions that affect the reported amounts of certain assets, liabilities, revenues, expenses and related disclosures and contingencies. We evaluate estimates used in preparation of our financial statements on a continual basis, including estimates related to the following:</w:t>
      </w:r>
    </w:p>
    <w:p>
      <w:pPr>
        <w:spacing w:after="0" w:line="153" w:lineRule="exact"/>
        <w:rPr>
          <w:sz w:val="20"/>
          <w:szCs w:val="20"/>
          <w:color w:val="auto"/>
        </w:rPr>
      </w:pPr>
    </w:p>
    <w:p>
      <w:pPr>
        <w:ind w:left="60" w:right="239" w:firstLine="324"/>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the sale of commercial broadcast time to advertisers is recognized when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commercials are broadcast. Revenue is reported net of advertising agency commissions. Agency commissions, when applicable, are based on a stated percentage applied to gross billing. All revenue is recognized in accordance with the Securities and Exchange Commission’s (“SEC”) Staff Accounting Bulletin (“SAB”) No. 104, Topic 13,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Revised and Updated </w:t>
      </w:r>
      <w:r>
        <w:rPr>
          <w:rFonts w:ascii="Arial" w:cs="Arial" w:eastAsia="Arial" w:hAnsi="Arial"/>
          <w:sz w:val="18"/>
          <w:szCs w:val="18"/>
          <w:color w:val="auto"/>
        </w:rPr>
        <w:t>and the Accounting Standards Codification (ASC) Topic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Carrying Value of Accounts Receivable and Related Allowance for Doubtful Accounts:  </w:t>
      </w:r>
      <w:r>
        <w:rPr>
          <w:rFonts w:ascii="Arial" w:cs="Arial" w:eastAsia="Arial" w:hAnsi="Arial"/>
          <w:sz w:val="17"/>
          <w:szCs w:val="17"/>
          <w:color w:val="auto"/>
        </w:rPr>
        <w:t>We evaluate the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collectability of our accounts receivable based on a combination of factors. In circumstances where we are aware of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specific customer’s inability to meet its financial obligations to us (e.g., bankruptcy filings, credit history, COVID-19</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potential impact on our customers’ business, etc.), we record a specific reserve for bad debts against amounts due to reduce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net recognized receivable to the amount we reasonably believe will be collected. For all other customers, we recognize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reserves for bad debts based on past loss history and the length of time the receivables are past due, ranging from 50%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90 days outstanding to 100% for amounts over 120 days outstanding. If our evaluations of the collectability of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receivable differ from actual results, additional bad debt expense and allowances may be required. Our historical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estimates have been a reliable method to estimate future allowances and our reserves have averaged approximately 2-5%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outstanding receivables. The effect of an increase in our allowance of 1% of our outstanding receivables as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from 3.4% to 4.4% or from $519,000 to $671,000 would result in a decrease in net income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$100,000, net of taxes for the year ended December 31, 2022. In the event we recover amounts previously written off,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 reduce the specific allowance for credit loss.</w:t>
      </w:r>
    </w:p>
    <w:p>
      <w:pPr>
        <w:spacing w:after="0" w:line="207" w:lineRule="exact"/>
        <w:rPr>
          <w:sz w:val="20"/>
          <w:szCs w:val="20"/>
          <w:color w:val="auto"/>
        </w:rPr>
      </w:pPr>
    </w:p>
    <w:p>
      <w:pPr>
        <w:jc w:val="both"/>
        <w:ind w:left="60" w:right="259" w:firstLine="324"/>
        <w:spacing w:after="0" w:line="289" w:lineRule="auto"/>
        <w:rPr>
          <w:sz w:val="20"/>
          <w:szCs w:val="20"/>
          <w:color w:val="auto"/>
        </w:rPr>
      </w:pPr>
      <w:r>
        <w:rPr>
          <w:rFonts w:ascii="Arial" w:cs="Arial" w:eastAsia="Arial" w:hAnsi="Arial"/>
          <w:sz w:val="16"/>
          <w:szCs w:val="16"/>
          <w:b w:val="1"/>
          <w:bCs w:val="1"/>
          <w:color w:val="auto"/>
        </w:rPr>
        <w:t xml:space="preserve">Purchase Accounting: </w:t>
      </w:r>
      <w:r>
        <w:rPr>
          <w:rFonts w:ascii="Arial" w:cs="Arial" w:eastAsia="Arial" w:hAnsi="Arial"/>
          <w:sz w:val="16"/>
          <w:szCs w:val="16"/>
          <w:color w:val="auto"/>
        </w:rPr>
        <w:t>We account for our acquisitions under the purchase method of accounting. The total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is allocated to the underlying net assets, based on their respective estimated fair values as of the acquisition date. The excess of consideration paid over the estimated fair values of the net assets acquired is recorded as goodwill.</w:t>
      </w:r>
    </w:p>
    <w:p>
      <w:pPr>
        <w:spacing w:after="0" w:line="2" w:lineRule="exact"/>
        <w:rPr>
          <w:sz w:val="20"/>
          <w:szCs w:val="20"/>
          <w:color w:val="auto"/>
        </w:rPr>
      </w:pPr>
    </w:p>
    <w:p>
      <w:pPr>
        <w:jc w:val="both"/>
        <w:ind w:left="60" w:right="219"/>
        <w:spacing w:after="0" w:line="255" w:lineRule="auto"/>
        <w:rPr>
          <w:sz w:val="20"/>
          <w:szCs w:val="20"/>
          <w:color w:val="auto"/>
        </w:rPr>
      </w:pPr>
      <w:r>
        <w:rPr>
          <w:rFonts w:ascii="Arial" w:cs="Arial" w:eastAsia="Arial" w:hAnsi="Arial"/>
          <w:sz w:val="18"/>
          <w:szCs w:val="18"/>
          <w:color w:val="auto"/>
        </w:rPr>
        <w:t>Determining the fair values of the net assets acquired and liabilities assumed requires management’s judgment and often involves the use of significant estimates including assumptions with respect to future cash inflows and outflows, discount rates, asset lives and market multiples, among other items.</w:t>
      </w:r>
    </w:p>
    <w:p>
      <w:pPr>
        <w:spacing w:after="0" w:line="186" w:lineRule="exact"/>
        <w:rPr>
          <w:sz w:val="20"/>
          <w:szCs w:val="20"/>
          <w:color w:val="auto"/>
        </w:rPr>
      </w:pPr>
    </w:p>
    <w:p>
      <w:pPr>
        <w:ind w:left="60" w:right="99" w:firstLine="324"/>
        <w:spacing w:after="0" w:line="256" w:lineRule="auto"/>
        <w:rPr>
          <w:sz w:val="20"/>
          <w:szCs w:val="20"/>
          <w:color w:val="auto"/>
        </w:rPr>
      </w:pPr>
      <w:r>
        <w:rPr>
          <w:rFonts w:ascii="Arial" w:cs="Arial" w:eastAsia="Arial" w:hAnsi="Arial"/>
          <w:sz w:val="18"/>
          <w:szCs w:val="18"/>
          <w:b w:val="1"/>
          <w:bCs w:val="1"/>
          <w:color w:val="auto"/>
        </w:rPr>
        <w:t xml:space="preserve">Broadcast Licenses and Goodwill: </w:t>
      </w:r>
      <w:r>
        <w:rPr>
          <w:rFonts w:ascii="Arial" w:cs="Arial" w:eastAsia="Arial" w:hAnsi="Arial"/>
          <w:sz w:val="18"/>
          <w:szCs w:val="18"/>
          <w:color w:val="auto"/>
        </w:rPr>
        <w:t>As of December 31, 2022, we have recorded approximately $90,307,000 in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licenses and $19,236,000 in goodwill, which represents 46% of our total assets. In assessing the recoverability of these assets, we must conduct impairment testing and charge to operations an impairment expense only in the periods in which the carrying value of these assets is more than their fair value. We conduct the impairment testing of broadcast licenses and goodwill annually or more frequently if events or changes in circumstances indicate that the asset might be impaired.</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impairment of broadcast licenses in 2021 or 2022.</w:t>
      </w:r>
    </w:p>
    <w:p>
      <w:pPr>
        <w:spacing w:after="0" w:line="225" w:lineRule="exact"/>
        <w:rPr>
          <w:sz w:val="20"/>
          <w:szCs w:val="20"/>
          <w:color w:val="auto"/>
        </w:rPr>
      </w:pPr>
    </w:p>
    <w:p>
      <w:pPr>
        <w:ind w:left="60" w:right="99" w:firstLine="316"/>
        <w:spacing w:after="0" w:line="286" w:lineRule="auto"/>
        <w:rPr>
          <w:sz w:val="20"/>
          <w:szCs w:val="20"/>
          <w:color w:val="auto"/>
        </w:rPr>
      </w:pPr>
      <w:r>
        <w:rPr>
          <w:rFonts w:ascii="Arial" w:cs="Arial" w:eastAsia="Arial" w:hAnsi="Arial"/>
          <w:sz w:val="16"/>
          <w:szCs w:val="16"/>
          <w:color w:val="auto"/>
        </w:rPr>
        <w:t>During 2020, we recognized a $5,149,000 impairment charge ($1,392,000 in the third quarter of 2020 and $3,757,000 in the second quarter of 2020) for broadcast license due to a decrease in projected revenue in the markets listed below due to the impact of the COVID-19 pandemic, an increase in the discount rate used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 We were starting to see increased revenue from our low point in the second quarter of 2020, however, they were not at the previously expected recovery rate. Our third quarter 2020 impairment charge related to our Bellingham, Washington; Champaign, Illinois; Charleston, South Carolina; Columbus, Ohio; Harrisonburg, Virginia; Mitchell, North Dakota; Spencer, Iowa and Springfield, Illinois markets. Our second quarter 2020 impairment charge related to our Bucyrus, Ohio; Champaign, Illinois; Charleston, South Carolina; Columbus, Ohio; Harrisonburg, Virginia; Hilton Head, South Carolina; Mitchell, South Dakota; and Ocala, Florida markets. We also reviewed our value of goodwill and other long-lived assets as of June 30, 2020 and September 30, 2020, noting no impairment in goodwill or other long-lived assets. Please refer to Note 3 — Broadcast Licenses, Goodwill and Other Intangible Assets, in the accompanying notes to the consolidated financial statements for a discussion of several key assumptions used in the fair value estimate of our broadcast licenses during 2020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16"/>
        <w:spacing w:after="0" w:line="284" w:lineRule="auto"/>
        <w:rPr>
          <w:sz w:val="20"/>
          <w:szCs w:val="20"/>
          <w:color w:val="auto"/>
        </w:rPr>
      </w:pPr>
      <w:r>
        <w:rPr>
          <w:rFonts w:ascii="Arial" w:cs="Arial" w:eastAsia="Arial" w:hAnsi="Arial"/>
          <w:sz w:val="16"/>
          <w:szCs w:val="16"/>
          <w:color w:val="auto"/>
        </w:rPr>
        <w:t>We believe our estimate of the value of our broadcast licenses is a critical accounting estimate as the value is significant in relation to our total assets, and our estimate of the value uses assumptions that incorporate variables based on past experiences and judgments about future operating performance of our stations. These variables include but are not limited to: (1) the forecast growth rate of each radio market, including population, household income, retail sales and other expenditures that would influence advertising expenditures; (2) market share and profit margin of an average station within a market; (3) estimated capital start-up costs and losses incurred during the early years; (4) risk-adjusted discount rate;</w:t>
      </w:r>
    </w:p>
    <w:p>
      <w:pPr>
        <w:spacing w:after="0" w:line="4" w:lineRule="exact"/>
        <w:rPr>
          <w:sz w:val="20"/>
          <w:szCs w:val="20"/>
          <w:color w:val="auto"/>
        </w:rPr>
      </w:pPr>
    </w:p>
    <w:p>
      <w:pPr>
        <w:ind w:left="60" w:right="139" w:hanging="7"/>
        <w:spacing w:after="0" w:line="295"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likely media competition within the market area; and (6) terminal values. Changes in our estimates of the fair value of these assets could result in material future period write-downs in the carrying value of our broadcast licenses. For illustrative purposes only, during our 2022 impairment test had the fair values of each of our broadcasting licenses been lower by 10%-30%, we would not have had to record any additional broadcast license impairment.</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Provisions:</w:t>
      </w:r>
    </w:p>
    <w:p>
      <w:pPr>
        <w:spacing w:after="0" w:line="229" w:lineRule="exact"/>
        <w:rPr>
          <w:sz w:val="20"/>
          <w:szCs w:val="20"/>
          <w:color w:val="auto"/>
        </w:rPr>
      </w:pPr>
    </w:p>
    <w:p>
      <w:pPr>
        <w:jc w:val="both"/>
        <w:ind w:left="60" w:right="59" w:firstLine="355"/>
        <w:spacing w:after="0" w:line="291" w:lineRule="auto"/>
        <w:rPr>
          <w:sz w:val="20"/>
          <w:szCs w:val="20"/>
          <w:color w:val="auto"/>
        </w:rPr>
      </w:pPr>
      <w:r>
        <w:rPr>
          <w:rFonts w:ascii="Arial" w:cs="Arial" w:eastAsia="Arial" w:hAnsi="Arial"/>
          <w:sz w:val="16"/>
          <w:szCs w:val="16"/>
          <w:color w:val="auto"/>
        </w:rPr>
        <w:t>Our estimates of income taxes and the significant items giving rise to the deferred tax assets and liabilities are shown in the notes to our consolidated financial statements and reflect our assessment of actual future taxes to be paid on items reflected in the financial statements, giving consideration to both timing and probability of these estimates. Actual income taxes could vary from these estimates due to future changes in income tax law or results from the final review of our tax returns by federal, state or foreign tax authorities. We use our judgment to determine whether it is more likely than not that our deferred tax assets will be realized. Deferred tax assets are reduced by valuation allowances if the Company believes it is more than likely than not that some portion or the entire asset will not be realized.</w:t>
      </w:r>
    </w:p>
    <w:p>
      <w:pPr>
        <w:spacing w:after="0" w:line="162"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7"/>
          <w:szCs w:val="17"/>
          <w:b w:val="1"/>
          <w:bCs w:val="1"/>
          <w:color w:val="auto"/>
        </w:rPr>
        <w:t xml:space="preserve">Litigation and Contingencies: </w:t>
      </w:r>
      <w:r>
        <w:rPr>
          <w:rFonts w:ascii="Arial" w:cs="Arial" w:eastAsia="Arial" w:hAnsi="Arial"/>
          <w:sz w:val="17"/>
          <w:szCs w:val="17"/>
          <w:color w:val="auto"/>
        </w:rPr>
        <w:t>On an ongoing basis, we evaluate our exposure related to litigation and contingencies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record a liability when available information indicates that a liability is probable and estimable. We also disclose significant matters that are reasonably possible to result in a loss or are probable but not estimable.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Risk and Risk Management Policies</w:t>
      </w:r>
    </w:p>
    <w:p>
      <w:pPr>
        <w:spacing w:after="0" w:line="229"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Our earnings are affected by changes in short-term interest rates as a result of our long-term debt arrangements. If we had borrowings against our long-term debt arrangements, in the event of an adverse change in interest rates, management may take actions to mitigate our exposure.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Recent accounting pronouncements are described in Note 1 to the accompanying financial statements.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7A.  </w:t>
      </w:r>
      <w:r>
        <w:rPr>
          <w:rFonts w:ascii="Arial" w:cs="Arial" w:eastAsia="Arial" w:hAnsi="Arial"/>
          <w:sz w:val="18"/>
          <w:szCs w:val="18"/>
          <w:b w:val="1"/>
          <w:bCs w:val="1"/>
          <w:i w:val="1"/>
          <w:iCs w:val="1"/>
          <w:u w:val="single" w:color="auto"/>
          <w:color w:val="auto"/>
        </w:rPr>
        <w:t>Quantitative and Qualitative Disclosures About Market Risk.</w:t>
      </w:r>
    </w:p>
    <w:p>
      <w:pPr>
        <w:spacing w:after="0" w:line="229" w:lineRule="exact"/>
        <w:rPr>
          <w:sz w:val="20"/>
          <w:szCs w:val="20"/>
          <w:color w:val="auto"/>
        </w:rPr>
      </w:pPr>
    </w:p>
    <w:p>
      <w:pPr>
        <w:ind w:left="60" w:right="959" w:firstLine="324"/>
        <w:spacing w:after="0" w:line="277" w:lineRule="auto"/>
        <w:rPr>
          <w:sz w:val="20"/>
          <w:szCs w:val="20"/>
          <w:color w:val="auto"/>
        </w:rPr>
      </w:pPr>
      <w:r>
        <w:rPr>
          <w:rFonts w:ascii="Arial" w:cs="Arial" w:eastAsia="Arial" w:hAnsi="Arial"/>
          <w:sz w:val="18"/>
          <w:szCs w:val="18"/>
          <w:color w:val="auto"/>
        </w:rPr>
        <w:t>Information appearing under the caption “Market Risk and Risk Management Policies” in Item 7 is hereby incorporated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8.  </w:t>
      </w:r>
      <w:r>
        <w:rPr>
          <w:rFonts w:ascii="Arial" w:cs="Arial" w:eastAsia="Arial" w:hAnsi="Arial"/>
          <w:sz w:val="18"/>
          <w:szCs w:val="18"/>
          <w:b w:val="1"/>
          <w:bCs w:val="1"/>
          <w:i w:val="1"/>
          <w:iCs w:val="1"/>
          <w:u w:val="single" w:color="auto"/>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financial statements attached hereto are filed as part of this annual report.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  </w:t>
      </w:r>
      <w:r>
        <w:rPr>
          <w:rFonts w:ascii="Arial" w:cs="Arial" w:eastAsia="Arial" w:hAnsi="Arial"/>
          <w:sz w:val="18"/>
          <w:szCs w:val="18"/>
          <w:b w:val="1"/>
          <w:bCs w:val="1"/>
          <w:i w:val="1"/>
          <w:iCs w:val="1"/>
          <w:u w:val="single" w:color="auto"/>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9A.  </w:t>
      </w:r>
      <w:r>
        <w:rPr>
          <w:rFonts w:ascii="Arial" w:cs="Arial" w:eastAsia="Arial" w:hAnsi="Arial"/>
          <w:sz w:val="18"/>
          <w:szCs w:val="18"/>
          <w:b w:val="1"/>
          <w:bCs w:val="1"/>
          <w:i w:val="1"/>
          <w:iCs w:val="1"/>
          <w:u w:val="single" w:color="auto"/>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(the “Exchange Act”). Based upon that evaluation, the Company’s Chief Executive Officer and Chief Financial Officer concluded that the Company’s disclosure controls and procedures over financial reporting were effective to ensure that material information required to be disclosed by the Company in the reports that it files or submits under the Exchange Act will be recorded, processed, summarized and reported within the time periods specified in the Commission’s rules and forms.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the year ended December 31, 2022 that have materially affected, or are reasonably likely to materially affect, our internal controls over financial reporting.</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management, including our Chief Executive Officer and Chief Financial Officer, we conducted an evaluation of the effectiveness of our internal control over financial reporting based on the framework as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(COSO).</w:t>
      </w:r>
    </w:p>
    <w:p>
      <w:pPr>
        <w:spacing w:after="0" w:line="161"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159" w:firstLine="324"/>
        <w:spacing w:after="0" w:line="286"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effective as of December 31, 2022. Our internal control over financial reporting as of December 31, 2022 has been audited by UHY LLP, an independent registered public accounting firm, as stated in its report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Shareholders and the Board of Directors Saga Communications, Inc.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We have audited Saga Communications, Inc.’s (the Company’s) internal control over financial reporting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4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Saga Communications, Inc. as of December 31, 2022 and 2021, and the related consolidated statements of income, shareholders’ equity, and cash flows for each of the three years in the period ended December 31, 2022 and the related notes and financial statement schedule, and our report dated March 16, 2023 expressed an unqualified opinion thereon.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828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9B.  </w:t>
      </w:r>
      <w:r>
        <w:rPr>
          <w:rFonts w:ascii="Arial" w:cs="Arial" w:eastAsia="Arial" w:hAnsi="Arial"/>
          <w:sz w:val="18"/>
          <w:szCs w:val="18"/>
          <w:b w:val="1"/>
          <w:bCs w:val="1"/>
          <w:i w:val="1"/>
          <w:iCs w:val="1"/>
          <w:u w:val="single" w:color="auto"/>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10.  </w:t>
      </w:r>
      <w:r>
        <w:rPr>
          <w:rFonts w:ascii="Arial" w:cs="Arial" w:eastAsia="Arial" w:hAnsi="Arial"/>
          <w:sz w:val="18"/>
          <w:szCs w:val="18"/>
          <w:b w:val="1"/>
          <w:bCs w:val="1"/>
          <w:i w:val="1"/>
          <w:iCs w:val="1"/>
          <w:u w:val="single" w:color="auto"/>
          <w:color w:val="auto"/>
        </w:rPr>
        <w:t>Directors, Executive Officers and Corporate Governance</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Proxy Statement for the 2023 Annual Meeting of Shareholders to be filed not later than 120 days after the end of the Company’s fiscal year. See also Item 1. Business — Information About Our Executive Officers.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11.  </w:t>
      </w:r>
      <w:r>
        <w:rPr>
          <w:rFonts w:ascii="Arial" w:cs="Arial" w:eastAsia="Arial" w:hAnsi="Arial"/>
          <w:sz w:val="18"/>
          <w:szCs w:val="18"/>
          <w:b w:val="1"/>
          <w:bCs w:val="1"/>
          <w:i w:val="1"/>
          <w:iCs w:val="1"/>
          <w:u w:val="single" w:color="auto"/>
          <w:color w:val="auto"/>
        </w:rPr>
        <w:t>Executive Compensation</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Proxy Statement for the 2023 Annual Meeting of Shareholders to be filed not later than 120 days after the end of the Company’s fiscal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 xml:space="preserve">Item 12.  </w:t>
      </w:r>
      <w:r>
        <w:rPr>
          <w:rFonts w:ascii="Arial" w:cs="Arial" w:eastAsia="Arial" w:hAnsi="Arial"/>
          <w:sz w:val="17"/>
          <w:szCs w:val="17"/>
          <w:b w:val="1"/>
          <w:bCs w:val="1"/>
          <w:i w:val="1"/>
          <w:iCs w:val="1"/>
          <w:u w:val="single" w:color="auto"/>
          <w:color w:val="auto"/>
        </w:rPr>
        <w:t>Security Ownership of Certain Beneficial Owners and Management and Related Shareholder Matters</w:t>
      </w:r>
    </w:p>
    <w:p>
      <w:pPr>
        <w:spacing w:after="0" w:line="241"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The information required by this item is incorporated by reference from the information contained in our Proxy Statement for the 2023 Annual Meeting of Shareholders to be filed not later than 120 days after the end of the Company’s fiscal year. In addition, the information contained in the “Securities Authorized for Issuance Under Equity Compensation Plan Information” subheading under Item 5 of this report is incorporated by reference herein.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13.  </w:t>
      </w:r>
      <w:r>
        <w:rPr>
          <w:rFonts w:ascii="Arial" w:cs="Arial" w:eastAsia="Arial" w:hAnsi="Arial"/>
          <w:sz w:val="18"/>
          <w:szCs w:val="18"/>
          <w:b w:val="1"/>
          <w:bCs w:val="1"/>
          <w:i w:val="1"/>
          <w:iCs w:val="1"/>
          <w:u w:val="single" w:color="auto"/>
          <w:color w:val="auto"/>
        </w:rPr>
        <w:t>Certain Relationships and Related Transactions, and Director Independence</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Proxy Statement for the 2023 Annual Meeting of Shareholders to be filed not later than 120 days after the end of the Company’s fiscal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14.  </w:t>
      </w:r>
      <w:r>
        <w:rPr>
          <w:rFonts w:ascii="Arial" w:cs="Arial" w:eastAsia="Arial" w:hAnsi="Arial"/>
          <w:sz w:val="18"/>
          <w:szCs w:val="18"/>
          <w:b w:val="1"/>
          <w:bCs w:val="1"/>
          <w:i w:val="1"/>
          <w:iCs w:val="1"/>
          <w:u w:val="single" w:color="auto"/>
          <w:color w:val="auto"/>
        </w:rPr>
        <w:t>Principal Accountant Fees and Services</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in our Proxy Statement for the 2023 Annual Meeting of Stockholders to be filed not later than 120 days after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 xml:space="preserve">Item 15.  </w:t>
      </w:r>
      <w:r>
        <w:rPr>
          <w:rFonts w:ascii="Arial" w:cs="Arial" w:eastAsia="Arial" w:hAnsi="Arial"/>
          <w:sz w:val="18"/>
          <w:szCs w:val="18"/>
          <w:b w:val="1"/>
          <w:bCs w:val="1"/>
          <w:i w:val="1"/>
          <w:iCs w:val="1"/>
          <w:u w:val="single" w:color="auto"/>
          <w:color w:val="auto"/>
        </w:rPr>
        <w:t>Exhibits and Financial Statement Schedules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8020" w:type="dxa"/>
            <w:vAlign w:val="bottom"/>
            <w:gridSpan w:val="7"/>
          </w:tcPr>
          <w:p>
            <w:pPr>
              <w:ind w:left="380"/>
              <w:spacing w:after="0"/>
              <w:rPr>
                <w:sz w:val="20"/>
                <w:szCs w:val="20"/>
                <w:color w:val="auto"/>
              </w:rPr>
            </w:pPr>
            <w:r>
              <w:rPr>
                <w:rFonts w:ascii="Arial" w:cs="Arial" w:eastAsia="Arial" w:hAnsi="Arial"/>
                <w:sz w:val="18"/>
                <w:szCs w:val="18"/>
                <w:b w:val="1"/>
                <w:bCs w:val="1"/>
                <w:i w:val="1"/>
                <w:iCs w:val="1"/>
                <w:color w:val="auto"/>
              </w:rPr>
              <w:t>1. Financial Statements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gridSpan w:val="7"/>
          </w:tcPr>
          <w:p>
            <w:pPr>
              <w:ind w:left="60"/>
              <w:spacing w:after="0"/>
              <w:rPr>
                <w:sz w:val="20"/>
                <w:szCs w:val="20"/>
                <w:color w:val="auto"/>
              </w:rPr>
            </w:pPr>
            <w:r>
              <w:rPr>
                <w:rFonts w:ascii="Arial" w:cs="Arial" w:eastAsia="Arial" w:hAnsi="Arial"/>
                <w:sz w:val="18"/>
                <w:szCs w:val="18"/>
                <w:color w:val="auto"/>
                <w:w w:val="98"/>
              </w:rPr>
              <w:t>The following consolidated financial statements attached hereto are filed as part of this annual report: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1195)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Arial" w:cs="Arial" w:eastAsia="Arial" w:hAnsi="Arial"/>
                <w:sz w:val="18"/>
                <w:szCs w:val="18"/>
                <w:color w:val="0000EE"/>
              </w:rPr>
              <w:t>— Consolidated Balance Sheets as of December 31, 2022 and 2021</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 Consolidated Statements of Income for the years ended December 31, 2022, 2021 and 2020</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80" w:type="dxa"/>
            <w:vAlign w:val="bottom"/>
            <w:gridSpan w:val="8"/>
          </w:tcPr>
          <w:p>
            <w:pPr>
              <w:spacing w:after="0" w:line="176" w:lineRule="exact"/>
              <w:rPr>
                <w:sz w:val="20"/>
                <w:szCs w:val="20"/>
                <w:color w:val="auto"/>
              </w:rPr>
            </w:pPr>
            <w:r>
              <w:rPr>
                <w:rFonts w:ascii="Arial" w:cs="Arial" w:eastAsia="Arial" w:hAnsi="Arial"/>
                <w:sz w:val="18"/>
                <w:szCs w:val="18"/>
                <w:color w:val="0000EE"/>
                <w:w w:val="95"/>
              </w:rPr>
              <w:t>— Consolidated Statements of Shareholders’ Equity for the years ended December 31, 2022, 2021 and 2020</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 Consolidated Statements of Cash Flows for the years ended December 31, 2022, 2021 and 2020</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3140" w:type="dxa"/>
            <w:vAlign w:val="bottom"/>
            <w:tcBorders>
              <w:top w:val="single" w:sz="8" w:color="0000EE"/>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9"/>
              </w:rPr>
              <w:t>Notes to Consolidated Financial Statements</w:t>
            </w:r>
          </w:p>
        </w:tc>
        <w:tc>
          <w:tcPr>
            <w:tcW w:w="4020" w:type="dxa"/>
            <w:vAlign w:val="bottom"/>
            <w:tcBorders>
              <w:top w:val="single" w:sz="8" w:color="0000EE"/>
            </w:tcBorders>
            <w:gridSpan w:val="4"/>
          </w:tcPr>
          <w:p>
            <w:pPr>
              <w:spacing w:after="0"/>
              <w:rPr>
                <w:sz w:val="15"/>
                <w:szCs w:val="15"/>
                <w:color w:val="auto"/>
              </w:rPr>
            </w:pPr>
          </w:p>
        </w:tc>
        <w:tc>
          <w:tcPr>
            <w:tcW w:w="1120" w:type="dxa"/>
            <w:vAlign w:val="bottom"/>
            <w:tcBorders>
              <w:top w:val="single" w:sz="8" w:color="CCEEFF"/>
            </w:tcBorders>
            <w:gridSpan w:val="2"/>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25"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Schedule II Valuation and Qualifying Accounts is disclosed in Note 1 to the Consolidated Financial Statements attached hereto and filed as part of this annual report. All other schedules for which provision are made in the applicable accounting regulations of the Securities and Exchange Commission are not required under the related instructions or are inapplicable and therefore have been omitted.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Exhibits</w:t>
      </w:r>
    </w:p>
    <w:p>
      <w:pPr>
        <w:spacing w:after="0" w:line="225"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The Exhibits filed in response to Item 601 of Regulation S-K are listed in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the Shareholders and the Board of Directors of Saga Communications,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Saga Communications, Inc. (the “Company”) as of December 31, 2022 and 2021, and the related consolidated statements of income, shareholders’ equity, and cash flows for each of the three years in the period ended December 31, 2022, and the related notes and financial statement Schedule II, Valuation and Qualifying Accounts, listed in the index at item 15(a)(2) (collectively referred to as the “financial statements”). In our opinion, the financial statements present fairly, in all material respects, the consolidated financial position of Saga Communications, Inc. at December 31, 2022 and 2021, and the consolidated results of its operations and its cash flows for each of the three years in the period December 31, 2022, in conformity with U.S. generally accepted accounting principles.</w:t>
      </w:r>
    </w:p>
    <w:p>
      <w:pPr>
        <w:spacing w:after="0" w:line="19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(2013 framework), and our report dated March 16, 2023 expressed an unqualified opinion thereon.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consolidated financial statement presentation.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an account or disclosure that is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Critical Audit Matter – Broadcast License Impairment Analysis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disclosed in Notes 1 and 3 to the financial statements, the Company evaluates Federal Communications Commission licenses (or “broadcast licenses”) for impairment on an annual basis as of October 1st or, more frequently, if events or changes in circumstances indicate that the carrying value of the Company’s broadcast licenses may not be recoverable. The broadcast license balance as of December 31, 2022 was $90.3 million. The Company considers potential impairment by comparing the fair value of a market’s broadcast license to its carrying value. Fair value is estimated by management using the Greenfield method at the market level, which is a discounted cash flow approach assuming a start-up scenario in which the only assets held by an investor are broadcasting licenses. Management’s cash flow projections include significant judgments and assumptions related to market growth rates and market profit margin, estimated available market revenue including market share, terminal values and discount rates.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identified broadcast license impairment as a critical audit matter because of the significant judgments made by management to estimate the fair value of the Company’s broadcast licenses. This required a high degree of auditor judgment and an increased extent of effort when performing audit procedures to evaluate the reasonableness of inputs into the discounted cash flow model driven by management’s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How the Critical Audit Matter Was Addressed in the Audit</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audit procedures performed to evaluate the reasonableness of management’s estimates and assumptions included assessing the methodologies used by the Company and testing the significant assumptions used in the quantitative models. We tested the effectiveness of the control over management’s evaluation and determination of estimates and assumptions used as the inputs in the impairment models. We compared the cash flow models prepared by management to historical revenues and profit margins as well as third-party market data to evaluate the reasonableness of the assumptions. We evaluated historical trends in assessing the reasonableness of growth rate assumptions and performed sensitivity analysis of certain significant assumptions to evaluate the changes in the fair value of the reporting units that would result from changes in these assumptions. We performed procedures to verify the mathematical accuracy of the calculations of broadcast license impairment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consolidated financial statements.</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Saga Communications, Inc.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60" w:type="dxa"/>
            <w:vAlign w:val="bottom"/>
          </w:tcPr>
          <w:p>
            <w:pPr>
              <w:jc w:val="center"/>
              <w:ind w:left="203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(In thousands, except par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8"/>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84"/>
        </w:trPr>
        <w:tc>
          <w:tcPr>
            <w:tcW w:w="6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36,802</w:t>
            </w:r>
          </w:p>
        </w:tc>
        <w:tc>
          <w:tcPr>
            <w:tcW w:w="20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Accounts receivable, less allowance of $519 ($469 in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Barter transactions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146,054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property and equipment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Broadcast licenses,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80"/>
              <w:spacing w:after="0" w:line="201" w:lineRule="exact"/>
              <w:rPr>
                <w:sz w:val="20"/>
                <w:szCs w:val="20"/>
                <w:color w:val="auto"/>
              </w:rPr>
            </w:pPr>
            <w:r>
              <w:rPr>
                <w:rFonts w:ascii="Arial" w:cs="Arial" w:eastAsia="Arial" w:hAnsi="Arial"/>
                <w:sz w:val="18"/>
                <w:szCs w:val="18"/>
                <w:color w:val="auto"/>
              </w:rPr>
              <w:t>Other intangibles, right of use assets, deferred costs and investments, net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amortization of $15,944 ($15,906 in 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Accrued payroll and payroll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Barter transactions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Preferred stock, 1,500 shares authorized, none issued and 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200"/>
              <w:spacing w:after="0" w:line="201" w:lineRule="exact"/>
              <w:rPr>
                <w:sz w:val="20"/>
                <w:szCs w:val="20"/>
                <w:color w:val="auto"/>
              </w:rPr>
            </w:pPr>
            <w:r>
              <w:rPr>
                <w:rFonts w:ascii="Arial" w:cs="Arial" w:eastAsia="Arial" w:hAnsi="Arial"/>
                <w:sz w:val="18"/>
                <w:szCs w:val="18"/>
                <w:color w:val="auto"/>
                <w:w w:val="92"/>
              </w:rPr>
              <w:t>Class A common stock, $.01 par value, 35,000 shares authorized, 7,866 issued (6,835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in 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Class B common stock, $.01 par value, 3,500 shares authorized, 0 issued (965 in 2021)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Treasury stock (1,753 shares in 2022 and 1,758 shares in 2021, at cost)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196,919</w:t>
            </w: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240,753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8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Saga Communications, Inc.</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88"/>
              </w:rPr>
              <w:t>Consolidated Statements of Income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3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71"/>
              </w:rPr>
              <w:t>(In thousands,</w:t>
            </w:r>
          </w:p>
        </w:tc>
        <w:tc>
          <w:tcPr>
            <w:tcW w:w="1120" w:type="dxa"/>
            <w:vAlign w:val="bottom"/>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rPr>
              <w:t>except per</w:t>
            </w:r>
          </w:p>
        </w:tc>
        <w:tc>
          <w:tcPr>
            <w:tcW w:w="9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7"/>
              </w:rPr>
              <w:t>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Station operating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Corporate general and administrative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 of intangible assets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and common equivalent shares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3720"/>
              <w:spacing w:after="0"/>
              <w:rPr>
                <w:sz w:val="20"/>
                <w:szCs w:val="20"/>
                <w:color w:val="auto"/>
              </w:rPr>
            </w:pPr>
            <w:r>
              <w:rPr>
                <w:rFonts w:ascii="Arial" w:cs="Arial" w:eastAsia="Arial" w:hAnsi="Arial"/>
                <w:sz w:val="18"/>
                <w:szCs w:val="18"/>
                <w:color w:val="auto"/>
                <w:w w:val="98"/>
              </w:rPr>
              <w:t>See accompanying notes.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780" w:type="dxa"/>
            <w:vAlign w:val="bottom"/>
          </w:tcPr>
          <w:p>
            <w:pPr>
              <w:jc w:val="center"/>
              <w:ind w:left="3070"/>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940" w:type="dxa"/>
            <w:vAlign w:val="bottom"/>
            <w:gridSpan w:val="3"/>
          </w:tcPr>
          <w:p>
            <w:pPr>
              <w:jc w:val="center"/>
              <w:ind w:left="199"/>
              <w:spacing w:after="0"/>
              <w:rPr>
                <w:sz w:val="20"/>
                <w:szCs w:val="20"/>
                <w:color w:val="auto"/>
              </w:rPr>
            </w:pPr>
            <w:r>
              <w:rPr>
                <w:rFonts w:ascii="Arial" w:cs="Arial" w:eastAsia="Arial" w:hAnsi="Arial"/>
                <w:sz w:val="16"/>
                <w:szCs w:val="16"/>
                <w:b w:val="1"/>
                <w:bCs w:val="1"/>
                <w:color w:val="auto"/>
                <w:w w:val="85"/>
              </w:rPr>
              <w:t>Class A</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center"/>
              <w:ind w:left="219"/>
              <w:spacing w:after="0"/>
              <w:rPr>
                <w:sz w:val="20"/>
                <w:szCs w:val="20"/>
                <w:color w:val="auto"/>
              </w:rPr>
            </w:pPr>
            <w:r>
              <w:rPr>
                <w:rFonts w:ascii="Arial" w:cs="Arial" w:eastAsia="Arial" w:hAnsi="Arial"/>
                <w:sz w:val="16"/>
                <w:szCs w:val="16"/>
                <w:b w:val="1"/>
                <w:bCs w:val="1"/>
                <w:color w:val="auto"/>
                <w:w w:val="88"/>
              </w:rPr>
              <w:t>Class B</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Additional</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3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Common Stock</w:t>
            </w:r>
          </w:p>
        </w:tc>
        <w:tc>
          <w:tcPr>
            <w:tcW w:w="128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Paid-In</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Retained</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Treasury</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7"/>
                <w:szCs w:val="17"/>
                <w:color w:val="auto"/>
              </w:rPr>
            </w:pPr>
          </w:p>
        </w:tc>
        <w:tc>
          <w:tcPr>
            <w:tcW w:w="6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86"/>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Capital</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Earnings</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7"/>
                <w:szCs w:val="17"/>
                <w:color w:val="auto"/>
              </w:rPr>
            </w:pPr>
          </w:p>
        </w:tc>
        <w:tc>
          <w:tcPr>
            <w:tcW w:w="8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w w:val="81"/>
              </w:rPr>
              <w:t>(In thousands)</w:t>
            </w:r>
          </w:p>
        </w:tc>
        <w:tc>
          <w:tcPr>
            <w:tcW w:w="7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6,771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$ 162,822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 (37,358)</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192,352</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(1,913)</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Conversion of shares from Class B</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Class A</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Forfeiture of restricted stock</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common</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Arial" w:cs="Arial" w:eastAsia="Arial" w:hAnsi="Arial"/>
                <w:sz w:val="16"/>
                <w:szCs w:val="16"/>
                <w:color w:val="auto"/>
              </w:rPr>
              <w:t>Compensation expense related to</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2,221</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Purchase of shares held in treasury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401(k) plan contribution</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(132)</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6,785</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68,900</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$ 158,990</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(37,425)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190,542</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11,157</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11,157</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Conversion of shares from Class B</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Class A</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Issuance of restricted stock</w:t>
            </w: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common</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(5,901)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Arial" w:cs="Arial" w:eastAsia="Arial" w:hAnsi="Arial"/>
                <w:sz w:val="16"/>
                <w:szCs w:val="16"/>
                <w:color w:val="auto"/>
              </w:rPr>
              <w:t>Compensation expense related to</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1,335</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Purchase of shares held in treasury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401(k) plan contribution</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(200)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6,835</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70,035</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$ 164,246</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(37,439)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196,919</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9,202</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9,202</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Conversion of shares from Class B</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Class A</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Issuance of restricted stock</w:t>
            </w: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common</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(29,552)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Arial" w:cs="Arial" w:eastAsia="Arial" w:hAnsi="Arial"/>
                <w:sz w:val="16"/>
                <w:szCs w:val="16"/>
                <w:color w:val="auto"/>
              </w:rPr>
              <w:t>Compensation expense related to</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1,858</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Purchase of shares held in treasury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6"/>
                <w:szCs w:val="16"/>
                <w:color w:val="auto"/>
              </w:rPr>
              <w:t>401(k) plan contribution</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(228)</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7,867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$ 143,896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(37,109)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178,529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ind w:left="3360"/>
              <w:spacing w:after="0"/>
              <w:rPr>
                <w:sz w:val="20"/>
                <w:szCs w:val="20"/>
                <w:color w:val="auto"/>
              </w:rPr>
            </w:pPr>
            <w:r>
              <w:rPr>
                <w:rFonts w:ascii="Arial" w:cs="Arial" w:eastAsia="Arial" w:hAnsi="Arial"/>
                <w:sz w:val="18"/>
                <w:szCs w:val="18"/>
                <w:b w:val="1"/>
                <w:bCs w:val="1"/>
                <w:color w:val="auto"/>
              </w:rPr>
              <w:t>Saga Communications, Inc.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20" w:type="dxa"/>
            <w:vAlign w:val="bottom"/>
            <w:gridSpan w:val="3"/>
          </w:tcPr>
          <w:p>
            <w:pPr>
              <w:ind w:left="2900"/>
              <w:spacing w:after="0"/>
              <w:rPr>
                <w:sz w:val="20"/>
                <w:szCs w:val="20"/>
                <w:color w:val="auto"/>
              </w:rPr>
            </w:pPr>
            <w:r>
              <w:rPr>
                <w:rFonts w:ascii="Arial" w:cs="Arial" w:eastAsia="Arial" w:hAnsi="Arial"/>
                <w:sz w:val="18"/>
                <w:szCs w:val="18"/>
                <w:b w:val="1"/>
                <w:bCs w:val="1"/>
                <w:color w:val="auto"/>
                <w:w w:val="90"/>
              </w:rPr>
              <w:t>Consolidated Statements of Cash Flows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center"/>
              <w:ind w:right="13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75"/>
              </w:rPr>
              <w:t>(In thousands)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9,202</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11,157</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 operating</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expense (benefit)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Impairment of intangible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deferred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Compensation expense related to restricted stock 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loss on sale of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(Gain) on insurance claims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(gain) loss,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Barter (revenue) expense,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and other compensation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receivables and prepaid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200"/>
              <w:spacing w:after="0" w:line="201" w:lineRule="exact"/>
              <w:rPr>
                <w:sz w:val="20"/>
                <w:szCs w:val="20"/>
                <w:color w:val="auto"/>
              </w:rPr>
            </w:pPr>
            <w:r>
              <w:rPr>
                <w:rFonts w:ascii="Arial" w:cs="Arial" w:eastAsia="Arial" w:hAnsi="Arial"/>
                <w:sz w:val="18"/>
                <w:szCs w:val="18"/>
                <w:color w:val="auto"/>
                <w:w w:val="97"/>
              </w:rPr>
              <w:t>Increase (decrease) in accounts payable, accrued expenses, and 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17,125</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Purchase of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Redemption of Short-term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broadcast properties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Proceeds from sale and disposal of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insurance claims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investing activities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for debt issuance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treasury shares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0" w:right="5279" w:hanging="10"/>
        <w:spacing w:after="0" w:line="503" w:lineRule="auto"/>
        <w:tabs>
          <w:tab w:leader="none" w:pos="37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ind w:left="60" w:right="299" w:firstLine="324"/>
        <w:spacing w:after="0" w:line="263" w:lineRule="auto"/>
        <w:rPr>
          <w:sz w:val="20"/>
          <w:szCs w:val="20"/>
          <w:color w:val="auto"/>
        </w:rPr>
      </w:pPr>
      <w:r>
        <w:rPr>
          <w:rFonts w:ascii="Arial" w:cs="Arial" w:eastAsia="Arial" w:hAnsi="Arial"/>
          <w:sz w:val="18"/>
          <w:szCs w:val="18"/>
          <w:color w:val="auto"/>
        </w:rPr>
        <w:t>Saga Communications, Inc. is a broadcasting company whose business is devoted to acquiring, developing and operating broadcast properties. We currently own or operated seventy-nine FM, thirty-four AM radio stations and eighty metro signals, serving twenty-seven markets throughout the United States.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The consolidated financial statements include the accounts of Saga Communications, Inc. and our wholly-owned subsidiaries. All significant intercompany balances and transactions have been eliminated in consolidation.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The preparation of the financial statements in conformity with accounting principles generally accepted in the United States (GAAP) requires us to make estimates and assumptions that affect the amounts reported in the financial statements and accompanying notes. Our accounting estimates require the use of judgment as future events and the effect of these events cannot be predicted with certainty. The accounting estimates may change as new events occur, as more experience is acquired and as more information is obtained. We evaluate and update assumptions and estimates on an ongoing basis and may use outside experts to assist in the our evaluation, as considered necessary. Actual results may differ from estimates provided and there may be changes to those estimates in the future periods.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Certain cash deposits with financial institutions may at times exceed FDIC insurance limits.</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top five markets when combined represented 38%, 39% and 40% of our net operating revenue for the years ended December 31, 2022, 2021 and 2020, respectively.</w:t>
      </w:r>
    </w:p>
    <w:p>
      <w:pPr>
        <w:spacing w:after="0" w:line="170"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sell advertising to local and national companies throughout the United States. We perform ongoing credit evaluations of our customers and generally do not require collateral. We maintain an allowance for doubtful accounts at a level which we believe is sufficient to cover potential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 consist of cash on hand and time deposits with original maturities of three months or less.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did not have any time deposits at December 31, 2022 and 2021.</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We account for marketable securities in accordance with ASC 320, “</w:t>
      </w:r>
      <w:r>
        <w:rPr>
          <w:rFonts w:ascii="Arial" w:cs="Arial" w:eastAsia="Arial" w:hAnsi="Arial"/>
          <w:sz w:val="17"/>
          <w:szCs w:val="17"/>
          <w:i w:val="1"/>
          <w:iCs w:val="1"/>
          <w:color w:val="auto"/>
        </w:rPr>
        <w:t>Investments – Debt Securities,</w:t>
      </w:r>
      <w:r>
        <w:rPr>
          <w:rFonts w:ascii="Arial" w:cs="Arial" w:eastAsia="Arial" w:hAnsi="Arial"/>
          <w:sz w:val="17"/>
          <w:szCs w:val="17"/>
          <w:color w:val="auto"/>
        </w:rPr>
        <w:t>” which require that certain debt securities be classified into one of three categories: held-to-maturity, available-for-sale, or trading securities, and depending upon the classification, value the security at amortized cost or fair market value. At December 31, 2022, we have recorded $10.1 million of held-to-maturity U.S. Treasury Bills at amortized cost basis that have a fair market value of $10 million. Our held-to-maturity U.S. Treasury Bills all have original maturity dates ranging from February 2023 to June 2023. We had no marketable securities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179" w:firstLine="324"/>
        <w:spacing w:after="0" w:line="275" w:lineRule="auto"/>
        <w:rPr>
          <w:sz w:val="20"/>
          <w:szCs w:val="20"/>
          <w:color w:val="auto"/>
        </w:rPr>
      </w:pPr>
      <w:r>
        <w:rPr>
          <w:rFonts w:ascii="Arial" w:cs="Arial" w:eastAsia="Arial" w:hAnsi="Arial"/>
          <w:sz w:val="17"/>
          <w:szCs w:val="17"/>
          <w:color w:val="auto"/>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secured overnight financing rate (“SOFR”), prime rate or have been reset at the prevailing market rate at December 31,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179" w:firstLine="324"/>
        <w:spacing w:after="0" w:line="311" w:lineRule="auto"/>
        <w:rPr>
          <w:sz w:val="20"/>
          <w:szCs w:val="20"/>
          <w:color w:val="auto"/>
        </w:rPr>
      </w:pPr>
      <w:r>
        <w:rPr>
          <w:rFonts w:ascii="Arial" w:cs="Arial" w:eastAsia="Arial" w:hAnsi="Arial"/>
          <w:sz w:val="16"/>
          <w:szCs w:val="16"/>
          <w:color w:val="auto"/>
        </w:rPr>
        <w:t>A provision for doubtful accounts is recorded based on our judgment of the collectability of receivables. Amounts are written off when determined to be fully uncollectible. Delinquent accounts are based on contractual terms. The activity in the allowance for doubtful accounts during the years ended December 31, 2022, 2021 and 2020 was as follows: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Write Off of</w:t>
            </w:r>
          </w:p>
        </w:tc>
        <w:tc>
          <w:tcPr>
            <w:tcW w:w="1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Uncollectible</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at Beginning</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Accounts, Net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Recoveries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2022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December 31, 2021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648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2020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Barter Transactions</w:t>
      </w:r>
    </w:p>
    <w:p>
      <w:pPr>
        <w:spacing w:after="0" w:line="229" w:lineRule="exact"/>
        <w:rPr>
          <w:sz w:val="20"/>
          <w:szCs w:val="20"/>
          <w:color w:val="auto"/>
        </w:rPr>
      </w:pPr>
    </w:p>
    <w:p>
      <w:pPr>
        <w:jc w:val="both"/>
        <w:ind w:left="60" w:right="459" w:firstLine="324"/>
        <w:spacing w:after="0" w:line="311" w:lineRule="auto"/>
        <w:rPr>
          <w:sz w:val="20"/>
          <w:szCs w:val="20"/>
          <w:color w:val="auto"/>
        </w:rPr>
      </w:pPr>
      <w:r>
        <w:rPr>
          <w:rFonts w:ascii="Arial" w:cs="Arial" w:eastAsia="Arial" w:hAnsi="Arial"/>
          <w:sz w:val="16"/>
          <w:szCs w:val="16"/>
          <w:color w:val="auto"/>
        </w:rPr>
        <w:t>Our radio stations trade air time for goods and services used principally for promotional, sales and other business activities. An asset and a liability are recorded at the fair market value of goods or services received. Barter revenue is recorded when commercials are broadcast, and barter expense is recorded when goods or services received are used.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Property and equipment are carried at cost. Expenditures for maintenance and repairs are expensed as incurred. When property and equipment is sold or otherwise disposed of, the related cost and accumulated depreciation is removed from the respective accounts and the gain or loss realized on disposition is reflected in earnings. Depreciation is provided using the straight-line method based on the estimated useful life of the assets. We review our property and equipment for impairment whenever events or changes in circumstances indicate the carrying amount of an asset may not be recoverable. Recoverability of these assets is measured by comparison of their carrying amounts to future undiscounted cash flows the assets are expected to generate. If the assets are considered to be impaired, the impairment to be recognized equals the amount by which the carrying value of the assets exceeds its fair market value. We did not record any impairment of property and equipment during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Estimated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Useful Life</w:t>
            </w:r>
          </w:p>
        </w:tc>
        <w:tc>
          <w:tcPr>
            <w:tcW w:w="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w w:val="81"/>
              </w:rPr>
              <w:t>(In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0"/>
              </w:rPr>
              <w:t>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900" w:type="dxa"/>
            <w:vAlign w:val="bottom"/>
          </w:tcPr>
          <w:p>
            <w:pPr>
              <w:jc w:val="right"/>
              <w:spacing w:after="0"/>
              <w:rPr>
                <w:sz w:val="20"/>
                <w:szCs w:val="20"/>
                <w:color w:val="auto"/>
              </w:rPr>
            </w:pPr>
            <w:r>
              <w:rPr>
                <w:rFonts w:ascii="Arial" w:cs="Arial" w:eastAsia="Arial" w:hAnsi="Arial"/>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Towers and antennae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900" w:type="dxa"/>
            <w:vAlign w:val="bottom"/>
          </w:tcPr>
          <w:p>
            <w:pPr>
              <w:jc w:val="right"/>
              <w:spacing w:after="0"/>
              <w:rPr>
                <w:sz w:val="20"/>
                <w:szCs w:val="20"/>
                <w:color w:val="auto"/>
              </w:rPr>
            </w:pPr>
            <w:r>
              <w:rPr>
                <w:rFonts w:ascii="Arial" w:cs="Arial" w:eastAsia="Arial" w:hAnsi="Arial"/>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leasehold improvements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Vehicles</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144,719</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(92,856)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(91,375)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Depreciation expense for the years ended December 31, 2022, 2021 and 2020, was $5,133,000, $5,362,000 and $5,711,000,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Intangible assets deemed to have indefinite useful lives, which include broadcast licenses and goodwill, are not amortized and are subject to impairment tests which are conducted as of October 1 of each year, or more frequently if impairment indicators arise.</w:t>
      </w:r>
    </w:p>
    <w:p>
      <w:pPr>
        <w:spacing w:after="0" w:line="184"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have 113 broadcast licenses serving 27 markets, which require renewal over the period of 2023-2030. In determining that the Company’s broadcast licenses qualified as indefinite-lived intangible assets, management considered a variety of factors including our broadcast licenses may be renewed indefinitely at little cost; our broadcast licenses are essential to our business and we intend to renew our licenses indefinitely; we have never been denied the renewal of an FCC broadcast license nor do we believe that there will be any compelling challenge to the renewal of our broadcast licenses; and we do not believe that the technology used in broadcasting will be replaced by another technology in the foreseeable future.</w:t>
      </w:r>
    </w:p>
    <w:p>
      <w:pPr>
        <w:spacing w:after="0" w:line="195" w:lineRule="exact"/>
        <w:rPr>
          <w:sz w:val="20"/>
          <w:szCs w:val="20"/>
          <w:color w:val="auto"/>
        </w:rPr>
      </w:pPr>
    </w:p>
    <w:p>
      <w:pPr>
        <w:jc w:val="both"/>
        <w:ind w:left="60" w:right="259" w:firstLine="324"/>
        <w:spacing w:after="0" w:line="286" w:lineRule="auto"/>
        <w:rPr>
          <w:sz w:val="20"/>
          <w:szCs w:val="20"/>
          <w:color w:val="auto"/>
        </w:rPr>
      </w:pPr>
      <w:r>
        <w:rPr>
          <w:rFonts w:ascii="Arial" w:cs="Arial" w:eastAsia="Arial" w:hAnsi="Arial"/>
          <w:sz w:val="17"/>
          <w:szCs w:val="17"/>
          <w:color w:val="auto"/>
        </w:rPr>
        <w:t>Separable intangible assets that have finite lives are amortized over their useful lives using the straight-line method. Favorable lease agreements are amortized over the leases length, ranging from one to twenty-six years. Other intangibles are amortized over one to fifteen years. Customer relationships are amortized over three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Costs</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 costs related to the issuance of debt are capitalized and amortized to interest expense over the life of the Credit Facility. During the years ended December 31, 2022, 2021 and 2020, we recognized interest expense related to the amortization of debt issuance costs of $10,000, $37,000 and $40,000, respectively.</w:t>
      </w:r>
    </w:p>
    <w:p>
      <w:pPr>
        <w:spacing w:after="0" w:line="18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At December 31, 2022 and 2021 the net book value of debt issuance costs related to our line of credit was $166,000, and $17,000, respectively, and was presented in other intangibles, deferred costs and investments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determine whether a contract is or contains a lease at inception. The lease liabilities and right-of-use assets are recorded on the balance sheet for all leases with an expected term of at least one year, based on the present value of the lease payments using (1) the rate implicit in the lease or (2) our incremental borrowing rate (“IBR”). Our IBR is defined as the rate of interest we would have to pay to borrow on a collateralized basis over a similar term an amount equal to the lease payments in a similar economic environment. We follow the accounting guidance for leases, which includes the recognition of lease expense for leases on a straight-line basis over the lease term. See Note 12 – Commitments and Contingencies for more information on Leases.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99" w:firstLine="315"/>
        <w:spacing w:after="0" w:line="269" w:lineRule="auto"/>
        <w:rPr>
          <w:sz w:val="20"/>
          <w:szCs w:val="20"/>
          <w:color w:val="auto"/>
        </w:rPr>
      </w:pPr>
      <w:r>
        <w:rPr>
          <w:rFonts w:ascii="Arial" w:cs="Arial" w:eastAsia="Arial" w:hAnsi="Arial"/>
          <w:sz w:val="17"/>
          <w:szCs w:val="17"/>
          <w:color w:val="auto"/>
        </w:rPr>
        <w:t>Our founder, Chairman, President, and former CEO, Edward K. Christian, passed away on August 19, 2022. As of the date of his passing, Mr. Christian, who was also our principal shareholder, held approximately 65% of the combined voting power of the Company’s Common Stock based on our Class B Common Stock (together with the Class A Common Stock, collectively, the “Common Stock”) generally being entitled to ten votes per share. As a result, Mr. Christian was generally able to control the vote on most matters submitted to the vote of shareholders and, therefore, was able to direct our management and policies, except with respect to (i) the election of two Class A directors, (ii) those matters where the shares of our Class B Common Stock were only entitled to one vote per share, and (iii) other matters requiring a class vote under the provisions of our certificate of incorporation, bylaws or applicable law. Mr. Christian’s passing resulted in the conversion of his Class B Shares into Class A Shares that were transferred to an estate planning trust that now owns approximately 16% of the common stock outstanding. As a result, we no longer have any shares of Class B Common Stock issued or outstanding.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In March 2013, our Board of Directors authorized an increase in the amount committed to our Stock Buy-Back Program (the “Buy-Back Program”) from $60 million to $75.8 million. The Buy-Back Program allows us to repurchase our Class A Common Stock. As of December 31, 2022, we had remaining authorization of $18.2 million for future repurchases of our Class A Common Stock.</w:t>
      </w:r>
    </w:p>
    <w:p>
      <w:pPr>
        <w:spacing w:after="0" w:line="187"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Repurchases of shares of our Common Stock are recorded as Treasury stock and result in a reduction of Shareholders’ equity. During 2022, 2021 and 2020, we acquired 6,044 shares at an average price of $24.27 per share, 16,577 shares at an average price of $26.25 per share and 24,255 shares at an average price of $18.51 per share,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 xml:space="preserve">Revenue from the sale of commercial broadcast time to advertisers is recognized when commercials are broadcast. Revenue is reported net of advertising agency commissions. Agency commissions, when applicable are based on a stated percentage applied to gross billing. All revenue is recognized in accordance with the Securities and Exchange Commission’s (“SEC”) Staff Accounting Bulletin (“SAB”) No. 104, Topic 13, </w:t>
      </w:r>
      <w:r>
        <w:rPr>
          <w:rFonts w:ascii="Arial" w:cs="Arial" w:eastAsia="Arial" w:hAnsi="Arial"/>
          <w:sz w:val="16"/>
          <w:szCs w:val="16"/>
          <w:i w:val="1"/>
          <w:iCs w:val="1"/>
          <w:color w:val="auto"/>
        </w:rPr>
        <w:t>Revenue Recognition Revised and Updated</w:t>
      </w:r>
      <w:r>
        <w:rPr>
          <w:rFonts w:ascii="Arial" w:cs="Arial" w:eastAsia="Arial" w:hAnsi="Arial"/>
          <w:sz w:val="16"/>
          <w:szCs w:val="16"/>
          <w:color w:val="auto"/>
        </w:rPr>
        <w:t xml:space="preserve"> and The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Local Marketing Agreements</w:t>
      </w:r>
    </w:p>
    <w:p>
      <w:pPr>
        <w:spacing w:after="0" w:line="22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its own commercial advertising announcements during the time periods specified. Revenue and expenses related to TBAs/LMAs are included in the accompanying Consolidated Statements of Income. Assets and liabilities related to the TBAs/LMAs are included in the accompanying Consolidated Balance Sheets.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and Promotion Costs</w:t>
      </w:r>
    </w:p>
    <w:p>
      <w:pPr>
        <w:spacing w:after="0" w:line="229"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Advertising and promotion costs are expensed as incurred. Such costs amounted to $1,646,000, $1,396,000 and $985,000 for the years ended December 31, 2022,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provision for income taxes is calculated using the asset and liability method, under which deferred tax assets and liabilities are determined based on temporary differences between the financial reporting and tax basis of assets and liabilities and are measured using the enacted tax rates and laws that are expected to be in effect when the differences are expected to reverse. In assessing the realizability of deferred tax assets, we consider whether it is more likely than not that some portion or all of the deferred tax assets will not be realized. The realization of deferred tax assets is primarily dependent upon the generation of future taxable income. Our effective tax rate is higher than the federal statutory rate as a result of the inclusion of state taxes in the income tax amount and permanent differences primarily relating to executive compensation.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7, 2022, the Company’s Board of Directors declared a quarterly cash dividend of $0.25 per share and 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special cash dividend of $2.00 per share on its Classes A Common Stock. This dividend, totaling approximately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$13,800,000, was paid on January 13, 2023 to shareholders of record on December 21, 2022 and is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in our Consolidated Balance Sheet at December 31, 2022.</w:t>
      </w:r>
    </w:p>
    <w:p>
      <w:pPr>
        <w:spacing w:after="0" w:line="211"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20, 2022, the Company’s Board of Directors declared a quarterly cash dividend of $0.25 per share and a special cash dividend of $2.00 per share on its Classes A Common Stock. This dividend, totaling approximately $13,600,000, was paid on October 21, 2022 to shareholders of record on October 3, 2022.</w:t>
      </w:r>
    </w:p>
    <w:p>
      <w:pPr>
        <w:spacing w:after="0" w:line="184" w:lineRule="exact"/>
        <w:rPr>
          <w:sz w:val="20"/>
          <w:szCs w:val="20"/>
          <w:color w:val="auto"/>
        </w:rPr>
      </w:pPr>
    </w:p>
    <w:p>
      <w:pPr>
        <w:ind w:left="60" w:right="79" w:firstLine="324"/>
        <w:spacing w:after="0" w:line="311" w:lineRule="auto"/>
        <w:rPr>
          <w:sz w:val="20"/>
          <w:szCs w:val="20"/>
          <w:color w:val="auto"/>
        </w:rPr>
      </w:pPr>
      <w:r>
        <w:rPr>
          <w:rFonts w:ascii="Arial" w:cs="Arial" w:eastAsia="Arial" w:hAnsi="Arial"/>
          <w:sz w:val="16"/>
          <w:szCs w:val="16"/>
          <w:color w:val="auto"/>
        </w:rPr>
        <w:t>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w:t>
      </w:r>
    </w:p>
    <w:p>
      <w:pPr>
        <w:spacing w:after="0" w:line="149"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14, 2021, the Company’s Board of Directors declared a quarterly cash dividend of $0.16 per share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special cash dividend of $0.50 per share on its Classes A and B Common Stock. This dividend, totaling approximately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$3,990,000, was paid on January 14, 2022 to shareholders of record on December 27, 2021 and was recorded in dividends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payable on the Company’s Consolidated Balance sheet at December 31,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84" w:lineRule="exact"/>
        <w:rPr>
          <w:sz w:val="20"/>
          <w:szCs w:val="20"/>
          <w:color w:val="auto"/>
        </w:rPr>
      </w:pPr>
    </w:p>
    <w:p>
      <w:pPr>
        <w:ind w:left="60" w:right="47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61"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On June 18, 2020, our Board of Directors announced that it was temporarily suspending the quarterly cash dividend in response to the continued uncertainty of the ongoing impact of COVID-19.</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4, 2020, our Board of Directors declared a regular quarterly cash dividend of $0.32 per share on its Classes A and B Common Stock. This dividend, totaling approximately $1.9 million, was paid on April 10, 2020 to shareholders of record on March 16, 2020 and funded by cash on the Company’s balance sheet.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Stock-based compensation cost for stock option awards is estimated on the date of grant using a Black-Scholes valuation model and is expensed on a straight-line method over the vesting period of the options. Stock-based compensation expense is recognized net of estimated forfeitures. The fair value of restricted stock awards is determined based on the closing market price of our Class A Common Stock on the grant date and is adjusted at each reporting date based on the amount of shares ultimately expected to vest. See Note 7 — Stock-Based Compensation for further details regarding the expense calculated under the fair value based method.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Earnings per share is calculated using the two-class method. The two-class method is an earnings allocation formula that determines earnings per share for each class of common stock and participating security. We have participating securities related to restricted stock units, granted under our Second Amended and Restated 2005 Incentive Compensation Plan, that earn dividends on an equal basis with common shares. In applying the two-class method, earnings are allocated to both common shares and participating securities.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8"/>
          </w:tcPr>
          <w:p>
            <w:pPr>
              <w:ind w:left="4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w w:val="92"/>
              </w:rPr>
              <w:t>(In thousands, except per</w:t>
            </w:r>
          </w:p>
        </w:tc>
        <w:tc>
          <w:tcPr>
            <w:tcW w:w="11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9,202</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11,157</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Income allocated to unvested participating securities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Denominator for basic earnings per share — weighted average shares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tcPr>
          <w:p>
            <w:pPr>
              <w:ind w:left="120"/>
              <w:spacing w:after="0" w:line="182" w:lineRule="exact"/>
              <w:rPr>
                <w:sz w:val="20"/>
                <w:szCs w:val="20"/>
                <w:color w:val="auto"/>
              </w:rPr>
            </w:pPr>
            <w:r>
              <w:rPr>
                <w:rFonts w:ascii="Arial" w:cs="Arial" w:eastAsia="Arial" w:hAnsi="Arial"/>
                <w:sz w:val="18"/>
                <w:szCs w:val="18"/>
                <w:color w:val="auto"/>
              </w:rPr>
              <w:t>Denominator for diluted earnings per share — adjusted weighted-</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5,973</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stock options outstanding that had an antidilutive effect on our earnings per share calculation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years ended December 31, 2022, 2021, and 2020, respectively. The actual effect of these shares, if any, on the diluted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earnings per share calculation will vary significantly depending on fluctuations in the stock price.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139" w:firstLine="324"/>
        <w:spacing w:after="0" w:line="308" w:lineRule="auto"/>
        <w:rPr>
          <w:sz w:val="20"/>
          <w:szCs w:val="20"/>
          <w:color w:val="auto"/>
        </w:rPr>
      </w:pPr>
      <w:r>
        <w:rPr>
          <w:rFonts w:ascii="Arial" w:cs="Arial" w:eastAsia="Arial" w:hAnsi="Arial"/>
          <w:sz w:val="17"/>
          <w:szCs w:val="17"/>
          <w:color w:val="auto"/>
        </w:rPr>
        <w:t>Management has considered all recent accounting pronouncements issued. The Company’s management believes that these recent pronouncements will not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goods and services</w:t>
      </w:r>
    </w:p>
    <w:p>
      <w:pPr>
        <w:spacing w:after="0" w:line="225" w:lineRule="exact"/>
        <w:rPr>
          <w:rFonts w:ascii="Arial" w:cs="Arial" w:eastAsia="Arial" w:hAnsi="Arial"/>
          <w:sz w:val="18"/>
          <w:szCs w:val="18"/>
          <w:b w:val="1"/>
          <w:bCs w:val="1"/>
          <w:color w:val="auto"/>
        </w:rPr>
      </w:pPr>
    </w:p>
    <w:p>
      <w:pPr>
        <w:ind w:left="380" w:right="2179"/>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is a description of principal activities from which we generate our revenue: </w:t>
      </w:r>
      <w:r>
        <w:rPr>
          <w:rFonts w:ascii="Arial" w:cs="Arial" w:eastAsia="Arial" w:hAnsi="Arial"/>
          <w:sz w:val="18"/>
          <w:szCs w:val="18"/>
          <w:i w:val="1"/>
          <w:iCs w:val="1"/>
          <w:color w:val="auto"/>
        </w:rPr>
        <w:t>Broadcast Advertising Revenue</w:t>
      </w:r>
    </w:p>
    <w:p>
      <w:pPr>
        <w:spacing w:after="0" w:line="2"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agency and are reported as a reduction of advertising revenue.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and digital audio streams, mobile messaging, email marketing and other e-commerce. Revenue is recorded when each specific performance obligation in the digital advertising campaign takes place, typically within a one month period.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revenues disaggregated by revenue source: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2"/>
              </w:rPr>
              <w:t>(in thousands)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Types of Revenue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Broadcast Advertising Revenue, net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95,573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Advertising Revenue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114,893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108,343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520" w:type="dxa"/>
            <w:vAlign w:val="bottom"/>
            <w:vMerge w:val="restart"/>
          </w:tcPr>
          <w:p>
            <w:pPr>
              <w:jc w:val="right"/>
              <w:ind w:right="1370"/>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Payments from our advertisers are generally due within 30 days although certain advertisers are required to pay in advance. When an advertiser pays for the services in advance of the performance obligations these prepayments are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Consolidated Financial Statements and are immaterial.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As the majority of our contracts are one year or less, we have utilized the optional exemption under ASC 606-10-50-14 and will not disclose information about the remaining performance obligations for contracts which have original expected durations of one year or less.</w:t>
      </w:r>
    </w:p>
    <w:p>
      <w:pPr>
        <w:spacing w:after="0" w:line="180" w:lineRule="exact"/>
        <w:rPr>
          <w:sz w:val="20"/>
          <w:szCs w:val="20"/>
          <w:color w:val="auto"/>
        </w:rPr>
      </w:pPr>
    </w:p>
    <w:p>
      <w:pPr>
        <w:ind w:left="360" w:hanging="310"/>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Broadcast Licenses, Goodwill and Other Intangible Assets</w:t>
      </w:r>
    </w:p>
    <w:p>
      <w:pPr>
        <w:spacing w:after="0" w:line="229"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10"/>
        <w:spacing w:after="0" w:line="253"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Broadcast Licenses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recorded the changes to broadcast licenses for the years ended December 31, 2022 and 2021 as follows: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3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2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2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2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2022 Impairment Test</w:t>
      </w:r>
    </w:p>
    <w:p>
      <w:pPr>
        <w:spacing w:after="0" w:line="22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completed our impairment annual impairment test of broadcast licenses during the fourth quarter of 2022 and determined that the fair value of the broadcast licenses was greater than the carrying value recorded for each of our markets and, accordingly, no impairment was recorded.</w:t>
      </w:r>
    </w:p>
    <w:p>
      <w:pPr>
        <w:spacing w:after="0" w:line="184"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following table reflects certain key estimates and assumptions used in the impairment tests during the fourth quarter ended 2022, the fourth quarter of 2021 and the year ended 2020. The ranges for operating profit margin and market long-term revenue growth rates vary by market. In general, when comparing between 2022, 2021 and 2020: (1) the market specific operating profit margin range remained relatively consistent; (2) the market long-term revenue growth rates were relatively consistent with some stabilization of rates in 2022; (3) the discount rate decreased; and (4) current year revenue projections increased with amounts previously projected for 2022.</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Fourth</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Fourth</w:t>
            </w:r>
          </w:p>
        </w:tc>
        <w:tc>
          <w:tcPr>
            <w:tcW w:w="124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518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CCEEFF"/>
            </w:tcBorders>
          </w:tcPr>
          <w:p>
            <w:pPr>
              <w:spacing w:after="0"/>
              <w:rPr>
                <w:sz w:val="20"/>
                <w:szCs w:val="20"/>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 - 12.6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 - 13.0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profit margin ranges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17.8% - 36.4 %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17.8% - 36.4 %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17.8% - 36.4 %</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Market long-term revenue growth rates</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- 2.0 %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- 2.6 %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- 2.9 %</w:t>
            </w:r>
          </w:p>
        </w:tc>
      </w:tr>
    </w:tbl>
    <w:p>
      <w:pPr>
        <w:spacing w:after="0" w:line="202"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If actual market conditions are less favorable than those estimated by us or if events occur or circumstances change that would reduce the fair value of our broadcast licenses below the carrying value, we may be required to recognize additional impairment charges in future periods. Such a charge could have a material effect on our consolidated financial statements. We will continue to monitor potential triggering events and perform the appropriate analysis when deemed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Impairment Test</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During the fourth quarter of 2021, we completed our annual impairment test of broadcast and determined that the fair value of the broadcast licenses was greater than the carrying value recorded for each of our markets and, accordingly, no impairment was recorded.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Impairment Test</w:t>
      </w:r>
    </w:p>
    <w:p>
      <w:pPr>
        <w:spacing w:after="0" w:line="225" w:lineRule="exact"/>
        <w:rPr>
          <w:sz w:val="20"/>
          <w:szCs w:val="20"/>
          <w:color w:val="auto"/>
        </w:rPr>
      </w:pPr>
    </w:p>
    <w:p>
      <w:pPr>
        <w:ind w:left="60" w:right="59" w:firstLine="226"/>
        <w:spacing w:after="0" w:line="286" w:lineRule="auto"/>
        <w:rPr>
          <w:sz w:val="20"/>
          <w:szCs w:val="20"/>
          <w:color w:val="auto"/>
        </w:rPr>
      </w:pPr>
      <w:r>
        <w:rPr>
          <w:rFonts w:ascii="Arial" w:cs="Arial" w:eastAsia="Arial" w:hAnsi="Arial"/>
          <w:sz w:val="16"/>
          <w:szCs w:val="16"/>
          <w:color w:val="auto"/>
        </w:rPr>
        <w:t>Due to the impact of the COVID-19 pandemic on the U.S. economy and the related significant negative impact on our revenue for the second, third and fourth quarter of 2020 (excluding political advertising) in the majority of our markets, the Company tested its FCC License for impairment during the second quarter and again in the third quarter of 2020. Our broadcast revenue was significantly negatively impacted in the majority of the states where we operate, due to economic shutdowns and the related decline in advertising spending nationwide as most companies were making massive payroll cuts out of a necessity to survive with their revenues also significantly impacted. We experienced a significant number of cancellations of advertising on our stations, with the greatest decreases in the following industries/categories: Automotive, Entertainment, Home Improvement, Professional Services, Restaurants, and Retail. The only category where we saw an increase over the prior quarters and year to date in 2020 were political advertising and government/public service/issue advertising. We also saw significant declines in our revenue related to events, venues, travel and sports as these types of businesses have been virtually shut down. We started to see increased revenues from our low point in Q2 2020, however, throughout 2020 they were not at the previously expected recovery rate. Based on the trends we were seeing at our markets we believe that our analysis and estimates used during the third quarter 2020 analysis remained our best estimate and we did not believe any further triggering events occurred during the fourth quarter of 2020 since the date of the previous analysis that would require any additional impairment testing for broadcast licenses.</w:t>
      </w:r>
    </w:p>
    <w:p>
      <w:pPr>
        <w:spacing w:after="0" w:line="167" w:lineRule="exact"/>
        <w:rPr>
          <w:sz w:val="20"/>
          <w:szCs w:val="20"/>
          <w:color w:val="auto"/>
        </w:rPr>
      </w:pPr>
    </w:p>
    <w:p>
      <w:pPr>
        <w:ind w:left="60" w:right="79" w:firstLine="226"/>
        <w:spacing w:after="0" w:line="290" w:lineRule="auto"/>
        <w:rPr>
          <w:sz w:val="20"/>
          <w:szCs w:val="20"/>
          <w:color w:val="auto"/>
        </w:rPr>
      </w:pPr>
      <w:r>
        <w:rPr>
          <w:rFonts w:ascii="Arial" w:cs="Arial" w:eastAsia="Arial" w:hAnsi="Arial"/>
          <w:sz w:val="16"/>
          <w:szCs w:val="16"/>
          <w:color w:val="auto"/>
        </w:rPr>
        <w:t>As a result of the quantitative impairment test performed as of June 30, 2020, the Company determined that the fair value of the broadcast licenses were less than the carrying amount on the balance sheet and recorded non-cash impairment charges totaling $3.8 million related to the FCC licenses in our Bucyrus, Ohio; Champaign, Illinois; Charleston, South Carolina; Columbus, Ohio; Harrisonburg, Virginia; Hilton Head, South Carolina; Mitchell, South Dakota; and Ocala, Florida markets. The impairment charges were primarily due to a decrease in projected revenue in these markets due to the impact of the COVID-19 pandemic, an increase in the discount rate used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w:t>
      </w:r>
    </w:p>
    <w:p>
      <w:pPr>
        <w:spacing w:after="0" w:line="165" w:lineRule="exact"/>
        <w:rPr>
          <w:sz w:val="20"/>
          <w:szCs w:val="20"/>
          <w:color w:val="auto"/>
        </w:rPr>
      </w:pPr>
    </w:p>
    <w:p>
      <w:pPr>
        <w:ind w:left="60" w:right="59" w:firstLine="271"/>
        <w:spacing w:after="0" w:line="289" w:lineRule="auto"/>
        <w:rPr>
          <w:sz w:val="20"/>
          <w:szCs w:val="20"/>
          <w:color w:val="auto"/>
        </w:rPr>
      </w:pPr>
      <w:r>
        <w:rPr>
          <w:rFonts w:ascii="Arial" w:cs="Arial" w:eastAsia="Arial" w:hAnsi="Arial"/>
          <w:sz w:val="16"/>
          <w:szCs w:val="16"/>
          <w:color w:val="auto"/>
        </w:rPr>
        <w:t>As a result of the quantitative impairment test performed as of September 30, 2020, the Company determined that the fair value of the broadcast licenses were less than the carrying amount on the balance sheet and recorded non-cash impairment charges totaling $1.4 million for the quarter ended September 30, 2020 related to the FCC licenses in our Bellingham, Washington; Champaign, Illinois; Charleston, South Carolina; Columbus, Ohio; Harrisonburg, Virginia; Mitchell, South Dakota; Spencer, Iowa and Springfield, Illinois. The impairment charges were primarily due to a decrease in projected revenue in these markets due to the impact of the COVID-19 pandemic, an increase in the discount rate used in 2019 but slightly less than in the second quarter of 2020, in the discounted cash flow analyses to estimate the fair value of our FCC licenses due to certain risks specifically associated with the Company and the radio broadcasting industry, and a decrease in mature operating margins in small markets due to the cost of operations in a small market.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During the fourth quarter of 2022, 2021 and 2020, the Company performed its annual impairment test of goodwill in accordance with ASC 350 and determined that the fair value was in excess of its carrying value and, accordingly, no impairment was recorded.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recorded the changes to goodwill for each of the years ended December 31, 2022 and 2021 as follows:</w:t>
      </w: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21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1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1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6640" w:type="dxa"/>
            <w:vAlign w:val="bottom"/>
            <w:gridSpan w:val="4"/>
          </w:tcPr>
          <w:p>
            <w:pPr>
              <w:jc w:val="right"/>
              <w:ind w:right="350"/>
              <w:spacing w:after="0"/>
              <w:rPr>
                <w:sz w:val="20"/>
                <w:szCs w:val="20"/>
                <w:color w:val="auto"/>
              </w:rPr>
            </w:pPr>
            <w:r>
              <w:rPr>
                <w:rFonts w:ascii="Arial" w:cs="Arial" w:eastAsia="Arial" w:hAnsi="Arial"/>
                <w:sz w:val="18"/>
                <w:szCs w:val="18"/>
                <w:color w:val="auto"/>
                <w:w w:val="94"/>
              </w:rPr>
              <w:t>We have recorded amortizable intangible assets at December 31, 2022 as follows: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27"/>
        </w:trPr>
        <w:tc>
          <w:tcPr>
            <w:tcW w:w="4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4200" w:type="dxa"/>
            <w:vAlign w:val="bottom"/>
          </w:tcPr>
          <w:p>
            <w:pPr>
              <w:spacing w:after="0"/>
              <w:rPr>
                <w:sz w:val="18"/>
                <w:szCs w:val="18"/>
                <w:color w:val="auto"/>
              </w:rPr>
            </w:pPr>
          </w:p>
        </w:tc>
        <w:tc>
          <w:tcPr>
            <w:tcW w:w="2440" w:type="dxa"/>
            <w:vAlign w:val="bottom"/>
            <w:gridSpan w:val="3"/>
          </w:tcPr>
          <w:p>
            <w:pPr>
              <w:ind w:left="17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r>
      <w:tr>
        <w:trPr>
          <w:trHeight w:val="234"/>
        </w:trPr>
        <w:tc>
          <w:tcPr>
            <w:tcW w:w="4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Amount</w:t>
            </w:r>
          </w:p>
        </w:tc>
      </w:tr>
      <w:tr>
        <w:trPr>
          <w:trHeight w:val="196"/>
        </w:trPr>
        <w:tc>
          <w:tcPr>
            <w:tcW w:w="4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5"/>
              </w:rPr>
              <w:t>(In thousands)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50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Favorable lease agreements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intangibles</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16,315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recorded amortizable intangible assets at December 31, 2021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Net</w:t>
            </w:r>
          </w:p>
        </w:tc>
      </w:tr>
      <w:tr>
        <w:trPr>
          <w:trHeight w:val="234"/>
        </w:trPr>
        <w:tc>
          <w:tcPr>
            <w:tcW w:w="59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r>
      <w:tr>
        <w:trPr>
          <w:trHeight w:val="196"/>
        </w:trPr>
        <w:tc>
          <w:tcPr>
            <w:tcW w:w="59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2"/>
              </w:rPr>
              <w:t>(In thousands)</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Favorable lease agreements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Aggregate amortization expense for these intangible assets for the years ended December 31, 2022, 2021 and 2020, was $48,000, $387,000 and $813,000, respectively. Our estimated annual amortization expense for the years ending December 31, 2023, 2024, 2025, 2026 and 2027 is $71,000, $69,000, $66,000, $65,000 and $60,000,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On October 27, 2021, we used $10 million from funds generated by operations to voluntarily pay down the remaining amount on our Revolving Credit Facility and as such, have no debt outstanding at December 31, 2021 or 2022.</w:t>
      </w:r>
    </w:p>
    <w:p>
      <w:pPr>
        <w:spacing w:after="0" w:line="124"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On August 18, 2015, we entered into a credit facility (the “Credit Facility”) with JPMorgan Chase Bank, N.A., The Huntington National Bank, Citizens Bank, National Association and J.P. Morgan Securities LLC.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On November 1, 2021, we elected to further reduce our Revolving Credit Facility to $50 million. On December 19, 2022, we entered into a Third Amendment to our Credit Facility, (the “Third Amendment”), which extended the maturity date to December 19, 2027, reduced the lenders to JPMorgan Chase Bank, N.A., and the Huntington National Bank, established an interest rate equal to the secured overnight financing rate (“SOFR”) as administered by the SOFR Administrator (currently established as the Federal Reserve Bank of New York) as the interest base and increased the basis points.</w:t>
      </w:r>
    </w:p>
    <w:p>
      <w:pPr>
        <w:spacing w:after="0" w:line="18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6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we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w:t>
      </w:r>
    </w:p>
    <w:p>
      <w:pPr>
        <w:spacing w:after="0" w:line="192"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SOFR (4.3% at December 31, 2022),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used portion of the Credit Facility. We previously paid quarterly commitment fees of 0.2% to 0.3% per annum on the unused portion of the Revolving Credit Facility.</w:t>
      </w:r>
    </w:p>
    <w:p>
      <w:pPr>
        <w:spacing w:after="0" w:line="192"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December 31, 2022) which, among other things, require us to maintain specified financial ratios and impose certain limitations on us with respect to investments, additional indebtedness, dividends, distributions, guarantees, liens and encumbrances.</w:t>
      </w:r>
    </w:p>
    <w:p>
      <w:pPr>
        <w:spacing w:after="0" w:line="187"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After we paid down our debt and reduced our Revolving Credit Facility as noted above, we had approximately $50 million of unused borrowing capacity under the Revolving Credit Facility at December 31,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hanging="310"/>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Interest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Non-cash transactions: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Barter revenue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Barter expense</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property and equipment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Use of treasury shares for 401(k) match</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60" w:hanging="310"/>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92"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An income tax expense of $4,800,000 was recorded for the year ended December 31, 2022 compared to income tax expense of $4,260,000 for the year ended December 31, 2021. The effective tax rate was approximately 34.3% for the year ended December 31, 2022 compared to 27.6% for the year ended December 31, 2021. The 2022 year to date tax rate was impacted by $3.8 million in expenses in the third quarter related to the compensation of our CEO upon his death, in accordance with his employment agreement that are permanent differences between our book and taxable income.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Property and equipment</w:t>
            </w:r>
          </w:p>
        </w:tc>
        <w:tc>
          <w:tcPr>
            <w:tcW w:w="1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4,218</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w:t>
            </w:r>
          </w:p>
        </w:tc>
        <w:tc>
          <w:tcPr>
            <w:tcW w:w="1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accrued liabilities</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1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deferred tax assets</w:t>
            </w:r>
          </w:p>
        </w:tc>
        <w:tc>
          <w:tcPr>
            <w:tcW w:w="17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341</w:t>
            </w:r>
          </w:p>
        </w:tc>
        <w:tc>
          <w:tcPr>
            <w:tcW w:w="2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deferred tax liabilities</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17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Deferred tax assets are required to be reduced by a valuation allowance if it is more likely than not that some portion or all of the deferred tax asset will not be realized. At December 31, 2022 and December 31, 2021, we do not have a valuation allowance for net deferred tax assets.</w:t>
      </w:r>
    </w:p>
    <w:p>
      <w:pPr>
        <w:spacing w:after="0" w:line="184"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At December 31, 2022 and 2021, net deferred tax liabilities include a deferred tax asset of $1,313,000 and $1,270,000, respectively, relating to deferred compensation, stock-based compensation expense, accrued compensation, the allowance for doubtful accounts, and other accrued expenses.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components of the provision for income taxes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jc w:val="right"/>
              <w:ind w:right="350"/>
              <w:spacing w:after="0"/>
              <w:rPr>
                <w:sz w:val="20"/>
                <w:szCs w:val="20"/>
                <w:color w:val="auto"/>
              </w:rPr>
            </w:pPr>
            <w:r>
              <w:rPr>
                <w:rFonts w:ascii="Arial" w:cs="Arial" w:eastAsia="Arial" w:hAnsi="Arial"/>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78"/>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2,800</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3,080</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current</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28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20" w:type="dxa"/>
            <w:vAlign w:val="bottom"/>
            <w:vMerge w:val="restart"/>
          </w:tcPr>
          <w:p>
            <w:pPr>
              <w:jc w:val="right"/>
              <w:ind w:right="1370"/>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reconciliation of income tax at the U.S. federal statutory tax rates to income tax expense (benefit) is as follows: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ind w:right="350"/>
              <w:spacing w:after="0"/>
              <w:rPr>
                <w:sz w:val="20"/>
                <w:szCs w:val="20"/>
                <w:color w:val="auto"/>
              </w:rPr>
            </w:pPr>
            <w:r>
              <w:rPr>
                <w:rFonts w:ascii="Arial" w:cs="Arial" w:eastAsia="Arial" w:hAnsi="Arial"/>
                <w:sz w:val="18"/>
                <w:szCs w:val="18"/>
                <w:b w:val="1"/>
                <w:bCs w:val="1"/>
                <w:color w:val="auto"/>
                <w:w w:val="97"/>
              </w:rPr>
              <w:t>Years Ended December 31,</w:t>
            </w:r>
          </w:p>
        </w:tc>
      </w:tr>
      <w:tr>
        <w:trPr>
          <w:trHeight w:val="209"/>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196"/>
        </w:trPr>
        <w:tc>
          <w:tcPr>
            <w:tcW w:w="4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0"/>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 at U.S. statutory rates</w:t>
            </w:r>
          </w:p>
        </w:tc>
        <w:tc>
          <w:tcPr>
            <w:tcW w:w="1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State tax expense, net of federal benefit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9"/>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4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2022 and 2021 effective tax rates exceed the federal statutory rate primarily due to non-deductible compensation related expenses and state income taxes. The 2020 effective tax rate exceeded the federal statutory rate primarily due to non-deductible compensation related expenses, book tax differences in impairment charges and state income taxes.</w:t>
      </w:r>
    </w:p>
    <w:p>
      <w:pPr>
        <w:spacing w:after="0" w:line="149"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The Company files income taxes in the U.S. federal jurisdiction, and in various state and local jurisdictions. The Company is no longer subject to U.S. federal examinations by the Internal Revenue Service (IRS) for years prior to 2019. The Company is subject to examination for income and non-income tax filings in various states.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2022, and 2021 there were no accrued balances recorded related to uncertain tax positions.</w:t>
      </w:r>
    </w:p>
    <w:p>
      <w:pPr>
        <w:spacing w:after="0" w:line="23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We classify income tax-related interest and penalties that are related to income tax liabilities as a component of income tax expense. For the years ended December 31, 2022, 2021 and 2020, we had $-, $-, and $600, respectively, tax-related interest and penalties and had $0 accrued at December 31, 2022 and 2021.</w:t>
      </w:r>
    </w:p>
    <w:p>
      <w:pPr>
        <w:spacing w:after="0" w:line="180" w:lineRule="exact"/>
        <w:rPr>
          <w:sz w:val="20"/>
          <w:szCs w:val="20"/>
          <w:color w:val="auto"/>
        </w:rPr>
      </w:pPr>
    </w:p>
    <w:p>
      <w:pPr>
        <w:ind w:left="60" w:right="6299" w:hanging="10"/>
        <w:spacing w:after="0" w:line="566" w:lineRule="auto"/>
        <w:tabs>
          <w:tab w:leader="none" w:pos="37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 2005 Incentive Compensation Plan</w:t>
      </w:r>
    </w:p>
    <w:p>
      <w:pPr>
        <w:ind w:left="60" w:right="59" w:firstLine="324"/>
        <w:spacing w:after="0" w:line="287" w:lineRule="auto"/>
        <w:rPr>
          <w:sz w:val="20"/>
          <w:szCs w:val="20"/>
          <w:color w:val="auto"/>
        </w:rPr>
      </w:pPr>
      <w:r>
        <w:rPr>
          <w:rFonts w:ascii="Arial" w:cs="Arial" w:eastAsia="Arial" w:hAnsi="Arial"/>
          <w:sz w:val="16"/>
          <w:szCs w:val="16"/>
          <w:color w:val="auto"/>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2" w:lineRule="exact"/>
        <w:rPr>
          <w:sz w:val="20"/>
          <w:szCs w:val="20"/>
          <w:color w:val="auto"/>
        </w:rPr>
      </w:pPr>
    </w:p>
    <w:p>
      <w:pPr>
        <w:ind w:left="60" w:right="159" w:hanging="10"/>
        <w:spacing w:after="0" w:line="253" w:lineRule="auto"/>
        <w:tabs>
          <w:tab w:leader="none" w:pos="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93" w:lineRule="exact"/>
        <w:rPr>
          <w:sz w:val="20"/>
          <w:szCs w:val="20"/>
          <w:color w:val="auto"/>
        </w:rPr>
      </w:pPr>
    </w:p>
    <w:p>
      <w:pPr>
        <w:ind w:left="60" w:right="179" w:firstLine="324"/>
        <w:spacing w:after="0" w:line="253" w:lineRule="auto"/>
        <w:rPr>
          <w:sz w:val="20"/>
          <w:szCs w:val="20"/>
          <w:color w:val="auto"/>
        </w:rPr>
      </w:pPr>
      <w:r>
        <w:rPr>
          <w:rFonts w:ascii="Arial" w:cs="Arial" w:eastAsia="Arial" w:hAnsi="Arial"/>
          <w:sz w:val="18"/>
          <w:szCs w:val="18"/>
          <w:color w:val="auto"/>
        </w:rPr>
        <w:t>The number of shares of Common Stock that may be issued under the Second Restated 2005 Plan may not exceed 370,000 shares of Class B Common Stock, 990,000 shares of Class A Common Stock of which up to 620,000 shares of Class A Common Stock may be issued pursuant to incentive stock options and 370,000 Class A Common Stock issuable upon conversion of Class B Common Stock. Awards denominated in Class A Common Stock may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may be for terms not exceeding ten years from the date of grant and may not be exercised at a price which is less than 100% of the fair market value of shares at the date of grant.</w:t>
      </w:r>
    </w:p>
    <w:p>
      <w:pPr>
        <w:spacing w:after="0" w:line="196"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On March, 1, 2023, our Board of Directors approved the 2023 Incentive Compensation Plan to be approved by our shareholders at our Annual Meeting in May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Our stock-based compensation expense is measured and recognized for all stock-based awards to employees using the estimated fair value of the award. Compensation expense is recognized over the period during which an employee is required to provide service in exchange for the award. For these awards, we have recognized compensation expense using a straight-line amortization method. Accounting guidance requires that stock-based compensation expense be based on awards that are ultimately expected to vest; therefore stock-based compensation has been adjusted for estimated forfeitures. When estimating forfeitures, we consider voluntary termination behaviors as well as trends of actual option forfeitures.</w:t>
      </w:r>
    </w:p>
    <w:p>
      <w:pPr>
        <w:spacing w:after="0" w:line="164"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All stock options were fully vested and expensed at December 31, 2012, therefore there was no compensation expense related to stock options for the years ended December 31, 2022, 2021 and 2020. We calculated the fair value of each option award on the date of grant using the Black-Scholes option pricing model. The estimated expected volatility, expected term of options and estimated annual forfeiture rate were determined based on historical experience of similar awards, giving consideration to the contractual terms of the stock-based awards, vesting schedules and expectations of future employee behavior. The risk-free interest rate was based on the U.S. Treasury yield curve in effect at the time of grant.</w:t>
      </w:r>
    </w:p>
    <w:p>
      <w:pPr>
        <w:spacing w:after="0" w:line="164"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There were no options granted during 2022, 2021 and 2020 and there were no stock options outstanding as of December 31,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restricted stock transactions for the year ended December 31:</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Forfeited/canceled/expired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77,913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Forfeited/canceled/expired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66,274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Forfeited/canceled/expired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and outstanding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weighted average grant date fair value of restricted stock that granted during 2022 and 2021 was $1,902,000 and $1,792,000, respectively. There were no restricted stock grants awarded in 2020. The net value of unrecognized compensation cost related to unvested restricted stock awards aggregated $2,397,000, $2,354,000 and $1,896,000 at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For the years ended December 31, 2022, 2021 and 2020 we had $1,858,000, $1,335,000 and $2,221,000, respectively, of total compensation expense related to restricted stock-based arrangements. The expense is included in corporate general and administrative expenses in our results of operations. The associated tax benefit recognized for the years ended December 31, 2022, 2021 and 2020 was $149,000, $121,000 and $235,000, respectively.</w:t>
      </w:r>
    </w:p>
    <w:p>
      <w:pPr>
        <w:spacing w:after="0" w:line="167" w:lineRule="exact"/>
        <w:rPr>
          <w:sz w:val="20"/>
          <w:szCs w:val="20"/>
          <w:color w:val="auto"/>
        </w:rPr>
      </w:pPr>
    </w:p>
    <w:p>
      <w:pPr>
        <w:ind w:left="60" w:right="6839" w:hanging="10"/>
        <w:spacing w:after="0" w:line="503" w:lineRule="auto"/>
        <w:tabs>
          <w:tab w:leader="none" w:pos="37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Plan</w:t>
      </w:r>
    </w:p>
    <w:p>
      <w:pPr>
        <w:ind w:left="60" w:right="119" w:firstLine="324"/>
        <w:spacing w:after="0" w:line="296" w:lineRule="auto"/>
        <w:rPr>
          <w:sz w:val="20"/>
          <w:szCs w:val="20"/>
          <w:color w:val="auto"/>
        </w:rPr>
      </w:pPr>
      <w:r>
        <w:rPr>
          <w:rFonts w:ascii="Arial" w:cs="Arial" w:eastAsia="Arial" w:hAnsi="Arial"/>
          <w:sz w:val="16"/>
          <w:szCs w:val="16"/>
          <w:color w:val="auto"/>
        </w:rPr>
        <w:t>We have a defined contribution pension plan (“401(k) Plan”) that covers substantially all employees. Employees can elect to have a portion of their wages withheld and contributed to the plan. The 401(k) Plan also allows us to make a discretionary contribution. Total administrative expense under the 401(k) Plan was $3,500, $1,550 and $2,900 in 2022, 2021 and 2020, respectively. The Company’s discretionary contribution to the plan was approximately $256,000, $250,000 and $225,000 for the years ended December 31, 2022, 2021 and 2020,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In 1999 we established a Nonqualified Deferred Compensation Plan which allows officers and certain management employees to annually elect to defer a portion of their compensation, on a pre-tax basis, until their retirement. The retirement benefit to be provided is based on the amount of compensation deferred and any earnings thereon. Deferred compensation expense for the years ended December 31, 2022, 2021 and 2020 was $135,000, $100,000 and $105,000, respectively. We invest in company-owned life insurance policies to assist in funding these programs. The cash surrender values of these policies are in a rabbi trust and are recorded as our assets.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Split Dollar Officer Life Insurance</w:t>
      </w:r>
    </w:p>
    <w:p>
      <w:pPr>
        <w:spacing w:after="0" w:line="229"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provide split dollar insurance benefits to certain executive officers and record an asset equal to the cumulative premiums paid on the related policies, as we will fully recover these premiums under the terms of the plan. We retain a collateral assignment of the cash surrender values and policy death benefits payable to insure recovery of these premiums.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Acquisitions and Dispositions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64"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25"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On January 2, 2020, we closed on an agreement to purchase W295BL from Basic Holdings, LLC, for an aggregate purchase price of $200 thousand, of which $10 thousand was paid in 2019 and the remaining $190 thousand paid in 2020. Management attributes the goodwill recognized in the acquisition to the power of the existing brands in the Manchester, New Hampshire market as well as synergies and growth opportunities expected through the combination with our existing stations. The translators are start-up stations and therefore, have no pro forma revenue and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2022 and 2021 Acquisitions: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following condensed balance sheets represent the estimated fair value assigned to the related assets and liabilities of the 2022 and 2021 acquisitions at their respective acquisition 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 of 2022 and 2021 Acquisitions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Acquisitions in</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3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440" w:type="dxa"/>
            <w:vAlign w:val="bottom"/>
            <w:gridSpan w:val="2"/>
          </w:tcPr>
          <w:p>
            <w:pPr>
              <w:jc w:val="right"/>
              <w:ind w:right="49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37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Broadcast licenses</w:t>
            </w: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37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37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80" w:type="dxa"/>
            <w:vAlign w:val="bottom"/>
            <w:vMerge w:val="restart"/>
          </w:tcPr>
          <w:p>
            <w:pPr>
              <w:jc w:val="right"/>
              <w:ind w:right="2190"/>
              <w:spacing w:after="0"/>
              <w:rPr>
                <w:sz w:val="20"/>
                <w:szCs w:val="20"/>
                <w:color w:val="auto"/>
              </w:rPr>
            </w:pPr>
            <w:r>
              <w:rPr>
                <w:rFonts w:ascii="Arial" w:cs="Arial" w:eastAsia="Arial" w:hAnsi="Arial"/>
                <w:sz w:val="18"/>
                <w:szCs w:val="18"/>
                <w:color w:val="auto"/>
              </w:rPr>
              <w:t>72</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60" w:hanging="410"/>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Mr. Christian’s Employment Agreement</w:t>
      </w:r>
    </w:p>
    <w:p>
      <w:pPr>
        <w:spacing w:after="0" w:line="229" w:lineRule="exact"/>
        <w:rPr>
          <w:sz w:val="20"/>
          <w:szCs w:val="20"/>
          <w:color w:val="auto"/>
        </w:rPr>
      </w:pPr>
    </w:p>
    <w:p>
      <w:pPr>
        <w:jc w:val="both"/>
        <w:ind w:left="60" w:right="59" w:firstLine="256"/>
        <w:spacing w:after="0" w:line="288" w:lineRule="auto"/>
        <w:rPr>
          <w:sz w:val="20"/>
          <w:szCs w:val="20"/>
          <w:color w:val="auto"/>
        </w:rPr>
      </w:pPr>
      <w:r>
        <w:rPr>
          <w:rFonts w:ascii="Arial" w:cs="Arial" w:eastAsia="Arial" w:hAnsi="Arial"/>
          <w:sz w:val="16"/>
          <w:szCs w:val="16"/>
          <w:color w:val="auto"/>
        </w:rPr>
        <w:t>On January 25, 2022, we entered into a third amendment (the “2022 Amendment”) to the employment agreement with Edward K. Christian dated June 1, 2011 (the “2011 employment agreement”), which had previously been amended on February 12, 2016 (the “2016 amendment”) and on February 26, 2019 (the “2019 amendment”). The 2011 employment agreement, as amended by the 2016 amendment, the 2019 amendment, and the 2022 amendment, is referred to herein as the “amended 2011 employment agreement.” The 2022 amendment extended Mr. Christian’s employment with the Company from March 31, 2025 to March 31, 2027 and made certain changes to the 2011 employment agreement to cause it to be compliant with Section 409A of the Internal Revenue Code. Pursuant to the amended 2011 employment agreement, we paid Mr. Christian a salary at the rate of $860,000 per year, adjusted as discussed in the next paragraph below. Mr. Christian was permitted to defer any or all of his annual salary. Additionally, the Company was authorized to pay for Mr. Christian’s tax preparation services on an annual basis, the amount of which was subject to income tax as additional compensation.</w:t>
      </w:r>
    </w:p>
    <w:p>
      <w:pPr>
        <w:spacing w:after="0" w:line="168" w:lineRule="exact"/>
        <w:rPr>
          <w:sz w:val="20"/>
          <w:szCs w:val="20"/>
          <w:color w:val="auto"/>
        </w:rPr>
      </w:pPr>
    </w:p>
    <w:p>
      <w:pPr>
        <w:jc w:val="both"/>
        <w:ind w:left="60" w:right="59" w:firstLine="256"/>
        <w:spacing w:after="0" w:line="255" w:lineRule="auto"/>
        <w:rPr>
          <w:sz w:val="20"/>
          <w:szCs w:val="20"/>
          <w:color w:val="auto"/>
        </w:rPr>
      </w:pPr>
      <w:r>
        <w:rPr>
          <w:rFonts w:ascii="Arial" w:cs="Arial" w:eastAsia="Arial" w:hAnsi="Arial"/>
          <w:sz w:val="18"/>
          <w:szCs w:val="18"/>
          <w:color w:val="auto"/>
        </w:rPr>
        <w:t>Pursuant to the 2011 employment agreement, commencing on June 1, 2012, and each anniversary thereafter, the Compensation Committee was required to determine in its discretion the amount of any increase in Mr. Christian’s then existing annual salary; provided, however, that such increase would not be less than the greater of 3% or a cost of living increase based on the consumer price index. Pursuant to the 2016 amendment, the amended 2011 employment agreement provided that such increase in Mr. Christian’s then existing salary would not be less than the greater of 4% or a cost of living increase based on the consumer price index.</w:t>
      </w:r>
    </w:p>
    <w:p>
      <w:pPr>
        <w:spacing w:after="0" w:line="192" w:lineRule="exact"/>
        <w:rPr>
          <w:sz w:val="20"/>
          <w:szCs w:val="20"/>
          <w:color w:val="auto"/>
        </w:rPr>
      </w:pPr>
    </w:p>
    <w:p>
      <w:pPr>
        <w:jc w:val="both"/>
        <w:ind w:left="60" w:right="59" w:firstLine="337"/>
        <w:spacing w:after="0" w:line="275" w:lineRule="auto"/>
        <w:rPr>
          <w:sz w:val="20"/>
          <w:szCs w:val="20"/>
          <w:color w:val="auto"/>
        </w:rPr>
      </w:pPr>
      <w:r>
        <w:rPr>
          <w:rFonts w:ascii="Arial" w:cs="Arial" w:eastAsia="Arial" w:hAnsi="Arial"/>
          <w:sz w:val="17"/>
          <w:szCs w:val="17"/>
          <w:color w:val="auto"/>
        </w:rPr>
        <w:t>The amended 2011 employment agreement also provided that Mr. Christian was eligible for equity awards under the 2005 Incentive Compensation Plan as shall be approved by the Compensation Committee and bonuses in such amounts as shall be determined pursuant to the terms of the CEO Plan or as otherwise determined by the Compensation Committee in its discretion based on the performance of the Company and the accomplishments of objectives established by the Compensation Committee in consultation with Mr. Christian.</w:t>
      </w:r>
    </w:p>
    <w:p>
      <w:pPr>
        <w:spacing w:after="0" w:line="176" w:lineRule="exact"/>
        <w:rPr>
          <w:sz w:val="20"/>
          <w:szCs w:val="20"/>
          <w:color w:val="auto"/>
        </w:rPr>
      </w:pPr>
    </w:p>
    <w:p>
      <w:pPr>
        <w:jc w:val="both"/>
        <w:ind w:left="60" w:right="59" w:firstLine="243"/>
        <w:spacing w:after="0" w:line="310" w:lineRule="auto"/>
        <w:rPr>
          <w:sz w:val="20"/>
          <w:szCs w:val="20"/>
          <w:color w:val="auto"/>
        </w:rPr>
      </w:pPr>
      <w:r>
        <w:rPr>
          <w:rFonts w:ascii="Arial" w:cs="Arial" w:eastAsia="Arial" w:hAnsi="Arial"/>
          <w:sz w:val="15"/>
          <w:szCs w:val="15"/>
          <w:color w:val="auto"/>
        </w:rPr>
        <w:t>Under the amended 2011 employment agreement, Mr. Christian was eligible to participate, in accordance with their terms, in all medical and health plans, life insurance, profit sharing, 401(k) Plan, pension, and such other employment benefits as are maintained by the Company or its affiliates for other key employees performing services. During the term of the employment agreement, the Company was required to maintain all existing policies of insurance on Mr. Christian’s life, including the existing split dollar policy. The Company was also required to pay for Mr. Christian to participate in an executive medical plan and to maintain its existing medical reimbursement policy. Mr. Christian was also furnished with an automobile and other fringe benefits as have been afforded him in the past or as are consistent with his position. In addition, the Company agreed to maintain an office for Mr. Christian in Sarasota County, Florida. The 2016 amendment increased the paid vacation time awarded to Mr. Christian on the anniversary date of the 2011 employment agreement from four weeks to six weeks of paid vacation.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Payments Under the Principal Shareholder Employment Agreement</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The amended 2011 employment agreement terminated upon Mr. Christian’s death on August 19, 2022. As a result of his passing the Company is required to make several payments to his estate as outlined in his employment agreement, and described above. In accordance with ASC 712-10-25,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we have accrued all necessary expenses as of September 30, 2022. As a result of our contractual obligations under the Mr. Christian’s agreement, Mr. Christian’s estate is the beneficiary of a gross amount of approximately $5.8 million in cash, common stock and a life insurance policy of which $3.9 million was recorded upon his passing in the third quarter of 2022, and $1.9 million had been accrued for in previous periods. The estate was the beneficiary of a lump-sum payment of his current base salary plus accrued unused vacation time totaling $1.9 million which was paid in October 2022. Mr. Christian’s estate will also be provided with a prorated bonus that Mr. Christian earned of approximately $633,000 to be paid in March 2023. Mr. Christian had approximately $65,000 withheld as deferred compensation that will be paid to the estate in January 2023. Additionally, under the agreement, any award previously granted under the Company’s 2005 Incentive Compensation Plan were immediately vested and provided to the estate. At the date of Mr. Christian’s passing, he had approximately 55,000 shares of unvested restricted stock that immediately vested at a price of $24.80 for a total of $1.4 million in common stock received by the estate. Mr. Christian’s estate is now the beneficiary of the Split Dollar life insurance policy that has a cash surrender value of approximately $971,000. Under the agreement, the Company will be responsible to pay the estate’s income tax obligation relating to the payout of the life insurance policy. The estimate of the possible loss related to that tax obligation cannot be made at this time due to uncertainties related to the timing of the transfer. Lastly, under the agreement, the Company shall continue to pay for the healthcare coverage and life insurance premiums for Mr. Christian’s spouse for ten years which totals approximately $800,000.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Mr. Lada’s Letter Agreement</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August 21, 2022, we entered into a letter employment agreement with Warren S. Lada, a member of our Board, to serve as our Interim President and CEO following the death of Mr. Christian, to serve in this capacity while the Company conducted a formal search for a permanent successor to Mr. Christian. Under the terms of the letter agreement we paid Mr. Lada an annualized base salary of $750,000 during his service as Interim President and CEO; provided local transportation to the Company offices for up to three days a week and he was eligible to participate in the Company’s benefit plans, including the 401(k) plan, as an employee, upon completion of the eligibility requirements.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Mr. Forgy’s Employment Agreement</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November 16, 2022, we entered into an employment agreement with Christopher S. Forgy, who was appointed as our President and CEO effective December 7, 2022. Mr. Forgy’s employment agreement has an initial term of three years, and we and Mr. Forgy may mutually agree to extend the term for an additional two years. Either party may provide written notice of its intent not to extend the initial term at least one year prior to the end of the initial term.</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the agreement, Mr. Forgy’s base salary is set at $670,000 for the first year and will increase 4% annually. If the Company and Mr. Forgy mutually agree to renew the term of Mr. Forgy’s employment for an additional two years, Mr. Forgy’s base salary would increase in the fourth and fifth year by 4% as well.</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Mr. Forgy will have the opportunity to earn an annual performance bonus under the CEO Plan. His bonus in any fiscal year will be in a minimum of 35% and a maximum of 100% of his annual base salary as of January 1 of the fiscal year, and will be based on his performance and the achievement of performance goals established by the Compensation Committee within the first 90 days of the fiscal year. The Board may instead grant Mr. Forgy a discretionary bonus in the case of a financial, national or global occurrence, or a generally difficult year. Mr. Forgy was granted a $50,000 discretionary bonus for the 2022 fiscal year. Mr. Forgy is also eligible for equity awards under the 2005 Incentive Compensation Plan, or any successor equity incentive plan, in accordance with the provisions of that plan that apply to the CEO.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Mr. Forgy will continue to participate in our employee benefit plans, including the medical reimbursement plan, 401(k) plan, deferred compensation plan, and other health and welfare benefit plans. He will be entitled to five weeks of paid vacation days per calendar year. The Company will furnish him with an automobile, pay the initiation fee and monthly dues for a non-golf country club membership and provide Mr. Forgy with a split dollar life insurance agreement with premiums payable by the Company.</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Either the Company or Mr. Forgy may terminate the employment term for any reason generally with 30 days advance notice. If Mr. Forgy’s employment is terminated by us for cause, if he resigns without good reason, or if his employment terminates by reason of death or disability, he will receive any accrued but unpaid base salary and any benefits under the Company’s benefit plans (the “accrued amounts.”)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If Mr. Forgy’s employment is terminated by us without cause or if he resigns for good reason, he will receive the accrued amounts; continuation of his base salary for the longer of 18 months or the remainder of the three year initial term or the two-year renewal term, as applicable; any awarded but unpaid annual bonus with respect to any completed fiscal year preceding the termination date; immediate and full vesting of any unvested shares of restricted stock then held by Mr. Forgy; and payment or reimbursement of COBRA premiums for Mr. Forgy and his spouse for up to 18 months.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Mr. Forgy consents to the renewal term and the Company does not consent, Mr. Forgy will be entitled to the accrued amounts; an amount equal to 150% of the sum of (i) Mr. Forgy’s base salary paid in the prior calendar year plus (ii) his annual bonus earned for the previous fiscal year, immediate and full vesting of any unvested shares of restricted stock then held by Mr. Forgy; and payment or reimbursement of COBRA premiums for Mr. Forgy and his spouse for up to 18 months.</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Mr. Forgy agreed that, for a period of 12 months after the termination of his employment, he will not (i) solicit business of the type performed by the Company anywhere in the United States; (ii) solicit from any person who has purchased services from the Company during the three years preceding his termination for business of the type performed by the Company in the United States, or in any other location; or (iii) offer employment to any person employed by the Company, or entice any such person to leave employment with the Company. The employment agreement also contains customary confidentiality and non-disparagement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In December 2007, Samuel D. Bush, Senior Vice President and Chief Financial Officer, Marcia K. Lobaito, at the time, Senior Vice President, Corporate Secretary and Director of Business Affairs, and Catherine Bobinski, Senior Vice President/Finance, Chief Accounting Officer and Corporate Controller, entered into Change in Control Agreements. In September 2018, Christopher S. Forgy, Senior Vice President of Operations entered into a Change in Control Agreement. In July 2020, Eric Christian, Chief Marketing Officer entered into a Change in Control Agreement. Eric Christian is the son of Edward K. Christian, our former President, CEO and Chairman. A change in control is defined to mean the occurrence of (a) any person or group becoming the beneficial owner, directly or indirectly, of more than 30% of the combined voting power of the Company’s then outstanding securities and Mr. Christian ceasing to be Chairman and CEO of the Company; (b) the consummation of a merger or consolidation of the Company with any other corporation, other than a merger or consolidation which results in the voting securities of the Company outstanding immediately prior thereto continuing to represent more than 50% of the combined voting securities of the Company or such surviving entity; or</w:t>
      </w:r>
    </w:p>
    <w:p>
      <w:pPr>
        <w:spacing w:after="0" w:line="4" w:lineRule="exact"/>
        <w:rPr>
          <w:sz w:val="20"/>
          <w:szCs w:val="20"/>
          <w:color w:val="auto"/>
        </w:rPr>
      </w:pPr>
    </w:p>
    <w:p>
      <w:pPr>
        <w:ind w:left="60" w:right="159" w:hanging="10"/>
        <w:spacing w:after="0" w:line="260"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the shareholders of the Company of a plan of complete liquidation of the Company or an agreement for the sale or disposition by the Company of all or substantially all of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119" w:firstLine="324"/>
        <w:spacing w:after="0" w:line="283" w:lineRule="auto"/>
        <w:rPr>
          <w:sz w:val="20"/>
          <w:szCs w:val="20"/>
          <w:color w:val="auto"/>
        </w:rPr>
      </w:pPr>
      <w:r>
        <w:rPr>
          <w:rFonts w:ascii="Arial" w:cs="Arial" w:eastAsia="Arial" w:hAnsi="Arial"/>
          <w:sz w:val="16"/>
          <w:szCs w:val="16"/>
          <w:color w:val="auto"/>
        </w:rPr>
        <w:t>If there is a change in control, the Company shall pay a lump sum payment within 45 days of 1.5 times the average of the executive’s last three full calendar years of such executive’s base salary and any annual cash bonus paid. In the event that such payment constitutes a “parachute payment” within the meaning of Section 280G subject to an excise tax imposed by Section 4999 of the Internal Revenue Code, the Company shall pay the executive an additional amount so that the executive will receive the entire amount of the lump sum payment before deduction for federal, state and local income tax and payroll tax. In the event of a change in control (other than the approval of plan of liquidation), the Company or the surviving entity may require as a condition to receipt of payment that the executive continue in employment for a period of up to six months after consummation of the change in control. During such six months, executive will continue to earn his pre-existing salary and benefits. In such case, the executive shall be paid the lump sum payment upon completion of the continued employment. If, however, the executive fails to remain employed during this period of continued employment for any reason other than (a) termination without cause by the Company or the surviving entity, (b) death, (c) disability or</w:t>
      </w:r>
    </w:p>
    <w:p>
      <w:pPr>
        <w:spacing w:after="0" w:line="4" w:lineRule="exact"/>
        <w:rPr>
          <w:sz w:val="20"/>
          <w:szCs w:val="20"/>
          <w:color w:val="auto"/>
        </w:rPr>
      </w:pPr>
    </w:p>
    <w:p>
      <w:pPr>
        <w:ind w:left="60" w:right="119" w:hanging="10"/>
        <w:spacing w:after="0" w:line="253"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the agreement by the Company or the surviving entity, then executive shall not be paid the lump sum payment. In addition, if the executive’s employment is terminated by the Company without cause within six months prior to the consummation of a change in control, then the executive shall be paid the lump sum payment within 45 days of such change in control.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Effective June 19, 2019, we employed Eric Christian, son of Edward K. Christian, our President, CEO and Chairman at the time, as our Director of Solution Architecture. Eric Christian was promoted to Vice President of Digital Solutions in July 2020 and was subsequently was promoted to Chief Marketing Officer in February 2023. The Board of Directors approved the employment of Eric Christian and subsequent promotions. As previously disclosed, Edward K. Chrisian passed away in August 2022 and resulted in the converstion of his Class B Shares into Class A Shares that were transferred to an estate planning trust, of which Edward K. Christian’s surviving spouse, and Eric Christian’s mother is the trustee of. The estate owns approximately 16% of the Common Stock outstanding.</w:t>
      </w:r>
    </w:p>
    <w:p>
      <w:pPr>
        <w:spacing w:after="0" w:line="187" w:lineRule="exact"/>
        <w:rPr>
          <w:sz w:val="20"/>
          <w:szCs w:val="20"/>
          <w:color w:val="auto"/>
        </w:rPr>
      </w:pPr>
    </w:p>
    <w:p>
      <w:pPr>
        <w:ind w:left="440" w:hanging="390"/>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As previously disclosed, as a result of the passing of our founder, Chairman, President and CEO, Edward K. Christian and the resultant transfer of his Class B shares into an estate planning trust resulted in an automatic conversion of each Class B share he held into one fully paid and non-assessable Class A share. We no longer have any shares of Class B Common Stock issued or outstanding, nor will there be any issued in the future.</w:t>
      </w:r>
    </w:p>
    <w:p>
      <w:pPr>
        <w:spacing w:after="0" w:line="17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Shareholders are entitled to receive such dividends as may be declared by our Board of Directors out of</w:t>
      </w:r>
      <w:r>
        <w:rPr>
          <w:rFonts w:ascii="Arial" w:cs="Arial" w:eastAsia="Arial" w:hAnsi="Arial"/>
          <w:sz w:val="16"/>
          <w:szCs w:val="16"/>
          <w:i w:val="1"/>
          <w:iCs w:val="1"/>
          <w:color w:val="auto"/>
        </w:rPr>
        <w:t xml:space="preserve"> </w:t>
      </w:r>
      <w:r>
        <w:rPr>
          <w:rFonts w:ascii="Arial" w:cs="Arial" w:eastAsia="Arial" w:hAnsi="Arial"/>
          <w:sz w:val="16"/>
          <w:szCs w:val="16"/>
          <w:color w:val="auto"/>
        </w:rPr>
        <w:t>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are entitled to receive the</w:t>
      </w:r>
    </w:p>
    <w:p>
      <w:pPr>
        <w:spacing w:after="0" w:line="1"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same percentage dividend (payable in shares of Class A Common Stock) as the holders of Class B Common Stock receive (payable in shares of Class B Common Stock).</w:t>
      </w:r>
    </w:p>
    <w:p>
      <w:pPr>
        <w:spacing w:after="0" w:line="18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shares of Common Stock vote as a single class on all matters submitted to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with each share of Class A Common Stock entitled to one vote. Prior to Mr. Christian’s passing, each share of Class B Common Stock was entitled to ten votes, except (i) in the election for directors, (ii) with respect to any “going private” transaction between the Company and the principal shareholder, and (iii)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Prior to Mr. Christian’s passing, in the election of directors, the holders of Class A Common Stock, voting as a separate class, were entitled to elect twenty-five percent, or two, of our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2022. Currently, our Board of Directors consists of eight members. Holders of Common Stock are not entitled to cumulative voting in the election of directors.</w:t>
      </w:r>
    </w:p>
    <w:p>
      <w:pPr>
        <w:spacing w:after="0" w:line="192"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holders of the Common Stock vote as a single class with respect to any proposed “going private” transaction with the principal shareholder or an affiliate of the principal shareholder, with each share of each class of Common Stock entitled to one vote per share.</w:t>
      </w:r>
    </w:p>
    <w:p>
      <w:pPr>
        <w:spacing w:after="0" w:line="184"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184"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dissolution, or winding-up, the holders of Class A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accordance with the number of shares held in all assets available for distribution after payment in full of creditors.</w:t>
      </w:r>
    </w:p>
    <w:p>
      <w:pPr>
        <w:spacing w:after="0" w:line="396" w:lineRule="exact"/>
        <w:rPr>
          <w:sz w:val="20"/>
          <w:szCs w:val="20"/>
          <w:color w:val="auto"/>
        </w:rPr>
      </w:pPr>
    </w:p>
    <w:p>
      <w:pPr>
        <w:ind w:left="60" w:right="6019" w:hanging="10"/>
        <w:spacing w:after="0" w:line="503" w:lineRule="auto"/>
        <w:tabs>
          <w:tab w:leader="none" w:pos="46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60" w:right="99" w:firstLine="324"/>
        <w:spacing w:after="0" w:line="272" w:lineRule="auto"/>
        <w:rPr>
          <w:sz w:val="20"/>
          <w:szCs w:val="20"/>
          <w:color w:val="auto"/>
        </w:rPr>
      </w:pPr>
      <w:r>
        <w:rPr>
          <w:rFonts w:ascii="Arial" w:cs="Arial" w:eastAsia="Arial" w:hAnsi="Arial"/>
          <w:sz w:val="17"/>
          <w:szCs w:val="17"/>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December 31, 2022, we do not have any non-cancellable operating lease commitments that have not yet commenced.</w:t>
      </w:r>
    </w:p>
    <w:p>
      <w:pPr>
        <w:spacing w:after="0" w:line="177"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179"/>
        <w:spacing w:after="0" w:line="295" w:lineRule="auto"/>
        <w:rPr>
          <w:sz w:val="20"/>
          <w:szCs w:val="20"/>
          <w:color w:val="auto"/>
        </w:rPr>
      </w:pPr>
      <w:r>
        <w:rPr>
          <w:rFonts w:ascii="Arial" w:cs="Arial" w:eastAsia="Arial" w:hAnsi="Arial"/>
          <w:sz w:val="16"/>
          <w:szCs w:val="16"/>
          <w:color w:val="auto"/>
        </w:rPr>
        <w:t>ROU assets were $6.5 million and $6.1 million at December 31, 2022 and 2021, respectively. Lease liabilities were $6.8 million and $6.4 million at December 31, 2022 and 2021, respectively. During the year ended December 31, 2022, we recorded additional ROU assets under operating leases of $2,279,000, which is a non-cash transaction. Payments on lease liabilities during the year ended December 31, 2022 and 2021 totaled $1,797,000 and $1,777,000,respectively.</w:t>
      </w:r>
    </w:p>
    <w:p>
      <w:pPr>
        <w:spacing w:after="0" w:line="161"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Lease expense includes cost for leases with terms in excess of one year. For the years ended December 31, 2022, 2021 and 2020, our total lease expense was $1,807,000, $1,765,000 and $1,752,000, respectively. Short-term lease costs are de minimus.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December 31,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2024</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2026</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16"/>
        </w:trPr>
        <w:tc>
          <w:tcPr>
            <w:tcW w:w="7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10"/>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(a)</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r>
      <w:tr>
        <w:trPr>
          <w:trHeight w:val="216"/>
        </w:trPr>
        <w:tc>
          <w:tcPr>
            <w:tcW w:w="78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(b)</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09"/>
        </w:trPr>
        <w:tc>
          <w:tcPr>
            <w:tcW w:w="7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r>
      <w:tr>
        <w:trPr>
          <w:trHeight w:val="20"/>
        </w:trPr>
        <w:tc>
          <w:tcPr>
            <w:tcW w:w="2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ind w:left="380" w:right="339" w:hanging="330"/>
        <w:spacing w:after="0" w:line="291" w:lineRule="auto"/>
        <w:tabs>
          <w:tab w:leader="none" w:pos="38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Lease payments include options to extend lease terms that are reasonably certain of being exercised. There were no legally binding minimum lease payments for leases signed but not yet commenced at December 31, 2022.</w:t>
      </w:r>
    </w:p>
    <w:p>
      <w:pPr>
        <w:ind w:left="380" w:right="159" w:hanging="330"/>
        <w:spacing w:after="0" w:line="250" w:lineRule="auto"/>
        <w:tabs>
          <w:tab w:leader="none" w:pos="3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6.3 years and 4.8%, respectively, at December 31,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Fees and Royalties</w:t>
      </w:r>
    </w:p>
    <w:p>
      <w:pPr>
        <w:spacing w:after="0" w:line="229"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incur fees from performing rights organizations (“PRO”) to license our public performance of the musical works contained in each PRO’s repertory. The Radio Music Licensing Committee (“RMLC”), of which we are a represented participant, (1) entered into an Interim License Agreement with American Society of Composers, Authors and Publishers that was effective January 1, 2022 and will remain in effect until the date on which the parties reached agreement as to, or there is court determination of, new interim or final fees, terms, and conditions of a new license for the five year period commencing on January 1, 2022 and concluding on December 31, 2026; (2) is negotiating and will enter into, on behalf of the participating members, an Interim License Agreement with Broadcast Music, Inc.; (3) reached an agreement with the Society of European Stage Authors and Composers that is retroactive to January 1, 2016; and (4) in January 2022, RMLC and Global Music Rights (“GMR”) reach a conditional settlement of the GMR-RMLC antitrust and/or unfair competition litigations and we have entered into an agreement with GMR.</w:t>
      </w:r>
    </w:p>
    <w:p>
      <w:pPr>
        <w:spacing w:after="0" w:line="185" w:lineRule="exact"/>
        <w:rPr>
          <w:sz w:val="20"/>
          <w:szCs w:val="20"/>
          <w:color w:val="auto"/>
        </w:rPr>
      </w:pPr>
    </w:p>
    <w:p>
      <w:pPr>
        <w:jc w:val="both"/>
        <w:ind w:left="60" w:right="59" w:firstLine="283"/>
        <w:spacing w:after="0" w:line="270" w:lineRule="auto"/>
        <w:rPr>
          <w:sz w:val="20"/>
          <w:szCs w:val="20"/>
          <w:color w:val="auto"/>
        </w:rPr>
      </w:pPr>
      <w:r>
        <w:rPr>
          <w:rFonts w:ascii="Arial" w:cs="Arial" w:eastAsia="Arial" w:hAnsi="Arial"/>
          <w:sz w:val="17"/>
          <w:szCs w:val="17"/>
          <w:color w:val="auto"/>
        </w:rPr>
        <w:t>To secure the rights to stream music content over the Internet, we also must obtain performance rights licenses and pay public performance royalties to copyright owners of sound recordings (typically, performing artists and record companies). We pay the applicable royalty rates to SoundExchange, the organization designated by the Copyright Royalty Board (“CRB”) to collect and distribute royalties under these statutory licenses. From time to time, SoundExchange notifies us that certain calendar years are subject to routine audits of our royalty payments. The results of such audits could result in higher royalty payments for the subject years. There is no guarantee that the licenses and associated royalty rates that currently are available to us will be available to us in the future. In addition, Congress may consider and adopt legislation that would require us to pay royalties to sound recording copyright owners for broadcasting those recordings on our terrestrial radio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In 2003, in connection with our acquisition of one FM radio station, WJZK-FM serving the Columbus, Ohio market, we entered into an agreement whereby we would pay the seller up to an additional $1,000,000 if we obtain approval from the FCC for a city of license change.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As defined in ASC Topic 820, fair value is defined as the price that would be received from selling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markets that are not active, or other inputs that are observable or can be corroborated by observable market data.</w:t>
      </w:r>
    </w:p>
    <w:p>
      <w:pPr>
        <w:spacing w:after="0" w:line="184" w:lineRule="exact"/>
        <w:rPr>
          <w:sz w:val="20"/>
          <w:szCs w:val="20"/>
          <w:color w:val="auto"/>
        </w:rPr>
      </w:pPr>
    </w:p>
    <w:p>
      <w:pPr>
        <w:ind w:left="60" w:right="419" w:firstLine="324"/>
        <w:spacing w:after="0" w:line="277" w:lineRule="auto"/>
        <w:rPr>
          <w:sz w:val="20"/>
          <w:szCs w:val="20"/>
          <w:color w:val="auto"/>
        </w:rPr>
      </w:pPr>
      <w:r>
        <w:rPr>
          <w:rFonts w:ascii="Arial" w:cs="Arial" w:eastAsia="Arial" w:hAnsi="Arial"/>
          <w:sz w:val="18"/>
          <w:szCs w:val="18"/>
          <w:color w:val="auto"/>
        </w:rPr>
        <w:t>Level 3 — Unobservable inputs in which there is little or no market data available, which requires management to develop its own assumptions in pricing the asset or liability.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assets and liabilities disclosed at fair value are summarized below ($000’s omitted):</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5"/>
              </w:rPr>
              <w:t>Fair Value</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Hierarchy</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Level 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financial instruments are comprised of cash and cash equivalents, short-term investments and long-term debt. The carrying value of cash and cash equivalents approximate fair value due to their short maturities. The fair value of cash and cash equivalents and short-term investments are derived from quoted market prices and are considered a level 1. Interest on the Credit Facility is at a variable rate, and as such the debt obligation outstanding approximates fair value and is considered a level 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have certain assets that are measured at fair value on a non-recurring basis under the circumstances and events described in Note 3 — Broadcast Licenses, Goodwill and Other Intangibles, and are adjusted to fair value only when the carrying values are more than the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During the fourth quarter of 2022, we reviewed the fair value of the assets that are measured at fair value on a non-recurring basis and concluded that these assets were not impaired as the fair value of these assets equaled or exceeded their carrying values.</w:t>
      </w:r>
    </w:p>
    <w:p>
      <w:pPr>
        <w:spacing w:after="0" w:line="18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During the fourth quarter of 2021, we reviewed the fair value of the assets that are measured at fair value on a non-recurring basis and concluded that these assets were not impaired as the fair value of these assets equaled or exceeded their carrying values.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2020, as a result of our interim impairment tests, we wrote down broadcast licenses with a carrying value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$51,448,000 to their fair value of $46,299,000, resulting in a non-cash impairment charge of $5,149,000, which is included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net income for the year ended December 31, 2020. The categorization of the framework used to price the assets is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considered a level 3, due to the subjective nature of the unobservable inputs used to determine the fair value. (See Note 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disclosure of certain key assumptions used to develop the unobservable inputs.)</w:t>
      </w:r>
    </w:p>
    <w:p>
      <w:pPr>
        <w:spacing w:after="0" w:line="200" w:lineRule="exact"/>
        <w:rPr>
          <w:sz w:val="20"/>
          <w:szCs w:val="20"/>
          <w:color w:val="auto"/>
        </w:rPr>
      </w:pPr>
    </w:p>
    <w:p>
      <w:pPr>
        <w:spacing w:after="0" w:line="223" w:lineRule="exact"/>
        <w:rPr>
          <w:sz w:val="20"/>
          <w:szCs w:val="20"/>
          <w:color w:val="auto"/>
        </w:rPr>
      </w:pPr>
    </w:p>
    <w:p>
      <w:pPr>
        <w:ind w:left="460" w:hanging="410"/>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84"/>
              </w:rPr>
              <w:t>June 30,</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w w:val="98"/>
              </w:rPr>
              <w:t>September 30,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2022</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6"/>
              </w:rPr>
              <w:t>2022</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7"/>
          </w:tcPr>
          <w:p>
            <w:pPr>
              <w:ind w:left="280"/>
              <w:spacing w:after="0" w:line="115" w:lineRule="exact"/>
              <w:rPr>
                <w:sz w:val="20"/>
                <w:szCs w:val="20"/>
                <w:color w:val="auto"/>
              </w:rPr>
            </w:pPr>
            <w:r>
              <w:rPr>
                <w:rFonts w:ascii="Arial" w:cs="Arial" w:eastAsia="Arial" w:hAnsi="Arial"/>
                <w:sz w:val="13"/>
                <w:szCs w:val="13"/>
                <w:b w:val="1"/>
                <w:bCs w:val="1"/>
                <w:color w:val="auto"/>
                <w:w w:val="81"/>
              </w:rPr>
              <w:t>(in thousands, except per share</w:t>
            </w:r>
          </w:p>
        </w:tc>
        <w:tc>
          <w:tcPr>
            <w:tcW w:w="140" w:type="dxa"/>
            <w:vAlign w:val="bottom"/>
          </w:tcPr>
          <w:p>
            <w:pPr>
              <w:spacing w:after="0"/>
              <w:rPr>
                <w:sz w:val="10"/>
                <w:szCs w:val="10"/>
                <w:color w:val="auto"/>
              </w:rPr>
            </w:pPr>
          </w:p>
        </w:tc>
        <w:tc>
          <w:tcPr>
            <w:tcW w:w="5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data)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operating revenue</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24,967</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22,301</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29,821</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28,046</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29,980</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28,845</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30,125</w:t>
            </w:r>
          </w:p>
        </w:tc>
        <w:tc>
          <w:tcPr>
            <w:tcW w:w="26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Station operating expenses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5"/>
              </w:rPr>
              <w:t>20,568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18,923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21,786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0"/>
              </w:rPr>
              <w:t>21,017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22,295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21,690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22,888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21,615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G&amp;A</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6,667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operating expense (income), net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Operating income (loss)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5,381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4,619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4,924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Other (income) expenses: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ind w:left="80"/>
              <w:spacing w:after="0" w:line="135" w:lineRule="exact"/>
              <w:rPr>
                <w:sz w:val="20"/>
                <w:szCs w:val="20"/>
                <w:color w:val="auto"/>
              </w:rPr>
            </w:pPr>
            <w:r>
              <w:rPr>
                <w:rFonts w:ascii="Arial" w:cs="Arial" w:eastAsia="Arial" w:hAnsi="Arial"/>
                <w:sz w:val="13"/>
                <w:szCs w:val="13"/>
                <w:color w:val="auto"/>
              </w:rPr>
              <w:t>Interest (income)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Other (income) expense</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(272)</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(279)</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(616)</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line="129" w:lineRule="exact"/>
              <w:rPr>
                <w:sz w:val="20"/>
                <w:szCs w:val="20"/>
                <w:color w:val="auto"/>
              </w:rPr>
            </w:pPr>
            <w:r>
              <w:rPr>
                <w:rFonts w:ascii="Arial" w:cs="Arial" w:eastAsia="Arial" w:hAnsi="Arial"/>
                <w:sz w:val="13"/>
                <w:szCs w:val="13"/>
                <w:color w:val="auto"/>
              </w:rPr>
              <w:t>Income before income taxes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1,684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1,088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5,398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4,578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1,191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4,829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5,729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4,922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provision (benefit)</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480</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330</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1,325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1,295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1,375</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1,450</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168"/>
        </w:trPr>
        <w:tc>
          <w:tcPr>
            <w:tcW w:w="3120" w:type="dxa"/>
            <w:vAlign w:val="bottom"/>
            <w:gridSpan w:val="2"/>
          </w:tcPr>
          <w:p>
            <w:pPr>
              <w:spacing w:after="0" w:line="129" w:lineRule="exact"/>
              <w:rPr>
                <w:sz w:val="20"/>
                <w:szCs w:val="20"/>
                <w:color w:val="auto"/>
              </w:rPr>
            </w:pPr>
            <w:r>
              <w:rPr>
                <w:rFonts w:ascii="Arial" w:cs="Arial" w:eastAsia="Arial" w:hAnsi="Arial"/>
                <w:sz w:val="13"/>
                <w:szCs w:val="13"/>
                <w:color w:val="auto"/>
              </w:rPr>
              <w:t>Net income (loss)</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1,204</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758</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3,823</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3,253</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(104)</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3,454</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4,279</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Basic earnings(loss) per share</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0.20</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0.13</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0.63</w:t>
            </w:r>
          </w:p>
        </w:tc>
        <w:tc>
          <w:tcPr>
            <w:tcW w:w="28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0.54</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(0.01)</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0.58</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0.70</w:t>
            </w:r>
          </w:p>
        </w:tc>
        <w:tc>
          <w:tcPr>
            <w:tcW w:w="260" w:type="dxa"/>
            <w:vAlign w:val="bottom"/>
            <w:gridSpan w:val="2"/>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0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Weighted average common shares</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5,948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5,952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5,961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5,917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6,013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5,922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 earnings (loss) per share</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0.20</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0.13</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0.63</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0.54</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(0.01)</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0.58</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0.70</w:t>
            </w:r>
          </w:p>
        </w:tc>
        <w:tc>
          <w:tcPr>
            <w:tcW w:w="26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w w:val="90"/>
              </w:rPr>
              <w:t>Weighted average common and common equivalent shares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5,948</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5,913</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5,952</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5,917</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5,961</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5,917</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6,013</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5,922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Other Income</w:t>
      </w:r>
    </w:p>
    <w:p>
      <w:pPr>
        <w:spacing w:after="0" w:line="229" w:lineRule="exact"/>
        <w:rPr>
          <w:sz w:val="20"/>
          <w:szCs w:val="20"/>
          <w:color w:val="auto"/>
        </w:rPr>
      </w:pPr>
    </w:p>
    <w:p>
      <w:pPr>
        <w:jc w:val="both"/>
        <w:ind w:left="60" w:right="59" w:firstLine="248"/>
        <w:spacing w:after="0" w:line="257" w:lineRule="auto"/>
        <w:rPr>
          <w:sz w:val="20"/>
          <w:szCs w:val="20"/>
          <w:color w:val="auto"/>
        </w:rPr>
      </w:pPr>
      <w:r>
        <w:rPr>
          <w:rFonts w:ascii="Arial" w:cs="Arial" w:eastAsia="Arial" w:hAnsi="Arial"/>
          <w:sz w:val="18"/>
          <w:szCs w:val="18"/>
          <w:color w:val="auto"/>
        </w:rPr>
        <w:t>During the first quarter of 2022, there was fire damage to a transmission line in our Des Moines, Iowa market. The Company’s insurance policy provided coverage for removal and replacement of the transmission line and related equipment. As part of the insurance settlement during the fourth quarter of 2022, the Company received cash proceeds of $445,000, resuling in a gain of $445,000 which is recorded in the other (income) expense, net, in the Company’s Consolidated Statements of Income.</w:t>
      </w:r>
    </w:p>
    <w:p>
      <w:pPr>
        <w:spacing w:after="0" w:line="188" w:lineRule="exact"/>
        <w:rPr>
          <w:sz w:val="20"/>
          <w:szCs w:val="20"/>
          <w:color w:val="auto"/>
        </w:rPr>
      </w:pPr>
    </w:p>
    <w:p>
      <w:pPr>
        <w:ind w:left="60" w:right="79" w:firstLine="225"/>
        <w:spacing w:after="0" w:line="268" w:lineRule="auto"/>
        <w:rPr>
          <w:sz w:val="20"/>
          <w:szCs w:val="20"/>
          <w:color w:val="auto"/>
        </w:rPr>
      </w:pPr>
      <w:r>
        <w:rPr>
          <w:rFonts w:ascii="Arial" w:cs="Arial" w:eastAsia="Arial" w:hAnsi="Arial"/>
          <w:sz w:val="17"/>
          <w:szCs w:val="17"/>
          <w:color w:val="auto"/>
        </w:rPr>
        <w:t>In 2012, Congress mandated that the FCC conduct an incentive auction of broadcast television spectrum as set forth in the Middle Class Tax Relief and Job Creation Act of 2012 ("Spectrum Act"). The Spectrum Act authorized the FCC to conduct incentive auctions in which licensees could voluntarily relinquish their spectrum usage rights in order to permit the assignment by auction of new initial licenses subject to flexible use service rules, in exchange for a portion of the resulting auction proceeds. The Spectrum Act appropriated $1.75 billion to the TV Broadcaster Relocation Fund ("Reimbursement Fund") for costs reasonably incurred by Full Power and Class A broadcast television licensees reassigned to new channels ("repack"), as well as Multichannel Video Programming Distributors ("MVPDs") that incurred costs related to continuing to carry the signals of reassigned broadcast stations. As part of the FCC’s 2018 Reimbursement Expansion Act, which appropriated $1 billon in additional funds for the Reimbursement Fund and expanded eliglibe entities for reimbursement to include FM stations affected by the repack. During 2022, the Company received approximately $116,000 in reimbursement for our FM stations, which is recorded in the other (income), expense, net, in the Company’s Consolidated Statements of Income. We may receive additional reimbursements and will record in other (income), expense, net, if we receive anything additional.</w:t>
      </w:r>
    </w:p>
    <w:p>
      <w:pPr>
        <w:spacing w:after="0" w:line="186" w:lineRule="exact"/>
        <w:rPr>
          <w:sz w:val="20"/>
          <w:szCs w:val="20"/>
          <w:color w:val="auto"/>
        </w:rPr>
      </w:pPr>
    </w:p>
    <w:p>
      <w:pPr>
        <w:jc w:val="both"/>
        <w:ind w:left="60" w:right="59" w:firstLine="283"/>
        <w:spacing w:after="0" w:line="255" w:lineRule="auto"/>
        <w:rPr>
          <w:sz w:val="20"/>
          <w:szCs w:val="20"/>
          <w:color w:val="auto"/>
        </w:rPr>
      </w:pPr>
      <w:r>
        <w:rPr>
          <w:rFonts w:ascii="Arial" w:cs="Arial" w:eastAsia="Arial" w:hAnsi="Arial"/>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We received additional cash proceeds of $290,000 in the third quarter, resulting in a gain of $290,000. The total gain of $540,000 is recorded in other (income) expense, net, in the Company’s Consolidated Statements of Income.</w:t>
      </w:r>
    </w:p>
    <w:p>
      <w:pPr>
        <w:spacing w:after="0" w:line="192" w:lineRule="exact"/>
        <w:rPr>
          <w:sz w:val="20"/>
          <w:szCs w:val="20"/>
          <w:color w:val="auto"/>
        </w:rPr>
      </w:pPr>
    </w:p>
    <w:p>
      <w:pPr>
        <w:jc w:val="both"/>
        <w:ind w:left="60" w:right="79" w:firstLine="297"/>
        <w:spacing w:after="0" w:line="311" w:lineRule="auto"/>
        <w:rPr>
          <w:sz w:val="20"/>
          <w:szCs w:val="20"/>
          <w:color w:val="auto"/>
        </w:rPr>
      </w:pPr>
      <w:r>
        <w:rPr>
          <w:rFonts w:ascii="Arial" w:cs="Arial" w:eastAsia="Arial" w:hAnsi="Arial"/>
          <w:sz w:val="16"/>
          <w:szCs w:val="16"/>
          <w:color w:val="auto"/>
        </w:rPr>
        <w:t>During the first quarter of 2020, we sold land and a building on one of our tower sites in our Bellingham, Washington market for approximately $1,700,000 to Talbot Real Estate, LLC resulting in a $1,400,000 gain on the sale of assets. The gain is recorded in the other operating (income) expense, net in the Company’s Consolidated Statements of Income.</w:t>
      </w:r>
    </w:p>
    <w:p>
      <w:pPr>
        <w:spacing w:after="0" w:line="149" w:lineRule="exact"/>
        <w:rPr>
          <w:sz w:val="20"/>
          <w:szCs w:val="20"/>
          <w:color w:val="auto"/>
        </w:rPr>
      </w:pPr>
    </w:p>
    <w:p>
      <w:pPr>
        <w:jc w:val="both"/>
        <w:ind w:left="60" w:right="59" w:firstLine="270"/>
        <w:spacing w:after="0" w:line="257" w:lineRule="auto"/>
        <w:rPr>
          <w:sz w:val="20"/>
          <w:szCs w:val="20"/>
          <w:color w:val="auto"/>
        </w:rPr>
      </w:pPr>
      <w:r>
        <w:rPr>
          <w:rFonts w:ascii="Arial" w:cs="Arial" w:eastAsia="Arial" w:hAnsi="Arial"/>
          <w:sz w:val="18"/>
          <w:szCs w:val="18"/>
          <w:color w:val="auto"/>
        </w:rPr>
        <w:t>During the first quarter of 2020, there was weather related damage to an antenna in our Keene, New Hampshire market. The Company’s insurance policy provided coverage for removal and replacement of the antenna and related equipment. The insurance settlement was finalized during the first quarter and we received cash proceeds of $208,000, resulting in a gain of $208,000. The gain is recorded in other (income) expense, net in the Company’s Consolidated Statements of Income.</w:t>
      </w:r>
    </w:p>
    <w:p>
      <w:pPr>
        <w:spacing w:after="0" w:line="184" w:lineRule="exact"/>
        <w:rPr>
          <w:sz w:val="20"/>
          <w:szCs w:val="20"/>
          <w:color w:val="auto"/>
        </w:rPr>
      </w:pPr>
    </w:p>
    <w:p>
      <w:pPr>
        <w:ind w:left="460" w:hanging="410"/>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On March 1, 2023, the Company’s Board of Directors declared a quarterly cash dividend of $0.25 per share on its Class A Common Stock. This dividend, totaling approximately $1,500,000, will be paid on April 7, 2023 to shareholders of record on March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207"/>
        </w:trPr>
        <w:tc>
          <w:tcPr>
            <w:tcW w:w="1740" w:type="dxa"/>
            <w:vAlign w:val="bottom"/>
            <w:gridSpan w:val="5"/>
          </w:tcPr>
          <w:p>
            <w:pPr>
              <w:ind w:left="20"/>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30"/>
          </w:tcPr>
          <w:p>
            <w:pPr>
              <w:jc w:val="center"/>
              <w:ind w:right="360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3"/>
              </w:rPr>
              <w:t>Location</w:t>
            </w:r>
          </w:p>
        </w:tc>
        <w:tc>
          <w:tcPr>
            <w:tcW w:w="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7"/>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8"/>
                <w:szCs w:val="18"/>
                <w:color w:val="0000EE"/>
              </w:rPr>
            </w:pPr>
            <w:hyperlink r:id="rId94">
              <w:r>
                <w:rPr>
                  <w:rFonts w:ascii="Arial" w:cs="Arial" w:eastAsia="Arial" w:hAnsi="Arial"/>
                  <w:sz w:val="18"/>
                  <w:szCs w:val="18"/>
                  <w:color w:val="0000EE"/>
                </w:rPr>
                <w:t>Articles of Incorporation of Saga Communications Reincorporation, Inc</w:t>
              </w:r>
            </w:hyperlink>
            <w:r>
              <w:rPr>
                <w:rFonts w:ascii="Arial" w:cs="Arial" w:eastAsia="Arial" w:hAnsi="Arial"/>
                <w:sz w:val="18"/>
                <w:szCs w:val="18"/>
                <w:color w:val="000000"/>
              </w:rPr>
              <w:t>.</w:t>
            </w: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Bylaws, as amended April 16, 2020</w:t>
              </w:r>
            </w:hyperlink>
            <w:r>
              <w:rPr>
                <w:rFonts w:ascii="Arial" w:cs="Arial" w:eastAsia="Arial" w:hAnsi="Arial"/>
                <w:sz w:val="18"/>
                <w:szCs w:val="18"/>
                <w:color w:val="000000"/>
              </w:rPr>
              <w:t>.</w:t>
            </w:r>
          </w:p>
        </w:tc>
        <w:tc>
          <w:tcPr>
            <w:tcW w:w="1800" w:type="dxa"/>
            <w:vAlign w:val="bottom"/>
            <w:gridSpan w:val="20"/>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Description of the Company’s Securities</w:t>
              </w:r>
            </w:hyperlink>
          </w:p>
        </w:tc>
        <w:tc>
          <w:tcPr>
            <w:tcW w:w="4080" w:type="dxa"/>
            <w:vAlign w:val="bottom"/>
            <w:gridSpan w:val="28"/>
          </w:tcPr>
          <w:p>
            <w:pPr>
              <w:spacing w:after="0"/>
              <w:rPr>
                <w:sz w:val="17"/>
                <w:szCs w:val="17"/>
                <w:color w:val="auto"/>
              </w:rPr>
            </w:pPr>
          </w:p>
        </w:tc>
      </w:tr>
      <w:tr>
        <w:trPr>
          <w:trHeight w:val="222"/>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Summary of Executive Insured Medical Reimbursement Plan.</w:t>
            </w:r>
          </w:p>
        </w:tc>
      </w:tr>
      <w:tr>
        <w:trPr>
          <w:trHeight w:val="190"/>
        </w:trPr>
        <w:tc>
          <w:tcPr>
            <w:tcW w:w="9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10.2</w:t>
            </w:r>
          </w:p>
        </w:tc>
        <w:tc>
          <w:tcPr>
            <w:tcW w:w="36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0" w:type="dxa"/>
            <w:vAlign w:val="bottom"/>
            <w:gridSpan w:val="34"/>
          </w:tcPr>
          <w:p>
            <w:pPr>
              <w:spacing w:after="0" w:line="190" w:lineRule="exact"/>
              <w:rPr>
                <w:rFonts w:ascii="Arial" w:cs="Arial" w:eastAsia="Arial" w:hAnsi="Arial"/>
                <w:sz w:val="18"/>
                <w:szCs w:val="18"/>
                <w:color w:val="0000EE"/>
              </w:rPr>
            </w:pPr>
            <w:hyperlink r:id="rId97">
              <w:r>
                <w:rPr>
                  <w:rFonts w:ascii="Arial" w:cs="Arial" w:eastAsia="Arial" w:hAnsi="Arial"/>
                  <w:sz w:val="18"/>
                  <w:szCs w:val="18"/>
                  <w:color w:val="0000EE"/>
                </w:rPr>
                <w:t>Saga Communications, Inc. 2003 Employee Stock Option Plan</w:t>
              </w:r>
            </w:hyperlink>
            <w:r>
              <w:rPr>
                <w:rFonts w:ascii="Arial" w:cs="Arial" w:eastAsia="Arial" w:hAnsi="Arial"/>
                <w:sz w:val="18"/>
                <w:szCs w:val="18"/>
                <w:color w:val="000000"/>
              </w:rPr>
              <w:t>.</w:t>
            </w: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10.3</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Chief Executive Officer Annual Incentive Plan.</w:t>
              </w:r>
            </w:hyperlink>
          </w:p>
        </w:tc>
        <w:tc>
          <w:tcPr>
            <w:tcW w:w="2460" w:type="dxa"/>
            <w:vAlign w:val="bottom"/>
            <w:gridSpan w:val="23"/>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10.4</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Second Amended and Restated Saga Communications, Inc. 2005 Incentive Compensation Plan</w:t>
              </w:r>
            </w:hyperlink>
          </w:p>
        </w:tc>
        <w:tc>
          <w:tcPr>
            <w:tcW w:w="140" w:type="dxa"/>
            <w:vAlign w:val="bottom"/>
            <w:gridSpan w:val="3"/>
          </w:tcPr>
          <w:p>
            <w:pPr>
              <w:spacing w:after="0"/>
              <w:rPr>
                <w:sz w:val="17"/>
                <w:szCs w:val="17"/>
                <w:color w:val="auto"/>
              </w:rPr>
            </w:pPr>
          </w:p>
        </w:tc>
      </w:tr>
      <w:tr>
        <w:trPr>
          <w:trHeight w:val="263"/>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40" w:type="dxa"/>
            <w:vAlign w:val="bottom"/>
            <w:tcBorders>
              <w:bottom w:val="single" w:sz="8" w:color="0000EE"/>
            </w:tcBorders>
            <w:gridSpan w:val="18"/>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Form of Stock Option Agreement under the Second Amended and Restated Saga</w:t>
              </w:r>
            </w:hyperlink>
          </w:p>
        </w:tc>
        <w:tc>
          <w:tcPr>
            <w:tcW w:w="1160" w:type="dxa"/>
            <w:vAlign w:val="bottom"/>
            <w:gridSpan w:val="16"/>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Communications, Inc. 2005 Incentive Compensation Plan</w:t>
              </w:r>
              <w:r>
                <w:rPr>
                  <w:rFonts w:ascii="Arial" w:cs="Arial" w:eastAsia="Arial" w:hAnsi="Arial"/>
                  <w:sz w:val="18"/>
                  <w:szCs w:val="18"/>
                  <w:color w:val="000000"/>
                </w:rPr>
                <w:t>.</w:t>
              </w:r>
            </w:hyperlink>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10.6</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7</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Form of Restricted Stock Option Agreement under the Second Amended and Restated Saga</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Communications, Inc. 2005 Incentive Compensation Plan</w:t>
              </w:r>
              <w:r>
                <w:rPr>
                  <w:rFonts w:ascii="Arial" w:cs="Arial" w:eastAsia="Arial" w:hAnsi="Arial"/>
                  <w:sz w:val="18"/>
                  <w:szCs w:val="18"/>
                  <w:color w:val="000000"/>
                </w:rPr>
                <w:t>.</w:t>
              </w:r>
            </w:hyperlink>
          </w:p>
        </w:tc>
        <w:tc>
          <w:tcPr>
            <w:tcW w:w="400" w:type="dxa"/>
            <w:vAlign w:val="bottom"/>
            <w:gridSpan w:val="9"/>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10.7</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Employment Agreement of Edward K. Christian dated as of June 17, 2011.</w:t>
              </w:r>
            </w:hyperlink>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10.8</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Change in Control Agreement of Samuel D. Bush dated as of December 28, 2007.</w:t>
              </w:r>
            </w:hyperlink>
          </w:p>
        </w:tc>
        <w:tc>
          <w:tcPr>
            <w:tcW w:w="1080" w:type="dxa"/>
            <w:vAlign w:val="bottom"/>
            <w:gridSpan w:val="15"/>
          </w:tcPr>
          <w:p>
            <w:pPr>
              <w:spacing w:after="0"/>
              <w:rPr>
                <w:sz w:val="17"/>
                <w:szCs w:val="17"/>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10.9</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Change in Control Agreement of Marcia K. Lobaito dated as of December 28, 2007</w:t>
              </w:r>
            </w:hyperlink>
            <w:r>
              <w:rPr>
                <w:rFonts w:ascii="Arial" w:cs="Arial" w:eastAsia="Arial" w:hAnsi="Arial"/>
                <w:sz w:val="18"/>
                <w:szCs w:val="18"/>
                <w:color w:val="000000"/>
              </w:rPr>
              <w:t>.</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10.10</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Change in Control Agreement of Catherine A. Bobinski dated as of December 28, 2007.</w:t>
              </w:r>
            </w:hyperlink>
          </w:p>
        </w:tc>
        <w:tc>
          <w:tcPr>
            <w:tcW w:w="640" w:type="dxa"/>
            <w:vAlign w:val="bottom"/>
            <w:gridSpan w:val="11"/>
          </w:tcPr>
          <w:p>
            <w:pPr>
              <w:spacing w:after="0"/>
              <w:rPr>
                <w:sz w:val="17"/>
                <w:szCs w:val="17"/>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10.11</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9</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Amendment to Employment Agreement of Edward K. Christian dated as of February 12, 2016</w:t>
              </w:r>
            </w:hyperlink>
            <w:r>
              <w:rPr>
                <w:rFonts w:ascii="Arial" w:cs="Arial" w:eastAsia="Arial" w:hAnsi="Arial"/>
                <w:sz w:val="18"/>
                <w:szCs w:val="18"/>
                <w:color w:val="000000"/>
                <w:w w:val="93"/>
              </w:rPr>
              <w:t>.</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10.12</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Amendment to the Second Amendment and Restated Saga Communications, Inc. 2005 Incentive</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Compensation Plan as of April 16, 2018.</w:t>
              </w:r>
            </w:hyperlink>
          </w:p>
        </w:tc>
        <w:tc>
          <w:tcPr>
            <w:tcW w:w="4020" w:type="dxa"/>
            <w:vAlign w:val="bottom"/>
            <w:tcBorders>
              <w:top w:val="single" w:sz="8" w:color="0000EE"/>
            </w:tcBorders>
            <w:gridSpan w:val="2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10.13</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13</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w w:val="96"/>
              </w:rPr>
            </w:pPr>
            <w:hyperlink r:id="rId108">
              <w:r>
                <w:rPr>
                  <w:rFonts w:ascii="Arial" w:cs="Arial" w:eastAsia="Arial" w:hAnsi="Arial"/>
                  <w:sz w:val="18"/>
                  <w:szCs w:val="18"/>
                  <w:color w:val="0000EE"/>
                  <w:w w:val="96"/>
                </w:rPr>
                <w:t>Letter of Employment for Christopher S. Forgy, Senior Vice President / Operations effective</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May 28, 2018</w:t>
              </w:r>
              <w:r>
                <w:rPr>
                  <w:rFonts w:ascii="Arial" w:cs="Arial" w:eastAsia="Arial" w:hAnsi="Arial"/>
                  <w:sz w:val="18"/>
                  <w:szCs w:val="18"/>
                  <w:color w:val="000000"/>
                </w:rPr>
                <w:t>.</w:t>
              </w:r>
            </w:hyperlink>
          </w:p>
        </w:tc>
        <w:tc>
          <w:tcPr>
            <w:tcW w:w="360" w:type="dxa"/>
            <w:vAlign w:val="bottom"/>
            <w:gridSpan w:val="8"/>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10.14</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15</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Change in Control Agreement of Christopher Forgy dated as of September 28, 2018</w:t>
              </w:r>
            </w:hyperlink>
            <w:r>
              <w:rPr>
                <w:rFonts w:ascii="Arial" w:cs="Arial" w:eastAsia="Arial" w:hAnsi="Arial"/>
                <w:sz w:val="18"/>
                <w:szCs w:val="18"/>
                <w:color w:val="000000"/>
              </w:rPr>
              <w:t>.</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10.15</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Amendment to Employment Agreement of Edward K. Christian dated as of February 26, 2019</w:t>
              </w:r>
            </w:hyperlink>
            <w:r>
              <w:rPr>
                <w:rFonts w:ascii="Arial" w:cs="Arial" w:eastAsia="Arial" w:hAnsi="Arial"/>
                <w:sz w:val="18"/>
                <w:szCs w:val="18"/>
                <w:color w:val="000000"/>
                <w:w w:val="93"/>
              </w:rPr>
              <w:t>.</w:t>
            </w: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10.16</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19</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Change in Control Agreement of Eric Christian dated as of July 6, 2020</w:t>
              </w:r>
            </w:hyperlink>
            <w:r>
              <w:rPr>
                <w:rFonts w:ascii="Arial" w:cs="Arial" w:eastAsia="Arial" w:hAnsi="Arial"/>
                <w:sz w:val="18"/>
                <w:szCs w:val="18"/>
                <w:color w:val="000000"/>
              </w:rPr>
              <w:t>.</w:t>
            </w:r>
          </w:p>
        </w:tc>
        <w:tc>
          <w:tcPr>
            <w:tcW w:w="180" w:type="dxa"/>
            <w:vAlign w:val="bottom"/>
            <w:gridSpan w:val="5"/>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10.17</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Third Amendment to Employment Agreement dated January 25, 2022 between Saga</w:t>
              </w:r>
            </w:hyperlink>
          </w:p>
        </w:tc>
        <w:tc>
          <w:tcPr>
            <w:tcW w:w="90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Communications, Inc, and Edward K. Christian</w:t>
              </w:r>
              <w:r>
                <w:rPr>
                  <w:rFonts w:ascii="Arial" w:cs="Arial" w:eastAsia="Arial" w:hAnsi="Arial"/>
                  <w:sz w:val="18"/>
                  <w:szCs w:val="18"/>
                  <w:color w:val="000000"/>
                </w:rPr>
                <w:t>.</w:t>
              </w:r>
            </w:hyperlink>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10.18</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Letter of Agreement regarding employment of Warren S. Lada as Interim President and CEO</w:t>
              </w:r>
            </w:hyperlink>
          </w:p>
        </w:tc>
        <w:tc>
          <w:tcPr>
            <w:tcW w:w="30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dated August 21, 2022.</w:t>
              </w:r>
            </w:hyperlink>
          </w:p>
        </w:tc>
        <w:tc>
          <w:tcPr>
            <w:tcW w:w="5320" w:type="dxa"/>
            <w:vAlign w:val="bottom"/>
            <w:gridSpan w:val="30"/>
          </w:tcPr>
          <w:p>
            <w:pPr>
              <w:spacing w:after="0"/>
              <w:rPr>
                <w:sz w:val="17"/>
                <w:szCs w:val="17"/>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10.19</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22</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Employment Agreement of Christopher Forgy dated as of November 16, 2022.</w:t>
              </w:r>
            </w:hyperlink>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10.20</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22</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Letter of Employment of Wayne Leland dated as of November 16, 2022.</w:t>
              </w:r>
            </w:hyperlink>
          </w:p>
        </w:tc>
        <w:tc>
          <w:tcPr>
            <w:tcW w:w="1320" w:type="dxa"/>
            <w:vAlign w:val="bottom"/>
            <w:gridSpan w:val="17"/>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10.21</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w w:val="94"/>
              </w:rPr>
              <w:t>Third Amendment to Credit Agreement dated December 19, 2022 between the Company and</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JPMorgan Chase Bank, N.A., and The Huntington National Bank.</w:t>
            </w:r>
          </w:p>
        </w:tc>
        <w:tc>
          <w:tcPr>
            <w:tcW w:w="1940" w:type="dxa"/>
            <w:vAlign w:val="bottom"/>
            <w:tcBorders>
              <w:top w:val="single" w:sz="8" w:color="0000EE"/>
            </w:tcBorders>
            <w:gridSpan w:val="15"/>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21</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rPr>
              <w:t>Subsidiaries.</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23</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rPr>
              <w:t>Consent of UHY LLP.</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31.1</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4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Rule 13a-14(a) of the Securities Exchange</w:t>
            </w:r>
          </w:p>
        </w:tc>
        <w:tc>
          <w:tcPr>
            <w:tcW w:w="16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rPr>
              <w:t>Act of 1934, as Adopted Pursuant to Section 302 of the Sarbanes-Oxley Act of 2002.</w:t>
            </w: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9"/>
            <w:shd w:val="clear" w:color="auto" w:fill="0000EE"/>
          </w:tcPr>
          <w:p>
            <w:pPr>
              <w:spacing w:after="0" w:line="20" w:lineRule="exact"/>
              <w:rPr>
                <w:sz w:val="1"/>
                <w:szCs w:val="1"/>
                <w:color w:val="auto"/>
              </w:rPr>
            </w:pPr>
          </w:p>
        </w:tc>
        <w:tc>
          <w:tcPr>
            <w:tcW w:w="2660" w:type="dxa"/>
            <w:vAlign w:val="bottom"/>
            <w:gridSpan w:val="1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31.2</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w w:val="94"/>
              </w:rPr>
              <w:t>Certification of Chief Financial Officer Pursuant to Rule 13a-14(a) of the Securities Exchange</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Act of 1934, as Adopted Pursuant to Section 302 of the Sarbanes-Oxley Act of 2002.</w:t>
            </w:r>
          </w:p>
        </w:tc>
        <w:tc>
          <w:tcPr>
            <w:tcW w:w="220" w:type="dxa"/>
            <w:vAlign w:val="bottom"/>
            <w:gridSpan w:val="6"/>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9"/>
            <w:shd w:val="clear" w:color="auto" w:fill="0000EE"/>
          </w:tcPr>
          <w:p>
            <w:pPr>
              <w:spacing w:after="0" w:line="20" w:lineRule="exact"/>
              <w:rPr>
                <w:sz w:val="1"/>
                <w:szCs w:val="1"/>
                <w:color w:val="auto"/>
              </w:rPr>
            </w:pPr>
          </w:p>
        </w:tc>
        <w:tc>
          <w:tcPr>
            <w:tcW w:w="2660" w:type="dxa"/>
            <w:vAlign w:val="bottom"/>
            <w:gridSpan w:val="1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2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w:t>
            </w:r>
          </w:p>
        </w:tc>
        <w:tc>
          <w:tcPr>
            <w:tcW w:w="48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34"/>
          </w:tcPr>
          <w:p>
            <w:pPr>
              <w:spacing w:after="0" w:line="196" w:lineRule="exact"/>
              <w:rPr>
                <w:sz w:val="20"/>
                <w:szCs w:val="20"/>
                <w:color w:val="auto"/>
              </w:rPr>
            </w:pPr>
            <w:r>
              <w:rPr>
                <w:rFonts w:ascii="Arial" w:cs="Arial" w:eastAsia="Arial" w:hAnsi="Arial"/>
                <w:sz w:val="18"/>
                <w:szCs w:val="18"/>
                <w:color w:val="0000EE"/>
                <w:w w:val="90"/>
              </w:rPr>
              <w:t>Section 1350 and Rule 13-14(b) of the Securities Exchange Act of 1934, as Adopted Pursuant to</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3480" w:type="dxa"/>
            <w:vAlign w:val="bottom"/>
            <w:tcBorders>
              <w:top w:val="single" w:sz="8" w:color="0000EE"/>
            </w:tcBorders>
            <w:gridSpan w:val="2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Cover Page Interactive Data File (formatted as Inline XBRL with applicable taxonomy</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0" w:type="dxa"/>
            <w:vAlign w:val="bottom"/>
            <w:gridSpan w:val="34"/>
          </w:tcPr>
          <w:p>
            <w:pPr>
              <w:spacing w:after="0"/>
              <w:rPr>
                <w:sz w:val="20"/>
                <w:szCs w:val="20"/>
                <w:color w:val="auto"/>
              </w:rPr>
            </w:pPr>
            <w:r>
              <w:rPr>
                <w:rFonts w:ascii="Arial" w:cs="Arial" w:eastAsia="Arial" w:hAnsi="Arial"/>
                <w:sz w:val="18"/>
                <w:szCs w:val="18"/>
                <w:color w:val="auto"/>
              </w:rPr>
              <w:t>extension information contained in Exhibits 101)</w:t>
            </w: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gridSpan w:val="7"/>
          </w:tcPr>
          <w:p>
            <w:pPr>
              <w:jc w:val="right"/>
              <w:ind w:right="28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50"/>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00" w:right="439" w:hanging="350"/>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filed with the Company’s Registration Statement on Form S-1 (File No. 33-47238) filed on December 10, 1992 and incorporated by reference herein.</w:t>
      </w:r>
    </w:p>
    <w:p>
      <w:pPr>
        <w:spacing w:after="0" w:line="170" w:lineRule="exact"/>
        <w:rPr>
          <w:sz w:val="20"/>
          <w:szCs w:val="20"/>
          <w:color w:val="auto"/>
        </w:rPr>
      </w:pPr>
    </w:p>
    <w:p>
      <w:pPr>
        <w:ind w:left="400" w:right="119" w:hanging="350"/>
        <w:spacing w:after="0" w:line="277"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filed with the Company’s Registration Statement on From 8-A (File No. 333-107686) filed on August 5, 2003 and incorporated by reference herein.</w:t>
      </w:r>
    </w:p>
    <w:p>
      <w:pPr>
        <w:spacing w:after="0" w:line="170" w:lineRule="exact"/>
        <w:rPr>
          <w:sz w:val="20"/>
          <w:szCs w:val="20"/>
          <w:color w:val="auto"/>
        </w:rPr>
      </w:pPr>
    </w:p>
    <w:p>
      <w:pPr>
        <w:ind w:left="400" w:right="419" w:hanging="350"/>
        <w:spacing w:after="0" w:line="277"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filed as Appendix A to the Company’s Consent Solicitation (Filed No: 001-11588) filed on September 17, 2013 and incorporated by reference herein.</w:t>
      </w:r>
    </w:p>
    <w:p>
      <w:pPr>
        <w:spacing w:after="0" w:line="170" w:lineRule="exact"/>
        <w:rPr>
          <w:sz w:val="20"/>
          <w:szCs w:val="20"/>
          <w:color w:val="auto"/>
        </w:rPr>
      </w:pPr>
    </w:p>
    <w:p>
      <w:pPr>
        <w:ind w:left="400" w:hanging="350"/>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 filed with the Company’s Form 8-K filed on January 4, 2008 and incorporated by reference herein.</w:t>
      </w:r>
    </w:p>
    <w:p>
      <w:pPr>
        <w:spacing w:after="0" w:line="225" w:lineRule="exact"/>
        <w:rPr>
          <w:sz w:val="20"/>
          <w:szCs w:val="20"/>
          <w:color w:val="auto"/>
        </w:rPr>
      </w:pPr>
    </w:p>
    <w:p>
      <w:pPr>
        <w:ind w:left="400" w:right="179" w:hanging="350"/>
        <w:spacing w:after="0" w:line="277"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 filed with the Company’s Proxy Statement for the 2020 Annual Meeting of Stockholders and incorporated by reference herein.</w:t>
      </w:r>
    </w:p>
    <w:p>
      <w:pPr>
        <w:spacing w:after="0" w:line="170" w:lineRule="exact"/>
        <w:rPr>
          <w:sz w:val="20"/>
          <w:szCs w:val="20"/>
          <w:color w:val="auto"/>
        </w:rPr>
      </w:pPr>
    </w:p>
    <w:p>
      <w:pPr>
        <w:ind w:left="400" w:right="579" w:hanging="350"/>
        <w:spacing w:after="0" w:line="277"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 filed with the Company’s Form 10-Q for the quarter ended June 30, 2011 and incorporated by reference herein.</w:t>
      </w:r>
    </w:p>
    <w:p>
      <w:pPr>
        <w:spacing w:after="0" w:line="170" w:lineRule="exact"/>
        <w:rPr>
          <w:sz w:val="20"/>
          <w:szCs w:val="20"/>
          <w:color w:val="auto"/>
        </w:rPr>
      </w:pPr>
    </w:p>
    <w:p>
      <w:pPr>
        <w:ind w:left="400" w:hanging="35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 filed with the Company’s Form 8-K filed on October 16, 2013 and incorporated by reference herein.</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8   Exhibit filed with the Company’s Form 8-K/A filed on April 8, 2016 and incorporated by reference herein.</w:t>
      </w:r>
    </w:p>
    <w:p>
      <w:pPr>
        <w:spacing w:after="0" w:line="225" w:lineRule="exact"/>
        <w:rPr>
          <w:sz w:val="20"/>
          <w:szCs w:val="20"/>
          <w:color w:val="auto"/>
        </w:rPr>
      </w:pPr>
    </w:p>
    <w:p>
      <w:pPr>
        <w:ind w:left="400" w:right="359" w:hanging="350"/>
        <w:spacing w:after="0" w:line="277"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 filed with the Company’s Form 10-K for the year ended December 31, 2015 and incorporated by reference herein.</w:t>
      </w:r>
    </w:p>
    <w:p>
      <w:pPr>
        <w:spacing w:after="0" w:line="170" w:lineRule="exact"/>
        <w:rPr>
          <w:sz w:val="20"/>
          <w:szCs w:val="20"/>
          <w:color w:val="auto"/>
        </w:rPr>
      </w:pPr>
    </w:p>
    <w:p>
      <w:pPr>
        <w:ind w:left="400" w:right="219" w:hanging="350"/>
        <w:spacing w:after="0" w:line="277"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 filed as Appendix A to the Corporation’s Definitive Proxy Statement (File No. 001-11588) filed on April 16, 2018 and incorporated by reference herein.</w:t>
      </w:r>
    </w:p>
    <w:p>
      <w:pPr>
        <w:spacing w:after="0" w:line="170" w:lineRule="exact"/>
        <w:rPr>
          <w:rFonts w:ascii="Arial" w:cs="Arial" w:eastAsia="Arial" w:hAnsi="Arial"/>
          <w:sz w:val="18"/>
          <w:szCs w:val="18"/>
          <w:color w:val="auto"/>
        </w:rPr>
      </w:pPr>
    </w:p>
    <w:p>
      <w:pPr>
        <w:ind w:left="400" w:right="579" w:hanging="350"/>
        <w:spacing w:after="0" w:line="277"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 filed with the Company’s Form 10-Q for the quarter ended June 30, 2018 and incorporated by reference herein.</w:t>
      </w:r>
    </w:p>
    <w:p>
      <w:pPr>
        <w:spacing w:after="0" w:line="170" w:lineRule="exact"/>
        <w:rPr>
          <w:sz w:val="20"/>
          <w:szCs w:val="20"/>
          <w:color w:val="auto"/>
        </w:rPr>
      </w:pPr>
    </w:p>
    <w:p>
      <w:pPr>
        <w:ind w:left="400" w:hanging="350"/>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Exhibit filed with the Company’s Form 8-K filed on September 28, 2018 and incorporated by reference herein.</w:t>
      </w:r>
    </w:p>
    <w:p>
      <w:pPr>
        <w:spacing w:after="0" w:line="236" w:lineRule="exact"/>
        <w:rPr>
          <w:rFonts w:ascii="Arial" w:cs="Arial" w:eastAsia="Arial" w:hAnsi="Arial"/>
          <w:sz w:val="17"/>
          <w:szCs w:val="17"/>
          <w:color w:val="auto"/>
        </w:rPr>
      </w:pPr>
    </w:p>
    <w:p>
      <w:pPr>
        <w:ind w:left="400" w:hanging="350"/>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 filed with the Company’s Form 8-K filed on March 1, 2019 and incorporated by reference herein.</w:t>
      </w:r>
    </w:p>
    <w:p>
      <w:pPr>
        <w:spacing w:after="0" w:line="225" w:lineRule="exact"/>
        <w:rPr>
          <w:rFonts w:ascii="Arial" w:cs="Arial" w:eastAsia="Arial" w:hAnsi="Arial"/>
          <w:sz w:val="18"/>
          <w:szCs w:val="18"/>
          <w:color w:val="auto"/>
        </w:rPr>
      </w:pPr>
    </w:p>
    <w:p>
      <w:pPr>
        <w:ind w:left="400" w:hanging="350"/>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 filed with the Company’s Form 10-K filed on March 13, 2020 and incorporated by reference herein.</w:t>
      </w:r>
    </w:p>
    <w:p>
      <w:pPr>
        <w:spacing w:after="0" w:line="225" w:lineRule="exact"/>
        <w:rPr>
          <w:sz w:val="20"/>
          <w:szCs w:val="20"/>
          <w:color w:val="auto"/>
        </w:rPr>
      </w:pPr>
    </w:p>
    <w:p>
      <w:pPr>
        <w:ind w:left="400" w:right="359" w:hanging="350"/>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 filed with the Company’s Form 10-K for the year ended December 31, 2020 and incorporated by reference herein.</w:t>
      </w:r>
    </w:p>
    <w:p>
      <w:pPr>
        <w:spacing w:after="0" w:line="170" w:lineRule="exact"/>
        <w:rPr>
          <w:rFonts w:ascii="Arial" w:cs="Arial" w:eastAsia="Arial" w:hAnsi="Arial"/>
          <w:sz w:val="18"/>
          <w:szCs w:val="18"/>
          <w:color w:val="auto"/>
        </w:rPr>
      </w:pPr>
    </w:p>
    <w:p>
      <w:pPr>
        <w:ind w:left="400" w:hanging="350"/>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 filed with the Company’s Form 8-K filed on January 27, 2022 and incorporated by reference herein.</w:t>
      </w:r>
    </w:p>
    <w:p>
      <w:pPr>
        <w:spacing w:after="0" w:line="225" w:lineRule="exact"/>
        <w:rPr>
          <w:rFonts w:ascii="Arial" w:cs="Arial" w:eastAsia="Arial" w:hAnsi="Arial"/>
          <w:sz w:val="18"/>
          <w:szCs w:val="18"/>
          <w:color w:val="auto"/>
        </w:rPr>
      </w:pPr>
    </w:p>
    <w:p>
      <w:pPr>
        <w:ind w:left="400" w:hanging="350"/>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 filed with the Company’s Form 8-K filed on August 25, 2022 and incorporated by reference herein.</w:t>
      </w:r>
    </w:p>
    <w:p>
      <w:pPr>
        <w:spacing w:after="0" w:line="225" w:lineRule="exact"/>
        <w:rPr>
          <w:rFonts w:ascii="Arial" w:cs="Arial" w:eastAsia="Arial" w:hAnsi="Arial"/>
          <w:sz w:val="18"/>
          <w:szCs w:val="18"/>
          <w:color w:val="auto"/>
        </w:rPr>
      </w:pPr>
    </w:p>
    <w:p>
      <w:pPr>
        <w:ind w:left="400" w:hanging="350"/>
        <w:spacing w:after="0"/>
        <w:tabs>
          <w:tab w:leader="none" w:pos="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Exhibits filed with the Company’s Form 8-K filed on November 16, 2022 and incorporate by reference herein.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March 16, 2023.</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SAGA COMMUNICATIONS, INC.</w:t>
      </w:r>
    </w:p>
    <w:p>
      <w:pPr>
        <w:spacing w:after="0" w:line="225" w:lineRule="exact"/>
        <w:rPr>
          <w:sz w:val="20"/>
          <w:szCs w:val="20"/>
          <w:color w:val="auto"/>
        </w:rPr>
      </w:pPr>
    </w:p>
    <w:p>
      <w:pPr>
        <w:ind w:left="4600"/>
        <w:spacing w:after="0"/>
        <w:tabs>
          <w:tab w:leader="none" w:pos="5020" w:val="left"/>
          <w:tab w:leader="none" w:pos="53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Christopher S. Forgy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14605</wp:posOffset>
            </wp:positionV>
            <wp:extent cx="24860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Christopher S. Forgy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on March 16, 2023.</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ind w:left="1260"/>
              <w:spacing w:after="0"/>
              <w:rPr>
                <w:sz w:val="20"/>
                <w:szCs w:val="20"/>
                <w:color w:val="auto"/>
              </w:rPr>
            </w:pPr>
            <w:r>
              <w:rPr>
                <w:rFonts w:ascii="Arial" w:cs="Arial" w:eastAsia="Arial" w:hAnsi="Arial"/>
                <w:sz w:val="18"/>
                <w:szCs w:val="18"/>
                <w:b w:val="1"/>
                <w:bCs w:val="1"/>
                <w:color w:val="auto"/>
              </w:rPr>
              <w:t>Signatures</w:t>
            </w:r>
          </w:p>
        </w:tc>
        <w:tc>
          <w:tcPr>
            <w:tcW w:w="46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Christopher S. Forgy</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2"/>
              </w:rPr>
              <w:t>President, Chief Executive Officer and</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Christopher S. Forgy</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Samuel D. Bush</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89"/>
              </w:rPr>
              <w:t>Senior Vice President,</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Samuel D. Bush</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2"/>
              </w:rPr>
              <w:t>Chief Financial Officer and Treasurer</w:t>
            </w: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Catherine A. Bobinski</w:t>
            </w:r>
          </w:p>
        </w:tc>
        <w:tc>
          <w:tcPr>
            <w:tcW w:w="4640" w:type="dxa"/>
            <w:vAlign w:val="bottom"/>
          </w:tcPr>
          <w:p>
            <w:pPr>
              <w:jc w:val="center"/>
              <w:ind w:right="210"/>
              <w:spacing w:after="0"/>
              <w:rPr>
                <w:sz w:val="20"/>
                <w:szCs w:val="20"/>
                <w:color w:val="auto"/>
              </w:rPr>
            </w:pPr>
            <w:r>
              <w:rPr>
                <w:rFonts w:ascii="Arial" w:cs="Arial" w:eastAsia="Arial" w:hAnsi="Arial"/>
                <w:sz w:val="18"/>
                <w:szCs w:val="18"/>
                <w:color w:val="auto"/>
                <w:w w:val="89"/>
              </w:rPr>
              <w:t>Senior Vice President/Finance,</w:t>
            </w:r>
          </w:p>
        </w:tc>
      </w:tr>
      <w:tr>
        <w:trPr>
          <w:trHeight w:val="195"/>
        </w:trPr>
        <w:tc>
          <w:tcPr>
            <w:tcW w:w="560" w:type="dxa"/>
            <w:vAlign w:val="bottom"/>
          </w:tcPr>
          <w:p>
            <w:pPr>
              <w:spacing w:after="0"/>
              <w:rPr>
                <w:sz w:val="16"/>
                <w:szCs w:val="16"/>
                <w:color w:val="auto"/>
              </w:rPr>
            </w:pPr>
          </w:p>
        </w:tc>
        <w:tc>
          <w:tcPr>
            <w:tcW w:w="3720" w:type="dxa"/>
            <w:vAlign w:val="bottom"/>
            <w:gridSpan w:val="2"/>
          </w:tcPr>
          <w:p>
            <w:pPr>
              <w:spacing w:after="0" w:line="195" w:lineRule="exact"/>
              <w:rPr>
                <w:sz w:val="20"/>
                <w:szCs w:val="20"/>
                <w:color w:val="auto"/>
              </w:rPr>
            </w:pPr>
            <w:r>
              <w:rPr>
                <w:rFonts w:ascii="Arial" w:cs="Arial" w:eastAsia="Arial" w:hAnsi="Arial"/>
                <w:sz w:val="18"/>
                <w:szCs w:val="18"/>
                <w:color w:val="auto"/>
              </w:rPr>
              <w:t>Catherine A. Bobinski</w:t>
            </w:r>
          </w:p>
        </w:tc>
        <w:tc>
          <w:tcPr>
            <w:tcW w:w="464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4"/>
              </w:rPr>
              <w:t>Chief Accounting Officer and</w:t>
            </w:r>
          </w:p>
        </w:tc>
      </w:tr>
      <w:tr>
        <w:trPr>
          <w:trHeight w:val="230"/>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3"/>
              </w:rPr>
              <w:t>Corporate Controller</w:t>
            </w:r>
          </w:p>
        </w:tc>
      </w:tr>
      <w:tr>
        <w:trPr>
          <w:trHeight w:val="432"/>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Bergner</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Michael J. Bergner</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Clarke R. Brown, Jr.</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Clarke R. Brown, Jr.</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Timothy J. Clarke</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Timothy J. Clarke</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Roy F. Coppedge III</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Roy F. Coppedge</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Lada</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Warren Lada</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Marcia K. Lobaito</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Marcia K. Lobaito</w:t>
            </w:r>
          </w:p>
        </w:tc>
        <w:tc>
          <w:tcPr>
            <w:tcW w:w="464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Gary G. Stevens</w:t>
            </w:r>
          </w:p>
        </w:tc>
        <w:tc>
          <w:tcPr>
            <w:tcW w:w="464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r>
      <w:tr>
        <w:trPr>
          <w:trHeight w:val="224"/>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Gary G. Stevens</w:t>
            </w:r>
          </w:p>
        </w:tc>
        <w:tc>
          <w:tcPr>
            <w:tcW w:w="4640" w:type="dxa"/>
            <w:vAlign w:val="bottom"/>
          </w:tcPr>
          <w:p>
            <w:pPr>
              <w:spacing w:after="0"/>
              <w:rPr>
                <w:sz w:val="19"/>
                <w:szCs w:val="19"/>
                <w:color w:val="auto"/>
              </w:rPr>
            </w:pPr>
          </w:p>
        </w:tc>
      </w:tr>
      <w:tr>
        <w:trPr>
          <w:trHeight w:val="863"/>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40" w:type="dxa"/>
            <w:vAlign w:val="bottom"/>
          </w:tcPr>
          <w:p>
            <w:pPr>
              <w:jc w:val="right"/>
              <w:ind w:right="4270"/>
              <w:spacing w:after="0"/>
              <w:rPr>
                <w:sz w:val="20"/>
                <w:szCs w:val="20"/>
                <w:color w:val="auto"/>
              </w:rPr>
            </w:pPr>
            <w:r>
              <w:rPr>
                <w:rFonts w:ascii="Arial" w:cs="Arial" w:eastAsia="Arial" w:hAnsi="Arial"/>
                <w:sz w:val="18"/>
                <w:szCs w:val="18"/>
                <w:color w:val="auto"/>
              </w:rPr>
              <w:t>84</w:t>
            </w:r>
          </w:p>
        </w:tc>
      </w:tr>
      <w:tr>
        <w:trPr>
          <w:trHeight w:val="561"/>
        </w:trPr>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4" w:name="page85"/>
    <w:bookmarkEnd w:id="84"/>
    <w:p>
      <w:pPr>
        <w:ind w:left="7680"/>
        <w:spacing w:after="0"/>
        <w:rPr>
          <w:sz w:val="20"/>
          <w:szCs w:val="20"/>
          <w:color w:val="auto"/>
        </w:rPr>
      </w:pPr>
      <w:r>
        <w:rPr>
          <w:rFonts w:ascii="Arial" w:cs="Arial" w:eastAsia="Arial" w:hAnsi="Arial"/>
          <w:sz w:val="18"/>
          <w:szCs w:val="18"/>
          <w:b w:val="1"/>
          <w:bCs w:val="1"/>
          <w:color w:val="auto"/>
        </w:rPr>
        <w:t>Exhibit 10.21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THIRD AMENDMENT TO CREDIT AGREEMENT</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8"/>
          <w:szCs w:val="18"/>
          <w:color w:val="auto"/>
        </w:rPr>
        <w:t>THIS THIRD AMENDMENT TO CREDIT AGREEMENT, dated as of December 19, 2022 (this “Amendment”), is among SAGA COMMUNICATIONS, INC. (the “Borrower”), the other Loan Parties party hereto, the Lenders party hereto, and JPMORGAN CHASE BANK, N.A., as Administrative Agent (in such capacity, the “Administrative Agent”).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RECITALS</w:t>
      </w:r>
    </w:p>
    <w:p>
      <w:pPr>
        <w:spacing w:after="0" w:line="162" w:lineRule="exact"/>
        <w:rPr>
          <w:sz w:val="20"/>
          <w:szCs w:val="20"/>
          <w:color w:val="auto"/>
        </w:rPr>
      </w:pPr>
    </w:p>
    <w:p>
      <w:pPr>
        <w:jc w:val="both"/>
        <w:ind w:left="200" w:right="219" w:firstLine="657"/>
        <w:spacing w:after="0" w:line="280"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Borrower, the other Loan Parties party thereto, the Lenders party thereto, and the Administrative Agent are parties to a Credit Agreement dated as of August 18, 2015 (as amended, restated, supplemented or otherwise modified from time to time prior to the Third Amendment Effective Date (as defined below), the “</w:t>
      </w:r>
      <w:r>
        <w:rPr>
          <w:rFonts w:ascii="Arial" w:cs="Arial" w:eastAsia="Arial" w:hAnsi="Arial"/>
          <w:sz w:val="18"/>
          <w:szCs w:val="18"/>
          <w:u w:val="single" w:color="auto"/>
          <w:color w:val="auto"/>
        </w:rPr>
        <w:t>Existing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200" w:right="219" w:firstLine="657"/>
        <w:spacing w:after="0" w:line="293"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Borrower and the other Loan Parties desire to amend the Existing Credit Agreement, and the Administrative Agent and the Lenders are willing to do so in accordance with the terms hereof.</w:t>
      </w:r>
    </w:p>
    <w:p>
      <w:pPr>
        <w:spacing w:after="0" w:line="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TERMS</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consideration of the premises and of the mutual agreements herein contained, the parties agree as follows:</w:t>
      </w:r>
    </w:p>
    <w:p>
      <w:pPr>
        <w:spacing w:after="0" w:line="18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8"/>
          <w:szCs w:val="18"/>
          <w:color w:val="auto"/>
        </w:rPr>
        <w:t xml:space="preserve">ARTICLE I. </w:t>
      </w:r>
      <w:r>
        <w:rPr>
          <w:rFonts w:ascii="Arial" w:cs="Arial" w:eastAsia="Arial" w:hAnsi="Arial"/>
          <w:sz w:val="18"/>
          <w:szCs w:val="18"/>
          <w:u w:val="single" w:color="auto"/>
          <w:color w:val="auto"/>
        </w:rPr>
        <w:t>AMENDMENTS</w:t>
      </w:r>
      <w:r>
        <w:rPr>
          <w:rFonts w:ascii="Arial" w:cs="Arial" w:eastAsia="Arial" w:hAnsi="Arial"/>
          <w:sz w:val="18"/>
          <w:szCs w:val="18"/>
          <w:color w:val="auto"/>
        </w:rPr>
        <w:t>. Upon fulfillment of the conditions set forth in Article III hereof, the parties hereto agree that the Existing Credit Agreement (including the Exhibits and Schedules thereto) is hereby amended as reflected by the amended Credit Agreement attached hereto as Exhibit A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and any term or provision of the Existing Credit Agreement (including the Exhibits and Schedules thereto) which is different from that set forth in the Amended Credit Agreement shall be replaced and superseded in all respects by the terms and provisions of the Amended Credit Agreement.</w:t>
      </w:r>
    </w:p>
    <w:p>
      <w:pPr>
        <w:spacing w:after="0" w:line="108"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8"/>
          <w:szCs w:val="18"/>
          <w:color w:val="auto"/>
        </w:rPr>
        <w:t xml:space="preserve">ARTICLE II. </w:t>
      </w:r>
      <w:r>
        <w:rPr>
          <w:rFonts w:ascii="Arial" w:cs="Arial" w:eastAsia="Arial" w:hAnsi="Arial"/>
          <w:sz w:val="18"/>
          <w:szCs w:val="18"/>
          <w:u w:val="single" w:color="auto"/>
          <w:color w:val="auto"/>
        </w:rPr>
        <w:t>REPRESENTATIONS</w:t>
      </w:r>
      <w:r>
        <w:rPr>
          <w:rFonts w:ascii="Arial" w:cs="Arial" w:eastAsia="Arial" w:hAnsi="Arial"/>
          <w:sz w:val="18"/>
          <w:szCs w:val="18"/>
          <w:color w:val="auto"/>
        </w:rPr>
        <w:t>. Each Loan Party represents and warrants to the Administrative Agent and the Lenders that:</w:t>
      </w:r>
    </w:p>
    <w:p>
      <w:pPr>
        <w:spacing w:after="0" w:line="102" w:lineRule="exact"/>
        <w:rPr>
          <w:sz w:val="20"/>
          <w:szCs w:val="20"/>
          <w:color w:val="auto"/>
        </w:rPr>
      </w:pPr>
    </w:p>
    <w:p>
      <w:pPr>
        <w:jc w:val="both"/>
        <w:ind w:left="200" w:right="219" w:firstLine="648"/>
        <w:spacing w:after="0" w:line="306" w:lineRule="auto"/>
        <w:rPr>
          <w:sz w:val="20"/>
          <w:szCs w:val="20"/>
          <w:color w:val="auto"/>
        </w:rPr>
      </w:pPr>
      <w:r>
        <w:rPr>
          <w:rFonts w:ascii="Arial" w:cs="Arial" w:eastAsia="Arial" w:hAnsi="Arial"/>
          <w:sz w:val="16"/>
          <w:szCs w:val="16"/>
          <w:color w:val="auto"/>
        </w:rPr>
        <w:t>2.1 The execution, delivery and performance of this Amendment are (a) within each Loan Party's organizational powers and have been duly authorized by all necessary organizational actions and, if required, actions by equity holders; (b)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(c) will not violate any Requirement of Law applicable to any Loan Party or any Subsidiary, (d) will not violate or result in a default under any indenture, material agreement or other material instrument binding upon any Loan Party or any Subsidiary or the assets of any Loan Party or any Subsidiary, or give rise to a right thereunder to require any payment to be made by any Loan Party or any Subsidiary, and (e) will not result in the creation or imposition of any Lien on any asset of any Loan Party or any Subsidiary, except Liens created pursuant to the Loan Documents.</w:t>
      </w:r>
    </w:p>
    <w:p>
      <w:pPr>
        <w:spacing w:after="0" w:line="98"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7"/>
          <w:szCs w:val="17"/>
          <w:color w:val="auto"/>
        </w:rPr>
        <w:t>2.2 This Amendment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spacing w:after="0" w:line="280" w:lineRule="exact"/>
        <w:rPr>
          <w:sz w:val="20"/>
          <w:szCs w:val="20"/>
          <w:color w:val="auto"/>
        </w:rPr>
      </w:pPr>
    </w:p>
    <w:p>
      <w:pPr>
        <w:jc w:val="both"/>
        <w:ind w:left="200" w:right="219" w:firstLine="648"/>
        <w:spacing w:after="0" w:line="319" w:lineRule="auto"/>
        <w:rPr>
          <w:sz w:val="20"/>
          <w:szCs w:val="20"/>
          <w:color w:val="auto"/>
        </w:rPr>
      </w:pPr>
      <w:r>
        <w:rPr>
          <w:rFonts w:ascii="Arial" w:cs="Arial" w:eastAsia="Arial" w:hAnsi="Arial"/>
          <w:sz w:val="16"/>
          <w:szCs w:val="16"/>
          <w:color w:val="auto"/>
        </w:rPr>
        <w:t>2.3 After giving effect to this Amendment, the representations and warranties contained in Article III of the Credit Agreement and in the other Loan Documents are true in all material respects on and as of the date hereof with the same force and effect as if made on and as of the date hereof (it being understood and agreed that any representation or warranty which by its terms is made as of a specified date shall be required to be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85" w:name="page86"/>
    <w:bookmarkEnd w:id="85"/>
    <w:p>
      <w:pPr>
        <w:jc w:val="both"/>
        <w:ind w:left="200" w:right="219"/>
        <w:spacing w:after="0" w:line="293" w:lineRule="auto"/>
        <w:rPr>
          <w:sz w:val="20"/>
          <w:szCs w:val="20"/>
          <w:color w:val="auto"/>
        </w:rPr>
      </w:pPr>
      <w:r>
        <w:rPr>
          <w:rFonts w:ascii="Arial" w:cs="Arial" w:eastAsia="Arial" w:hAnsi="Arial"/>
          <w:sz w:val="18"/>
          <w:szCs w:val="18"/>
          <w:color w:val="auto"/>
        </w:rPr>
        <w:t>only as of such specified date, and that any representation or warranty which is subject to any materiality qualifier shall be required to be true and correct in all respects).</w:t>
      </w:r>
    </w:p>
    <w:p>
      <w:pPr>
        <w:spacing w:after="0" w:line="102"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8"/>
          <w:szCs w:val="18"/>
          <w:color w:val="auto"/>
        </w:rPr>
        <w:t>2.4 As of the date hereof, no Default exists or has occurred and is continuing, and no Default will be caused after giving effect to this Amendment.</w:t>
      </w:r>
    </w:p>
    <w:p>
      <w:pPr>
        <w:spacing w:after="0" w:line="102"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8"/>
          <w:szCs w:val="18"/>
          <w:color w:val="auto"/>
        </w:rPr>
        <w:t xml:space="preserve">ARTICLE III.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This Amendment shall become effective as the date hereof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when all of the following conditions have been satisfied:</w:t>
      </w:r>
    </w:p>
    <w:p>
      <w:pPr>
        <w:spacing w:after="0" w:line="8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Borrower, the other Loan Parties and the Lenders shall have signed this Amendment.</w:t>
      </w:r>
    </w:p>
    <w:p>
      <w:pPr>
        <w:spacing w:after="0" w:line="1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Administrative Agent shall have received and be reasonably satisfied with such other</w:t>
      </w:r>
    </w:p>
    <w:p>
      <w:pPr>
        <w:spacing w:after="0" w:line="171"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8"/>
          <w:szCs w:val="18"/>
          <w:color w:val="auto"/>
        </w:rPr>
        <w:t>documents, and the Borrowers shall have satisfied such other conditions, as described in the closing list delivered in connection herewith, and the payment of all fees as separately agreed upon that are due and payable on or prior to the Third Amendment Effective Date.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ARTICLE IV.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jc w:val="both"/>
        <w:ind w:left="200" w:right="219" w:firstLine="648"/>
        <w:spacing w:after="0" w:line="324" w:lineRule="auto"/>
        <w:rPr>
          <w:sz w:val="20"/>
          <w:szCs w:val="20"/>
          <w:color w:val="auto"/>
        </w:rPr>
      </w:pPr>
      <w:r>
        <w:rPr>
          <w:rFonts w:ascii="Arial" w:cs="Arial" w:eastAsia="Arial" w:hAnsi="Arial"/>
          <w:sz w:val="17"/>
          <w:szCs w:val="17"/>
          <w:color w:val="auto"/>
        </w:rPr>
        <w:t>4.1 References in the Credit Agreement or in any other Loan Document to the Credit Agreement shall be deemed to be references to the Credit Agreement as amended hereby and as further amended from time to time.</w:t>
      </w:r>
    </w:p>
    <w:p>
      <w:pPr>
        <w:spacing w:after="0" w:line="80"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7"/>
          <w:szCs w:val="17"/>
          <w:color w:val="auto"/>
        </w:rPr>
        <w:t>4.2 Except as expressly amended hereby, the Loan Parties agree that the Credit Agreement and all other Loan Documents are ratified and confirmed, as amended hereby, and shall remain in full force and effect in accordance with their terms and that they have no set off, counterclaim, defense or other claim or dispute with respect to any of the foregoing. Each of the Loan Parties acknowledges and agrees that the Administrative Agent and the Lenders have fully performed all of their obligations under all Loan Documents or otherwise with respect to the Loan Parties, all actions taken by the Administrative Agent and the Lenders are reasonable and appropriate under the circumstances and within their rights under the Loan Documents and they are not aware of any currently existing claims or causes of action against the Administrative Agent or any Lender, any Subsidiary or Affiliate thereof or any of their successors or assigns, and waives any such claims or causes of action of which they are aware. The amendment contained herein shall not be construed as a waiver or amendment of any other provision of the Credit Agreement or the other Loan Documents or for any purpose except as expressly set forth herein.</w:t>
      </w:r>
    </w:p>
    <w:p>
      <w:pPr>
        <w:spacing w:after="0" w:line="111" w:lineRule="exact"/>
        <w:rPr>
          <w:sz w:val="20"/>
          <w:szCs w:val="20"/>
          <w:color w:val="auto"/>
        </w:rPr>
      </w:pPr>
    </w:p>
    <w:p>
      <w:pPr>
        <w:jc w:val="both"/>
        <w:ind w:left="200" w:right="219" w:firstLine="648"/>
        <w:spacing w:after="0" w:line="307" w:lineRule="auto"/>
        <w:rPr>
          <w:sz w:val="20"/>
          <w:szCs w:val="20"/>
          <w:color w:val="auto"/>
        </w:rPr>
      </w:pPr>
      <w:r>
        <w:rPr>
          <w:rFonts w:ascii="Arial" w:cs="Arial" w:eastAsia="Arial" w:hAnsi="Arial"/>
          <w:sz w:val="16"/>
          <w:szCs w:val="16"/>
          <w:color w:val="auto"/>
        </w:rPr>
        <w:t>4.3 Capitalized terms used but not defined herein shall have the respective meanings ascribed thereto in the Credit Agreement. This Amendment is a Loan Document. This Amendment may be signed upon any number of counterparts with the same effect as if the signatures thereto and hereto were upon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86" w:name="page87"/>
    <w:bookmarkEnd w:id="86"/>
    <w:p>
      <w:pPr>
        <w:ind w:left="200" w:right="219" w:firstLine="648"/>
        <w:spacing w:after="0" w:line="293" w:lineRule="auto"/>
        <w:rPr>
          <w:sz w:val="20"/>
          <w:szCs w:val="20"/>
          <w:color w:val="auto"/>
        </w:rPr>
      </w:pPr>
      <w:r>
        <w:rPr>
          <w:rFonts w:ascii="Arial" w:cs="Arial" w:eastAsia="Arial" w:hAnsi="Arial"/>
          <w:sz w:val="18"/>
          <w:szCs w:val="18"/>
          <w:color w:val="auto"/>
        </w:rPr>
        <w:t>IN WITNESS WHEREOF, the parties signing this Amendment have caused this Amendment to be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INC.</w:t>
      </w:r>
    </w:p>
    <w:p>
      <w:pPr>
        <w:spacing w:after="0" w:line="200" w:lineRule="exact"/>
        <w:rPr>
          <w:sz w:val="20"/>
          <w:szCs w:val="20"/>
          <w:color w:val="auto"/>
        </w:rPr>
      </w:pPr>
    </w:p>
    <w:p>
      <w:pPr>
        <w:spacing w:after="0" w:line="34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Samuel D. Bush</w:t>
      </w:r>
      <w:r>
        <w:rPr>
          <w:rFonts w:ascii="Arial" w:cs="Arial" w:eastAsia="Arial" w:hAnsi="Arial"/>
          <w:sz w:val="18"/>
          <w:szCs w:val="18"/>
          <w:color w:val="auto"/>
        </w:rPr>
        <w:t>_____________________</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 Samuel D. Bush</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FRANKLIN COMMUNICATIONS,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BROADCASTING, LLC</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NEW ENGLAND,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ARKANSAS,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NORTH CAROLINA,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TIDEWATER COMMUNICATIONS, LLC</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ILLINOIS,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SOUTH DAKOTA,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LAKEFRONT COMMUNICATIONS, LLC</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IOWA,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SOUTH COMMUNICATIONS,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SAGA COMMUNICATIONS OF TUCKESSEE, LLC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WATER DRAGON, LLC</w:t>
      </w: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Samuel D. Bush</w:t>
      </w:r>
      <w:r>
        <w:rPr>
          <w:rFonts w:ascii="Arial" w:cs="Arial" w:eastAsia="Arial" w:hAnsi="Arial"/>
          <w:sz w:val="18"/>
          <w:szCs w:val="18"/>
          <w:color w:val="auto"/>
        </w:rPr>
        <w:t>_______________________</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 Samuel D. Bush</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837565</wp:posOffset>
            </wp:positionV>
            <wp:extent cx="54521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87" w:name="page88"/>
    <w:bookmarkEnd w:id="87"/>
    <w:p>
      <w:pPr>
        <w:ind w:left="4100"/>
        <w:spacing w:after="0"/>
        <w:rPr>
          <w:sz w:val="20"/>
          <w:szCs w:val="20"/>
          <w:color w:val="auto"/>
        </w:rPr>
      </w:pPr>
      <w:r>
        <w:rPr>
          <w:rFonts w:ascii="Arial" w:cs="Arial" w:eastAsia="Arial" w:hAnsi="Arial"/>
          <w:sz w:val="17"/>
          <w:szCs w:val="17"/>
          <w:color w:val="auto"/>
        </w:rPr>
        <w:t>JPMORGAN CHASE BANK, N.A., individually, and as</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Administrative Agent, Swingline Lender and Issuing Bank</w:t>
      </w:r>
    </w:p>
    <w:p>
      <w:pPr>
        <w:spacing w:after="0" w:line="200" w:lineRule="exact"/>
        <w:rPr>
          <w:sz w:val="20"/>
          <w:szCs w:val="20"/>
          <w:color w:val="auto"/>
        </w:rPr>
      </w:pPr>
    </w:p>
    <w:p>
      <w:pPr>
        <w:spacing w:after="0" w:line="3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_/s/ Katie Duncan</w:t>
      </w:r>
      <w:r>
        <w:rPr>
          <w:rFonts w:ascii="Arial" w:cs="Arial" w:eastAsia="Arial" w:hAnsi="Arial"/>
          <w:sz w:val="18"/>
          <w:szCs w:val="18"/>
          <w:color w:val="auto"/>
        </w:rPr>
        <w:t xml:space="preserve"> ______________</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Name:_</w:t>
      </w:r>
      <w:r>
        <w:rPr>
          <w:rFonts w:ascii="Arial" w:cs="Arial" w:eastAsia="Arial" w:hAnsi="Arial"/>
          <w:sz w:val="18"/>
          <w:szCs w:val="18"/>
          <w:u w:val="single" w:color="auto"/>
          <w:color w:val="auto"/>
        </w:rPr>
        <w:t>Katie E. Duncan</w:t>
      </w:r>
      <w:r>
        <w:rPr>
          <w:rFonts w:ascii="Arial" w:cs="Arial" w:eastAsia="Arial" w:hAnsi="Arial"/>
          <w:sz w:val="18"/>
          <w:szCs w:val="18"/>
          <w:color w:val="auto"/>
        </w:rPr>
        <w:t>____________</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Title:_</w:t>
      </w:r>
      <w:r>
        <w:rPr>
          <w:rFonts w:ascii="Arial" w:cs="Arial" w:eastAsia="Arial" w:hAnsi="Arial"/>
          <w:sz w:val="18"/>
          <w:szCs w:val="18"/>
          <w:u w:val="single" w:color="auto"/>
          <w:color w:val="auto"/>
        </w:rPr>
        <w:t>_Authorized Officer</w:t>
      </w:r>
      <w:r>
        <w:rPr>
          <w:rFonts w:ascii="Arial" w:cs="Arial" w:eastAsia="Arial" w:hAnsi="Arial"/>
          <w:sz w:val="18"/>
          <w:szCs w:val="18"/>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4100"/>
        <w:spacing w:after="0"/>
        <w:rPr>
          <w:sz w:val="20"/>
          <w:szCs w:val="20"/>
          <w:color w:val="auto"/>
        </w:rPr>
      </w:pPr>
      <w:r>
        <w:rPr>
          <w:rFonts w:ascii="Arial" w:cs="Arial" w:eastAsia="Arial" w:hAnsi="Arial"/>
          <w:sz w:val="17"/>
          <w:szCs w:val="17"/>
          <w:color w:val="auto"/>
        </w:rPr>
        <w:t>THE HUNTINGTON NATIONAL BANK</w:t>
      </w:r>
    </w:p>
    <w:p>
      <w:pPr>
        <w:spacing w:after="0" w:line="200" w:lineRule="exact"/>
        <w:rPr>
          <w:sz w:val="20"/>
          <w:szCs w:val="20"/>
          <w:color w:val="auto"/>
        </w:rPr>
      </w:pPr>
    </w:p>
    <w:p>
      <w:pPr>
        <w:spacing w:after="0" w:line="347"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By:_</w:t>
      </w:r>
      <w:r>
        <w:rPr>
          <w:rFonts w:ascii="Arial" w:cs="Arial" w:eastAsia="Arial" w:hAnsi="Arial"/>
          <w:sz w:val="17"/>
          <w:szCs w:val="17"/>
          <w:u w:val="single" w:color="auto"/>
          <w:color w:val="auto"/>
        </w:rPr>
        <w:t>/s/ Peter Stasevich</w:t>
      </w:r>
      <w:r>
        <w:rPr>
          <w:rFonts w:ascii="Arial" w:cs="Arial" w:eastAsia="Arial" w:hAnsi="Arial"/>
          <w:sz w:val="17"/>
          <w:szCs w:val="17"/>
          <w:color w:val="auto"/>
        </w:rPr>
        <w:t>_____________</w:t>
      </w:r>
    </w:p>
    <w:p>
      <w:pPr>
        <w:spacing w:after="0" w:line="18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Name:_</w:t>
      </w:r>
      <w:r>
        <w:rPr>
          <w:rFonts w:ascii="Arial" w:cs="Arial" w:eastAsia="Arial" w:hAnsi="Arial"/>
          <w:sz w:val="17"/>
          <w:szCs w:val="17"/>
          <w:u w:val="single" w:color="auto"/>
          <w:color w:val="auto"/>
        </w:rPr>
        <w:t>Peter Stasevich</w:t>
      </w:r>
      <w:r>
        <w:rPr>
          <w:rFonts w:ascii="Arial" w:cs="Arial" w:eastAsia="Arial" w:hAnsi="Arial"/>
          <w:sz w:val="17"/>
          <w:szCs w:val="17"/>
          <w:color w:val="auto"/>
        </w:rPr>
        <w:t>_____________</w:t>
      </w:r>
    </w:p>
    <w:p>
      <w:pPr>
        <w:spacing w:after="0" w:line="18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Title:_</w:t>
      </w:r>
      <w:r>
        <w:rPr>
          <w:rFonts w:ascii="Arial" w:cs="Arial" w:eastAsia="Arial" w:hAnsi="Arial"/>
          <w:sz w:val="17"/>
          <w:szCs w:val="17"/>
          <w:u w:val="single" w:color="auto"/>
          <w:color w:val="auto"/>
        </w:rPr>
        <w:t>Senior Vice President</w:t>
      </w:r>
      <w:r>
        <w:rPr>
          <w:rFonts w:ascii="Arial" w:cs="Arial" w:eastAsia="Arial" w:hAnsi="Arial"/>
          <w:sz w:val="17"/>
          <w:szCs w:val="17"/>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836295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jc w:val="right"/>
        <w:ind w:right="219"/>
        <w:spacing w:after="0"/>
        <w:rPr>
          <w:sz w:val="20"/>
          <w:szCs w:val="20"/>
          <w:color w:val="auto"/>
        </w:rPr>
      </w:pPr>
      <w:r>
        <w:rPr>
          <w:rFonts w:ascii="Arial" w:cs="Arial" w:eastAsia="Arial" w:hAnsi="Arial"/>
          <w:sz w:val="18"/>
          <w:szCs w:val="18"/>
          <w:b w:val="1"/>
          <w:bCs w:val="1"/>
          <w:color w:val="auto"/>
        </w:rPr>
        <w:t>Exhibit A to Third Amendment</w:t>
      </w:r>
    </w:p>
    <w:p>
      <w:pPr>
        <w:spacing w:after="0" w:line="171" w:lineRule="exact"/>
        <w:rPr>
          <w:sz w:val="20"/>
          <w:szCs w:val="20"/>
          <w:color w:val="auto"/>
        </w:rPr>
      </w:pPr>
    </w:p>
    <w:p>
      <w:pPr>
        <w:jc w:val="right"/>
        <w:ind w:right="219"/>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368935</wp:posOffset>
            </wp:positionV>
            <wp:extent cx="5383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386080</wp:posOffset>
            </wp:positionV>
            <wp:extent cx="53835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5383530" cy="889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1148715</wp:posOffset>
            </wp:positionV>
            <wp:extent cx="1680210" cy="368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16802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August 18, 2015</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SAGA COMMUNICATIONS, INC.,</w:t>
      </w: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JPMORGAN CHASE BANK, N.A.,</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1227455</wp:posOffset>
            </wp:positionV>
            <wp:extent cx="5452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859155</wp:posOffset>
            </wp:positionV>
            <wp:extent cx="53835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538353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876300</wp:posOffset>
            </wp:positionV>
            <wp:extent cx="5383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0" w:name="page91"/>
    <w:bookmarkEnd w:id="90"/>
    <w:p>
      <w:pPr>
        <w:jc w:val="center"/>
        <w:ind w:right="-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1116965</wp:posOffset>
            </wp:positionH>
            <wp:positionV relativeFrom="page">
              <wp:posOffset>88900</wp:posOffset>
            </wp:positionV>
            <wp:extent cx="5383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106045</wp:posOffset>
            </wp:positionV>
            <wp:extent cx="5383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5383530" cy="8255"/>
                    </a:xfrm>
                    <a:prstGeom prst="rect">
                      <a:avLst/>
                    </a:prstGeom>
                    <a:noFill/>
                  </pic:spPr>
                </pic:pic>
              </a:graphicData>
            </a:graphic>
          </wp:anchor>
        </w:drawing>
        <w:t>THE HUNTINGTON NATIONAL BANK,</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JPMORGAN CHASE BANK, N.A.,</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1359535</wp:posOffset>
            </wp:positionV>
            <wp:extent cx="54521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828040</wp:posOffset>
            </wp:positionV>
            <wp:extent cx="5383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845185</wp:posOffset>
            </wp:positionV>
            <wp:extent cx="5383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ectPr>
          <w:pgSz w:w="11900" w:h="16838" w:orient="portrait"/>
          <w:cols w:equalWidth="0" w:num="1">
            <w:col w:w="9019"/>
          </w:cols>
          <w:pgMar w:left="1440" w:top="177"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6"/>
              </w:rPr>
              <w:t>Page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8620" w:type="dxa"/>
            <w:vAlign w:val="bottom"/>
            <w:gridSpan w:val="4"/>
          </w:tcPr>
          <w:p>
            <w:pPr>
              <w:spacing w:after="0"/>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ARTICLE I. Definitions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6"/>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1.01. Defined Terms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3"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SECTION 1.02. Classification of Loans and Borrowings.</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1.03. Terms Generally.</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SECTION 1.04. Accounting Terms; GAAP</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1.05. Interest Rates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SECTION 1.06. Pro Forma Adjustments for Acquisitions and Dispositions</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1.07. Status of Obligations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ARTICLE II. The Credits</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2.01. Revolving Commitments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2.02. Loans and Borrowings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SECTION 2.03. Requests for Borrowings</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7"/>
        </w:trPr>
        <w:tc>
          <w:tcPr>
            <w:tcW w:w="8620" w:type="dxa"/>
            <w:vAlign w:val="bottom"/>
            <w:gridSpan w:val="4"/>
          </w:tcPr>
          <w:p>
            <w:pPr>
              <w:spacing w:after="0" w:line="37" w:lineRule="exact"/>
              <w:rPr>
                <w:sz w:val="20"/>
                <w:szCs w:val="20"/>
                <w:color w:val="auto"/>
              </w:rPr>
            </w:pPr>
            <w:r>
              <w:rPr>
                <w:rFonts w:ascii="Arial" w:cs="Arial" w:eastAsia="Arial" w:hAnsi="Arial"/>
                <w:sz w:val="4"/>
                <w:szCs w:val="4"/>
                <w:color w:val="auto"/>
              </w:rPr>
              <w:t>SECTION 2.04. Swingline Loans.</w:t>
            </w:r>
          </w:p>
        </w:tc>
        <w:tc>
          <w:tcPr>
            <w:tcW w:w="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50"/>
        </w:trPr>
        <w:tc>
          <w:tcPr>
            <w:tcW w:w="8620" w:type="dxa"/>
            <w:vAlign w:val="bottom"/>
            <w:gridSpan w:val="4"/>
          </w:tcPr>
          <w:p>
            <w:pPr>
              <w:spacing w:after="0" w:line="51" w:lineRule="exact"/>
              <w:rPr>
                <w:sz w:val="20"/>
                <w:szCs w:val="20"/>
                <w:color w:val="auto"/>
              </w:rPr>
            </w:pPr>
            <w:r>
              <w:rPr>
                <w:rFonts w:ascii="Arial" w:cs="Arial" w:eastAsia="Arial" w:hAnsi="Arial"/>
                <w:sz w:val="5"/>
                <w:szCs w:val="5"/>
                <w:color w:val="auto"/>
              </w:rPr>
              <w:t>SECTION 2.05. Letters of Credit</w:t>
            </w: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620" w:type="dxa"/>
            <w:vAlign w:val="bottom"/>
            <w:gridSpan w:val="4"/>
          </w:tcPr>
          <w:p>
            <w:pPr>
              <w:spacing w:after="0" w:line="192" w:lineRule="exact"/>
              <w:rPr>
                <w:sz w:val="20"/>
                <w:szCs w:val="20"/>
                <w:color w:val="auto"/>
              </w:rPr>
            </w:pPr>
            <w:r>
              <w:rPr>
                <w:rFonts w:ascii="Arial" w:cs="Arial" w:eastAsia="Arial" w:hAnsi="Arial"/>
                <w:sz w:val="20"/>
                <w:szCs w:val="20"/>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52"/>
        </w:trPr>
        <w:tc>
          <w:tcPr>
            <w:tcW w:w="8620" w:type="dxa"/>
            <w:vAlign w:val="bottom"/>
            <w:gridSpan w:val="4"/>
          </w:tcPr>
          <w:p>
            <w:pPr>
              <w:spacing w:after="0"/>
              <w:rPr>
                <w:sz w:val="20"/>
                <w:szCs w:val="20"/>
                <w:color w:val="auto"/>
              </w:rPr>
            </w:pPr>
            <w:r>
              <w:rPr>
                <w:rFonts w:ascii="Arial" w:cs="Arial" w:eastAsia="Arial" w:hAnsi="Arial"/>
                <w:sz w:val="20"/>
                <w:szCs w:val="20"/>
                <w:color w:val="auto"/>
              </w:rPr>
              <w:t>SECTION 2.06. Funding of Borrowings.</w:t>
            </w:r>
          </w:p>
        </w:tc>
        <w:tc>
          <w:tcPr>
            <w:tcW w:w="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-2605405</wp:posOffset>
            </wp:positionV>
            <wp:extent cx="6603365" cy="9591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6603365" cy="9591675"/>
                    </a:xfrm>
                    <a:prstGeom prst="rect">
                      <a:avLst/>
                    </a:prstGeom>
                    <a:noFill/>
                  </pic:spPr>
                </pic:pic>
              </a:graphicData>
            </a:graphic>
          </wp:anchor>
        </w:drawing>
      </w:r>
    </w:p>
    <w:p>
      <w:pPr>
        <w:sectPr>
          <w:pgSz w:w="11900" w:h="16838" w:orient="portrait"/>
          <w:cols w:equalWidth="0" w:num="1">
            <w:col w:w="9199"/>
          </w:cols>
          <w:pgMar w:left="1260" w:top="112"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20"/>
                <w:szCs w:val="20"/>
                <w:color w:val="auto"/>
              </w:rPr>
              <w:t>‌SECTION 2.07. Interest Elections.</w:t>
            </w:r>
          </w:p>
        </w:tc>
        <w:tc>
          <w:tcPr>
            <w:tcW w:w="26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2.08. Termination and Reduction of Revolving Commitments; Increase in Revolving Commitments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2.09. Repayment and Amortization of Loans; Evidence of Debt.</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2.10. Prepayment of Loans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2.11. Fees.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2.12. Interest</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2.13. Alternate Rate of Interest.</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36"/>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2.14. Increased Costs.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2.15. Break Funding Payments.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2.16. Taxes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2.17. Payments Generally; Allocation of Proceeds; Sharing of Set-offs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2.18. Mitigation Obligations; Replacement of Lenders.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2.19. Defaulting Lenders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SECTION 2.20. Returned Payments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50"/>
        </w:trPr>
        <w:tc>
          <w:tcPr>
            <w:tcW w:w="8880" w:type="dxa"/>
            <w:vAlign w:val="bottom"/>
            <w:gridSpan w:val="2"/>
          </w:tcPr>
          <w:p>
            <w:pPr>
              <w:spacing w:after="0" w:line="51" w:lineRule="exact"/>
              <w:rPr>
                <w:sz w:val="20"/>
                <w:szCs w:val="20"/>
                <w:color w:val="auto"/>
              </w:rPr>
            </w:pPr>
            <w:r>
              <w:rPr>
                <w:rFonts w:ascii="Arial" w:cs="Arial" w:eastAsia="Arial" w:hAnsi="Arial"/>
                <w:sz w:val="5"/>
                <w:szCs w:val="5"/>
                <w:color w:val="auto"/>
              </w:rPr>
              <w:t>SECTION 2.21. Banking Services and Swap Agreements</w:t>
            </w: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37"/>
        </w:trPr>
        <w:tc>
          <w:tcPr>
            <w:tcW w:w="8880" w:type="dxa"/>
            <w:vAlign w:val="bottom"/>
            <w:gridSpan w:val="2"/>
          </w:tcPr>
          <w:p>
            <w:pPr>
              <w:spacing w:after="0" w:line="37" w:lineRule="exact"/>
              <w:rPr>
                <w:sz w:val="20"/>
                <w:szCs w:val="20"/>
                <w:color w:val="auto"/>
              </w:rPr>
            </w:pPr>
            <w:r>
              <w:rPr>
                <w:rFonts w:ascii="Arial" w:cs="Arial" w:eastAsia="Arial" w:hAnsi="Arial"/>
                <w:sz w:val="4"/>
                <w:szCs w:val="4"/>
                <w:color w:val="auto"/>
              </w:rPr>
              <w:t>ARTICLE III. Representations and Warranties</w:t>
            </w:r>
          </w:p>
        </w:tc>
        <w:tc>
          <w:tcPr>
            <w:tcW w:w="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88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52"/>
        </w:trPr>
        <w:tc>
          <w:tcPr>
            <w:tcW w:w="8880" w:type="dxa"/>
            <w:vAlign w:val="bottom"/>
            <w:gridSpan w:val="2"/>
          </w:tcPr>
          <w:p>
            <w:pPr>
              <w:spacing w:after="0"/>
              <w:rPr>
                <w:sz w:val="20"/>
                <w:szCs w:val="20"/>
                <w:color w:val="auto"/>
              </w:rPr>
            </w:pPr>
            <w:r>
              <w:rPr>
                <w:rFonts w:ascii="Arial" w:cs="Arial" w:eastAsia="Arial" w:hAnsi="Arial"/>
                <w:sz w:val="20"/>
                <w:szCs w:val="20"/>
                <w:color w:val="auto"/>
              </w:rPr>
              <w:t>SECTION 3.01. Existence Qualification and Power</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20"/>
                <w:szCs w:val="20"/>
                <w:color w:val="auto"/>
              </w:rPr>
              <w:t>‌SECTION 3.02. Authorization; No-Contravention</w:t>
            </w:r>
          </w:p>
        </w:tc>
        <w:tc>
          <w:tcPr>
            <w:tcW w:w="200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3.03. Governmental Authorization; Other Consents</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3.04. Binding Effect</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3.05. Financial Statements; No Material Adverse Effect</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3.06. Litigation</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3.07. No Default</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3.08. Ownership of Property; Liens; Investments</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36"/>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3.09. Environmental Compliance</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3.10. Insurance</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3.11. Taxes</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3.12. ERISA Compliance</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3.13. Subsidiaries; Equity Interests; Loan Parties</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3.14. Margin Regulations; Investment Company Act</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3.15. Disclosure</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50"/>
        </w:trPr>
        <w:tc>
          <w:tcPr>
            <w:tcW w:w="7140" w:type="dxa"/>
            <w:vAlign w:val="bottom"/>
            <w:gridSpan w:val="2"/>
          </w:tcPr>
          <w:p>
            <w:pPr>
              <w:spacing w:after="0" w:line="51" w:lineRule="exact"/>
              <w:rPr>
                <w:sz w:val="20"/>
                <w:szCs w:val="20"/>
                <w:color w:val="auto"/>
              </w:rPr>
            </w:pPr>
            <w:r>
              <w:rPr>
                <w:rFonts w:ascii="Arial" w:cs="Arial" w:eastAsia="Arial" w:hAnsi="Arial"/>
                <w:sz w:val="5"/>
                <w:szCs w:val="5"/>
                <w:color w:val="auto"/>
              </w:rPr>
              <w:t>SECTION 3.16. Compliance with Laws</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37"/>
        </w:trPr>
        <w:tc>
          <w:tcPr>
            <w:tcW w:w="7140" w:type="dxa"/>
            <w:vAlign w:val="bottom"/>
            <w:gridSpan w:val="2"/>
          </w:tcPr>
          <w:p>
            <w:pPr>
              <w:spacing w:after="0" w:line="37" w:lineRule="exact"/>
              <w:rPr>
                <w:sz w:val="20"/>
                <w:szCs w:val="20"/>
                <w:color w:val="auto"/>
              </w:rPr>
            </w:pPr>
            <w:r>
              <w:rPr>
                <w:rFonts w:ascii="Arial" w:cs="Arial" w:eastAsia="Arial" w:hAnsi="Arial"/>
                <w:sz w:val="4"/>
                <w:szCs w:val="4"/>
                <w:color w:val="auto"/>
              </w:rPr>
              <w:t>SECTION 3.17. Broadcasting Business</w:t>
            </w: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52"/>
        </w:trPr>
        <w:tc>
          <w:tcPr>
            <w:tcW w:w="7140" w:type="dxa"/>
            <w:vAlign w:val="bottom"/>
            <w:gridSpan w:val="2"/>
          </w:tcPr>
          <w:p>
            <w:pPr>
              <w:spacing w:after="0"/>
              <w:rPr>
                <w:sz w:val="20"/>
                <w:szCs w:val="20"/>
                <w:color w:val="auto"/>
              </w:rPr>
            </w:pPr>
            <w:r>
              <w:rPr>
                <w:rFonts w:ascii="Arial" w:cs="Arial" w:eastAsia="Arial" w:hAnsi="Arial"/>
                <w:sz w:val="20"/>
                <w:szCs w:val="20"/>
                <w:color w:val="auto"/>
              </w:rPr>
              <w:t>SECTION 3.18. Solvency</w:t>
            </w: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20"/>
                <w:szCs w:val="20"/>
                <w:color w:val="auto"/>
              </w:rPr>
              <w:t>‌SECTION 3.19. Casualty, Etc.</w:t>
            </w:r>
          </w:p>
        </w:tc>
        <w:tc>
          <w:tcPr>
            <w:tcW w:w="25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3.20. Common Enterprise</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3.21. Anti-Corruption Laws and Sanctions</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3.22. Operating Entities</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3.23. ETC Disposition</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3.25. EEA Financial Institutions</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3.26. Plan Assets; Prohibited Transactions</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36"/>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ARTICLE IV. Conditions</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4.01. Effective Date</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4.02. Each Credit Event.</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ARTICLE V. Affirmative Covenants</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5.01. Financial Statements.</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5.02. Certificates; Other Information.</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5.03. Notices.</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50"/>
        </w:trPr>
        <w:tc>
          <w:tcPr>
            <w:tcW w:w="6620" w:type="dxa"/>
            <w:vAlign w:val="bottom"/>
            <w:gridSpan w:val="2"/>
          </w:tcPr>
          <w:p>
            <w:pPr>
              <w:spacing w:after="0" w:line="51" w:lineRule="exact"/>
              <w:rPr>
                <w:sz w:val="20"/>
                <w:szCs w:val="20"/>
                <w:color w:val="auto"/>
              </w:rPr>
            </w:pPr>
            <w:r>
              <w:rPr>
                <w:rFonts w:ascii="Arial" w:cs="Arial" w:eastAsia="Arial" w:hAnsi="Arial"/>
                <w:sz w:val="5"/>
                <w:szCs w:val="5"/>
                <w:color w:val="auto"/>
              </w:rPr>
              <w:t>SECTION 5.04. Payment of Obligations.</w:t>
            </w: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37"/>
        </w:trPr>
        <w:tc>
          <w:tcPr>
            <w:tcW w:w="6620" w:type="dxa"/>
            <w:vAlign w:val="bottom"/>
            <w:gridSpan w:val="2"/>
          </w:tcPr>
          <w:p>
            <w:pPr>
              <w:spacing w:after="0" w:line="37" w:lineRule="exact"/>
              <w:rPr>
                <w:sz w:val="20"/>
                <w:szCs w:val="20"/>
                <w:color w:val="auto"/>
              </w:rPr>
            </w:pPr>
            <w:r>
              <w:rPr>
                <w:rFonts w:ascii="Arial" w:cs="Arial" w:eastAsia="Arial" w:hAnsi="Arial"/>
                <w:sz w:val="4"/>
                <w:szCs w:val="4"/>
                <w:color w:val="auto"/>
              </w:rPr>
              <w:t>SECTION 5.05. Preservation of Existence, Etc.</w:t>
            </w:r>
          </w:p>
        </w:tc>
        <w:tc>
          <w:tcPr>
            <w:tcW w:w="2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2520" w:type="dxa"/>
            <w:vAlign w:val="bottom"/>
            <w:vMerge w:val="restart"/>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2"/>
        </w:trPr>
        <w:tc>
          <w:tcPr>
            <w:tcW w:w="6620" w:type="dxa"/>
            <w:vAlign w:val="bottom"/>
            <w:gridSpan w:val="2"/>
          </w:tcPr>
          <w:p>
            <w:pPr>
              <w:spacing w:after="0"/>
              <w:rPr>
                <w:sz w:val="20"/>
                <w:szCs w:val="20"/>
                <w:color w:val="auto"/>
              </w:rPr>
            </w:pPr>
            <w:r>
              <w:rPr>
                <w:rFonts w:ascii="Arial" w:cs="Arial" w:eastAsia="Arial" w:hAnsi="Arial"/>
                <w:sz w:val="20"/>
                <w:szCs w:val="20"/>
                <w:color w:val="auto"/>
              </w:rPr>
              <w:t>SECTION 5.06. Maintenance of Properties</w:t>
            </w: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spacing w:after="0"/>
              <w:rPr>
                <w:sz w:val="20"/>
                <w:szCs w:val="20"/>
                <w:color w:val="auto"/>
              </w:rPr>
            </w:pPr>
            <w:r>
              <w:rPr>
                <w:rFonts w:ascii="Arial" w:cs="Arial" w:eastAsia="Arial" w:hAnsi="Arial"/>
                <w:sz w:val="20"/>
                <w:szCs w:val="20"/>
                <w:color w:val="auto"/>
              </w:rPr>
              <w:t>‌SECTION 5.07. Maintenance of Insurance</w:t>
            </w:r>
          </w:p>
        </w:tc>
        <w:tc>
          <w:tcPr>
            <w:tcW w:w="184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5.08. Compliance with Laws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5.09. Books and Records.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5.10. Inspection Rights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5.11. Use of Proceeds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5.12. Covenant to Guarantee Obligations and Give Security</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5.13. Compliance with Environmental Laws.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6"/>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5.14. Further Assurances.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5.15. Compliance with Terms of Leaseholds.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5.16. Reserved.</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5.17. Material Contracts.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5.18. Treasury Management.</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5.19. Additional Subsidiaries.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ARTICLE VI. Negative Covenants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50"/>
        </w:trPr>
        <w:tc>
          <w:tcPr>
            <w:tcW w:w="7300" w:type="dxa"/>
            <w:vAlign w:val="bottom"/>
            <w:gridSpan w:val="2"/>
          </w:tcPr>
          <w:p>
            <w:pPr>
              <w:spacing w:after="0" w:line="51" w:lineRule="exact"/>
              <w:rPr>
                <w:sz w:val="20"/>
                <w:szCs w:val="20"/>
                <w:color w:val="auto"/>
              </w:rPr>
            </w:pPr>
            <w:r>
              <w:rPr>
                <w:rFonts w:ascii="Arial" w:cs="Arial" w:eastAsia="Arial" w:hAnsi="Arial"/>
                <w:sz w:val="5"/>
                <w:szCs w:val="5"/>
                <w:color w:val="auto"/>
              </w:rPr>
              <w:t>SECTION 6.01. Liens.</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37"/>
        </w:trPr>
        <w:tc>
          <w:tcPr>
            <w:tcW w:w="7300" w:type="dxa"/>
            <w:vAlign w:val="bottom"/>
            <w:gridSpan w:val="2"/>
          </w:tcPr>
          <w:p>
            <w:pPr>
              <w:spacing w:after="0" w:line="37" w:lineRule="exact"/>
              <w:rPr>
                <w:sz w:val="20"/>
                <w:szCs w:val="20"/>
                <w:color w:val="auto"/>
              </w:rPr>
            </w:pPr>
            <w:r>
              <w:rPr>
                <w:rFonts w:ascii="Arial" w:cs="Arial" w:eastAsia="Arial" w:hAnsi="Arial"/>
                <w:sz w:val="4"/>
                <w:szCs w:val="4"/>
                <w:color w:val="auto"/>
              </w:rPr>
              <w:t>SECTION 6.02. Indebtedness.</w:t>
            </w: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840" w:type="dxa"/>
            <w:vAlign w:val="bottom"/>
            <w:vMerge w:val="restart"/>
          </w:tcPr>
          <w:p>
            <w:pPr>
              <w:jc w:val="right"/>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52"/>
        </w:trPr>
        <w:tc>
          <w:tcPr>
            <w:tcW w:w="7300" w:type="dxa"/>
            <w:vAlign w:val="bottom"/>
            <w:gridSpan w:val="2"/>
          </w:tcPr>
          <w:p>
            <w:pPr>
              <w:spacing w:after="0"/>
              <w:rPr>
                <w:sz w:val="20"/>
                <w:szCs w:val="20"/>
                <w:color w:val="auto"/>
              </w:rPr>
            </w:pPr>
            <w:r>
              <w:rPr>
                <w:rFonts w:ascii="Arial" w:cs="Arial" w:eastAsia="Arial" w:hAnsi="Arial"/>
                <w:sz w:val="20"/>
                <w:szCs w:val="20"/>
                <w:color w:val="auto"/>
              </w:rPr>
              <w:t>SECTION 6.03. Investments.</w:t>
            </w:r>
          </w:p>
        </w:tc>
        <w:tc>
          <w:tcPr>
            <w:tcW w:w="1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20"/>
                <w:szCs w:val="20"/>
                <w:color w:val="auto"/>
              </w:rPr>
              <w:t>‌SECTION 6.04. Fundamental Changes.</w:t>
            </w:r>
          </w:p>
        </w:tc>
        <w:tc>
          <w:tcPr>
            <w:tcW w:w="1520" w:type="dxa"/>
            <w:vAlign w:val="bottom"/>
          </w:tcPr>
          <w:p>
            <w:pPr>
              <w:jc w:val="right"/>
              <w:spacing w:after="0"/>
              <w:rPr>
                <w:sz w:val="20"/>
                <w:szCs w:val="20"/>
                <w:color w:val="auto"/>
              </w:rPr>
            </w:pPr>
            <w:r>
              <w:rPr>
                <w:rFonts w:ascii="Arial" w:cs="Arial" w:eastAsia="Arial" w:hAnsi="Arial"/>
                <w:sz w:val="20"/>
                <w:szCs w:val="20"/>
                <w:color w:val="auto"/>
                <w:highlight w:val="white"/>
              </w:rPr>
              <w:t>100</w:t>
            </w: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101</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6.05. Dispositions.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102</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6.06. Restricted Payments.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103</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6.07.Change in Nature of Business.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103</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6.08. Transactions with Affiliates.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103</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6.09. Burdensome Agreements.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103</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6.10. Use of Proceeds.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103</w:t>
            </w:r>
          </w:p>
        </w:tc>
        <w:tc>
          <w:tcPr>
            <w:tcW w:w="0" w:type="dxa"/>
            <w:vAlign w:val="bottom"/>
          </w:tcPr>
          <w:p>
            <w:pPr>
              <w:spacing w:after="0"/>
              <w:rPr>
                <w:sz w:val="1"/>
                <w:szCs w:val="1"/>
                <w:color w:val="auto"/>
              </w:rPr>
            </w:pPr>
          </w:p>
        </w:tc>
      </w:tr>
      <w:tr>
        <w:trPr>
          <w:trHeight w:val="36"/>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6.11. Financial Covenants.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104</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6.12. Amendments of Material Documents.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104</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6.13. Accounting Changes.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104</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6.14. Prepayments, Etc. of Indebtedness.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104</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6.15. Amendment, Etc..</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104</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SECTION 6.16. Local Marketing Agreements and Time Brokerage Agreements.</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105</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SECTION 6.17. Equity Interests</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105</w:t>
            </w:r>
          </w:p>
        </w:tc>
        <w:tc>
          <w:tcPr>
            <w:tcW w:w="0" w:type="dxa"/>
            <w:vAlign w:val="bottom"/>
          </w:tcPr>
          <w:p>
            <w:pPr>
              <w:spacing w:after="0"/>
              <w:rPr>
                <w:sz w:val="1"/>
                <w:szCs w:val="1"/>
                <w:color w:val="auto"/>
              </w:rPr>
            </w:pPr>
          </w:p>
        </w:tc>
      </w:tr>
      <w:tr>
        <w:trPr>
          <w:trHeight w:val="50"/>
        </w:trPr>
        <w:tc>
          <w:tcPr>
            <w:tcW w:w="7620" w:type="dxa"/>
            <w:vAlign w:val="bottom"/>
            <w:gridSpan w:val="2"/>
          </w:tcPr>
          <w:p>
            <w:pPr>
              <w:spacing w:after="0" w:line="51" w:lineRule="exact"/>
              <w:rPr>
                <w:sz w:val="20"/>
                <w:szCs w:val="20"/>
                <w:color w:val="auto"/>
              </w:rPr>
            </w:pPr>
            <w:r>
              <w:rPr>
                <w:rFonts w:ascii="Arial" w:cs="Arial" w:eastAsia="Arial" w:hAnsi="Arial"/>
                <w:sz w:val="5"/>
                <w:szCs w:val="5"/>
                <w:color w:val="auto"/>
              </w:rPr>
              <w:t>ARTICLE VII. Events of Default</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108</w:t>
            </w:r>
          </w:p>
        </w:tc>
        <w:tc>
          <w:tcPr>
            <w:tcW w:w="0" w:type="dxa"/>
            <w:vAlign w:val="bottom"/>
          </w:tcPr>
          <w:p>
            <w:pPr>
              <w:spacing w:after="0"/>
              <w:rPr>
                <w:sz w:val="1"/>
                <w:szCs w:val="1"/>
                <w:color w:val="auto"/>
              </w:rPr>
            </w:pPr>
          </w:p>
        </w:tc>
      </w:tr>
      <w:tr>
        <w:trPr>
          <w:trHeight w:val="37"/>
        </w:trPr>
        <w:tc>
          <w:tcPr>
            <w:tcW w:w="7620" w:type="dxa"/>
            <w:vAlign w:val="bottom"/>
            <w:gridSpan w:val="2"/>
          </w:tcPr>
          <w:p>
            <w:pPr>
              <w:spacing w:after="0" w:line="37" w:lineRule="exact"/>
              <w:rPr>
                <w:sz w:val="20"/>
                <w:szCs w:val="20"/>
                <w:color w:val="auto"/>
              </w:rPr>
            </w:pPr>
            <w:r>
              <w:rPr>
                <w:rFonts w:ascii="Arial" w:cs="Arial" w:eastAsia="Arial" w:hAnsi="Arial"/>
                <w:sz w:val="4"/>
                <w:szCs w:val="4"/>
                <w:color w:val="auto"/>
              </w:rPr>
              <w:t>ARTICLE VIII. The Administrative Agent</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108</w:t>
            </w:r>
          </w:p>
        </w:tc>
        <w:tc>
          <w:tcPr>
            <w:tcW w:w="0" w:type="dxa"/>
            <w:vAlign w:val="bottom"/>
          </w:tcPr>
          <w:p>
            <w:pPr>
              <w:spacing w:after="0"/>
              <w:rPr>
                <w:sz w:val="1"/>
                <w:szCs w:val="1"/>
                <w:color w:val="auto"/>
              </w:rPr>
            </w:pPr>
          </w:p>
        </w:tc>
      </w:tr>
      <w:tr>
        <w:trPr>
          <w:trHeight w:val="252"/>
        </w:trPr>
        <w:tc>
          <w:tcPr>
            <w:tcW w:w="7620" w:type="dxa"/>
            <w:vAlign w:val="bottom"/>
            <w:gridSpan w:val="2"/>
          </w:tcPr>
          <w:p>
            <w:pPr>
              <w:spacing w:after="0"/>
              <w:rPr>
                <w:sz w:val="20"/>
                <w:szCs w:val="20"/>
                <w:color w:val="auto"/>
              </w:rPr>
            </w:pPr>
            <w:r>
              <w:rPr>
                <w:rFonts w:ascii="Arial" w:cs="Arial" w:eastAsia="Arial" w:hAnsi="Arial"/>
                <w:sz w:val="20"/>
                <w:szCs w:val="20"/>
                <w:color w:val="auto"/>
              </w:rPr>
              <w:t>SECTION 8.01. Authorization and Action</w:t>
            </w: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20"/>
                <w:szCs w:val="20"/>
                <w:color w:val="auto"/>
              </w:rPr>
              <w:t>‌SECTION 8.02. Administrative Agent’s Reliance, Indemnification, Etc.</w:t>
            </w:r>
          </w:p>
        </w:tc>
        <w:tc>
          <w:tcPr>
            <w:tcW w:w="1540" w:type="dxa"/>
            <w:vAlign w:val="bottom"/>
          </w:tcPr>
          <w:p>
            <w:pPr>
              <w:jc w:val="right"/>
              <w:spacing w:after="0"/>
              <w:rPr>
                <w:sz w:val="20"/>
                <w:szCs w:val="20"/>
                <w:color w:val="auto"/>
              </w:rPr>
            </w:pPr>
            <w:r>
              <w:rPr>
                <w:rFonts w:ascii="Arial" w:cs="Arial" w:eastAsia="Arial" w:hAnsi="Arial"/>
                <w:sz w:val="20"/>
                <w:szCs w:val="20"/>
                <w:color w:val="auto"/>
                <w:highlight w:val="white"/>
              </w:rPr>
              <w:t>110</w:t>
            </w: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112</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8.03. Posting of Communications</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113</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8.04. The Administrative Agent Individually</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113</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8.05. Successor Administrative Agent</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114</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8.06. Acknowledgements of Lenders and Issuing Banks</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116</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8.07. Collateral Matters</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117</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8.08. Credit Bidding</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118</w:t>
            </w:r>
          </w:p>
        </w:tc>
        <w:tc>
          <w:tcPr>
            <w:tcW w:w="0" w:type="dxa"/>
            <w:vAlign w:val="bottom"/>
          </w:tcPr>
          <w:p>
            <w:pPr>
              <w:spacing w:after="0"/>
              <w:rPr>
                <w:sz w:val="1"/>
                <w:szCs w:val="1"/>
                <w:color w:val="auto"/>
              </w:rPr>
            </w:pPr>
          </w:p>
        </w:tc>
      </w:tr>
      <w:tr>
        <w:trPr>
          <w:trHeight w:val="36"/>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8.09. Certain ERISA Matters</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120</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8.10. Flood Laws</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120</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ARTICLE IX. Miscellaneous</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120</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9.01. Notices</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123</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9.02. Waivers; Amendments.</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125</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9.03. Expenses; Indemnity; Damage Waiver.</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128</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9.04. Successors and Assigns</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132</w:t>
            </w:r>
          </w:p>
        </w:tc>
        <w:tc>
          <w:tcPr>
            <w:tcW w:w="0" w:type="dxa"/>
            <w:vAlign w:val="bottom"/>
          </w:tcPr>
          <w:p>
            <w:pPr>
              <w:spacing w:after="0"/>
              <w:rPr>
                <w:sz w:val="1"/>
                <w:szCs w:val="1"/>
                <w:color w:val="auto"/>
              </w:rPr>
            </w:pPr>
          </w:p>
        </w:tc>
      </w:tr>
      <w:tr>
        <w:trPr>
          <w:trHeight w:val="50"/>
        </w:trPr>
        <w:tc>
          <w:tcPr>
            <w:tcW w:w="7600" w:type="dxa"/>
            <w:vAlign w:val="bottom"/>
            <w:gridSpan w:val="2"/>
          </w:tcPr>
          <w:p>
            <w:pPr>
              <w:spacing w:after="0" w:line="51" w:lineRule="exact"/>
              <w:rPr>
                <w:sz w:val="20"/>
                <w:szCs w:val="20"/>
                <w:color w:val="auto"/>
              </w:rPr>
            </w:pPr>
            <w:r>
              <w:rPr>
                <w:rFonts w:ascii="Arial" w:cs="Arial" w:eastAsia="Arial" w:hAnsi="Arial"/>
                <w:sz w:val="5"/>
                <w:szCs w:val="5"/>
                <w:color w:val="auto"/>
              </w:rPr>
              <w:t>SECTION 9.05. Survival</w:t>
            </w: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132</w:t>
            </w:r>
          </w:p>
        </w:tc>
        <w:tc>
          <w:tcPr>
            <w:tcW w:w="0" w:type="dxa"/>
            <w:vAlign w:val="bottom"/>
          </w:tcPr>
          <w:p>
            <w:pPr>
              <w:spacing w:after="0"/>
              <w:rPr>
                <w:sz w:val="1"/>
                <w:szCs w:val="1"/>
                <w:color w:val="auto"/>
              </w:rPr>
            </w:pPr>
          </w:p>
        </w:tc>
      </w:tr>
      <w:tr>
        <w:trPr>
          <w:trHeight w:val="37"/>
        </w:trPr>
        <w:tc>
          <w:tcPr>
            <w:tcW w:w="7600" w:type="dxa"/>
            <w:vAlign w:val="bottom"/>
            <w:gridSpan w:val="2"/>
          </w:tcPr>
          <w:p>
            <w:pPr>
              <w:spacing w:after="0" w:line="37" w:lineRule="exact"/>
              <w:rPr>
                <w:sz w:val="20"/>
                <w:szCs w:val="20"/>
                <w:color w:val="auto"/>
              </w:rPr>
            </w:pPr>
            <w:r>
              <w:rPr>
                <w:rFonts w:ascii="Arial" w:cs="Arial" w:eastAsia="Arial" w:hAnsi="Arial"/>
                <w:sz w:val="4"/>
                <w:szCs w:val="4"/>
                <w:color w:val="auto"/>
              </w:rPr>
              <w:t>SECTION 9.06. Counterparts; Integration; Effectiveness; Electronic Execution.</w:t>
            </w: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133</w:t>
            </w:r>
          </w:p>
        </w:tc>
        <w:tc>
          <w:tcPr>
            <w:tcW w:w="0" w:type="dxa"/>
            <w:vAlign w:val="bottom"/>
          </w:tcPr>
          <w:p>
            <w:pPr>
              <w:spacing w:after="0"/>
              <w:rPr>
                <w:sz w:val="1"/>
                <w:szCs w:val="1"/>
                <w:color w:val="auto"/>
              </w:rPr>
            </w:pPr>
          </w:p>
        </w:tc>
      </w:tr>
      <w:tr>
        <w:trPr>
          <w:trHeight w:val="252"/>
        </w:trPr>
        <w:tc>
          <w:tcPr>
            <w:tcW w:w="7600" w:type="dxa"/>
            <w:vAlign w:val="bottom"/>
            <w:gridSpan w:val="2"/>
          </w:tcPr>
          <w:p>
            <w:pPr>
              <w:spacing w:after="0"/>
              <w:rPr>
                <w:sz w:val="20"/>
                <w:szCs w:val="20"/>
                <w:color w:val="auto"/>
              </w:rPr>
            </w:pPr>
            <w:r>
              <w:rPr>
                <w:rFonts w:ascii="Arial" w:cs="Arial" w:eastAsia="Arial" w:hAnsi="Arial"/>
                <w:sz w:val="20"/>
                <w:szCs w:val="20"/>
                <w:color w:val="auto"/>
              </w:rPr>
              <w:t>SECTION 9.07. Severability</w:t>
            </w: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20"/>
                <w:szCs w:val="20"/>
                <w:color w:val="auto"/>
              </w:rPr>
              <w:t>‌SECTION 9.08. Right of Setoff.</w:t>
            </w:r>
          </w:p>
        </w:tc>
        <w:tc>
          <w:tcPr>
            <w:tcW w:w="1020" w:type="dxa"/>
            <w:vAlign w:val="bottom"/>
          </w:tcPr>
          <w:p>
            <w:pPr>
              <w:jc w:val="right"/>
              <w:spacing w:after="0"/>
              <w:rPr>
                <w:sz w:val="20"/>
                <w:szCs w:val="20"/>
                <w:color w:val="auto"/>
              </w:rPr>
            </w:pPr>
            <w:r>
              <w:rPr>
                <w:rFonts w:ascii="Arial" w:cs="Arial" w:eastAsia="Arial" w:hAnsi="Arial"/>
                <w:sz w:val="20"/>
                <w:szCs w:val="20"/>
                <w:color w:val="auto"/>
                <w:highlight w:val="white"/>
              </w:rPr>
              <w:t>134</w:t>
            </w: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134</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9.09. Governing Law; Jurisdiction; Consent to Service of Process.</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135</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9.10. WAIVER OF JURY TRIAL.</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135</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9.11. Headings.</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135</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9.12. Confidentiality.</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136</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9.13. Several Obligations; Nonreliance; Violation of Law</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136</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9.14. USA PATRIOT Act</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136</w:t>
            </w:r>
          </w:p>
        </w:tc>
        <w:tc>
          <w:tcPr>
            <w:tcW w:w="0" w:type="dxa"/>
            <w:vAlign w:val="bottom"/>
          </w:tcPr>
          <w:p>
            <w:pPr>
              <w:spacing w:after="0"/>
              <w:rPr>
                <w:sz w:val="1"/>
                <w:szCs w:val="1"/>
                <w:color w:val="auto"/>
              </w:rPr>
            </w:pPr>
          </w:p>
        </w:tc>
      </w:tr>
      <w:tr>
        <w:trPr>
          <w:trHeight w:val="36"/>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9.15. Disclosure</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3"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136</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9.16. Appointment for Perfection</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137</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9.17. Interest Rate Limitation</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137</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9.18. No Fiduciary Duty, etc.</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138</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9.19. Marketing Consent</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138</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9.20. FCC Compliance</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138</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SECTION 9.21. Acknowledgement and Consent to Bail-In of Affected Financial Institutions</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138</w:t>
            </w:r>
          </w:p>
        </w:tc>
        <w:tc>
          <w:tcPr>
            <w:tcW w:w="0" w:type="dxa"/>
            <w:vAlign w:val="bottom"/>
          </w:tcPr>
          <w:p>
            <w:pPr>
              <w:spacing w:after="0"/>
              <w:rPr>
                <w:sz w:val="1"/>
                <w:szCs w:val="1"/>
                <w:color w:val="auto"/>
              </w:rPr>
            </w:pPr>
          </w:p>
        </w:tc>
      </w:tr>
      <w:tr>
        <w:trPr>
          <w:trHeight w:val="50"/>
        </w:trPr>
        <w:tc>
          <w:tcPr>
            <w:tcW w:w="8120" w:type="dxa"/>
            <w:vAlign w:val="bottom"/>
            <w:gridSpan w:val="2"/>
          </w:tcPr>
          <w:p>
            <w:pPr>
              <w:spacing w:after="0" w:line="51" w:lineRule="exact"/>
              <w:rPr>
                <w:sz w:val="20"/>
                <w:szCs w:val="20"/>
                <w:color w:val="auto"/>
              </w:rPr>
            </w:pPr>
            <w:r>
              <w:rPr>
                <w:rFonts w:ascii="Arial" w:cs="Arial" w:eastAsia="Arial" w:hAnsi="Arial"/>
                <w:sz w:val="5"/>
                <w:szCs w:val="5"/>
                <w:color w:val="auto"/>
              </w:rPr>
              <w:t>SECTION 9.22. Acknowledgement Regarding Any Supported QFCs</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139</w:t>
            </w:r>
          </w:p>
        </w:tc>
        <w:tc>
          <w:tcPr>
            <w:tcW w:w="0" w:type="dxa"/>
            <w:vAlign w:val="bottom"/>
          </w:tcPr>
          <w:p>
            <w:pPr>
              <w:spacing w:after="0"/>
              <w:rPr>
                <w:sz w:val="1"/>
                <w:szCs w:val="1"/>
                <w:color w:val="auto"/>
              </w:rPr>
            </w:pPr>
          </w:p>
        </w:tc>
      </w:tr>
      <w:tr>
        <w:trPr>
          <w:trHeight w:val="37"/>
        </w:trPr>
        <w:tc>
          <w:tcPr>
            <w:tcW w:w="8120" w:type="dxa"/>
            <w:vAlign w:val="bottom"/>
            <w:gridSpan w:val="2"/>
          </w:tcPr>
          <w:p>
            <w:pPr>
              <w:spacing w:after="0" w:line="37" w:lineRule="exact"/>
              <w:rPr>
                <w:sz w:val="20"/>
                <w:szCs w:val="20"/>
                <w:color w:val="auto"/>
              </w:rPr>
            </w:pPr>
            <w:r>
              <w:rPr>
                <w:rFonts w:ascii="Arial" w:cs="Arial" w:eastAsia="Arial" w:hAnsi="Arial"/>
                <w:sz w:val="4"/>
                <w:szCs w:val="4"/>
                <w:color w:val="auto"/>
              </w:rPr>
              <w:t>ARTICLE X. Loan Guaranty</w:t>
            </w: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gridSpan w:val="2"/>
          </w:tcPr>
          <w:p>
            <w:pPr>
              <w:spacing w:after="0" w:line="192" w:lineRule="exact"/>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139</w:t>
            </w:r>
          </w:p>
        </w:tc>
        <w:tc>
          <w:tcPr>
            <w:tcW w:w="0" w:type="dxa"/>
            <w:vAlign w:val="bottom"/>
          </w:tcPr>
          <w:p>
            <w:pPr>
              <w:spacing w:after="0"/>
              <w:rPr>
                <w:sz w:val="1"/>
                <w:szCs w:val="1"/>
                <w:color w:val="auto"/>
              </w:rPr>
            </w:pPr>
          </w:p>
        </w:tc>
      </w:tr>
      <w:tr>
        <w:trPr>
          <w:trHeight w:val="252"/>
        </w:trPr>
        <w:tc>
          <w:tcPr>
            <w:tcW w:w="8120" w:type="dxa"/>
            <w:vAlign w:val="bottom"/>
            <w:gridSpan w:val="2"/>
          </w:tcPr>
          <w:p>
            <w:pPr>
              <w:spacing w:after="0"/>
              <w:rPr>
                <w:sz w:val="20"/>
                <w:szCs w:val="20"/>
                <w:color w:val="auto"/>
              </w:rPr>
            </w:pPr>
            <w:r>
              <w:rPr>
                <w:rFonts w:ascii="Arial" w:cs="Arial" w:eastAsia="Arial" w:hAnsi="Arial"/>
                <w:sz w:val="20"/>
                <w:szCs w:val="20"/>
                <w:color w:val="auto"/>
              </w:rPr>
              <w:t>SECTION 10.01. Guaranty.</w:t>
            </w: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00" w:type="dxa"/>
            <w:vAlign w:val="bottom"/>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-2905125</wp:posOffset>
            </wp:positionV>
            <wp:extent cx="6603365" cy="106032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6603365" cy="10603230"/>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20"/>
                <w:szCs w:val="20"/>
                <w:color w:val="auto"/>
              </w:rPr>
              <w:t>‌SECTION 10.02. Guaranty of Payment</w:t>
            </w:r>
          </w:p>
        </w:tc>
        <w:tc>
          <w:tcPr>
            <w:tcW w:w="2060" w:type="dxa"/>
            <w:vAlign w:val="bottom"/>
          </w:tcPr>
          <w:p>
            <w:pPr>
              <w:jc w:val="right"/>
              <w:spacing w:after="0"/>
              <w:rPr>
                <w:sz w:val="20"/>
                <w:szCs w:val="20"/>
                <w:color w:val="auto"/>
              </w:rPr>
            </w:pPr>
            <w:r>
              <w:rPr>
                <w:rFonts w:ascii="Arial" w:cs="Arial" w:eastAsia="Arial" w:hAnsi="Arial"/>
                <w:sz w:val="20"/>
                <w:szCs w:val="20"/>
                <w:color w:val="auto"/>
                <w:highlight w:val="white"/>
              </w:rPr>
              <w:t>140</w:t>
            </w: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140</w:t>
            </w:r>
          </w:p>
        </w:tc>
        <w:tc>
          <w:tcPr>
            <w:tcW w:w="0" w:type="dxa"/>
            <w:vAlign w:val="bottom"/>
          </w:tcPr>
          <w:p>
            <w:pPr>
              <w:spacing w:after="0"/>
              <w:rPr>
                <w:sz w:val="1"/>
                <w:szCs w:val="1"/>
                <w:color w:val="auto"/>
              </w:rPr>
            </w:pPr>
          </w:p>
        </w:tc>
      </w:tr>
      <w:tr>
        <w:trPr>
          <w:trHeight w:val="50"/>
        </w:trPr>
        <w:tc>
          <w:tcPr>
            <w:tcW w:w="7080" w:type="dxa"/>
            <w:vAlign w:val="bottom"/>
          </w:tcPr>
          <w:p>
            <w:pPr>
              <w:spacing w:after="0" w:line="51" w:lineRule="exact"/>
              <w:rPr>
                <w:sz w:val="20"/>
                <w:szCs w:val="20"/>
                <w:color w:val="auto"/>
              </w:rPr>
            </w:pPr>
            <w:r>
              <w:rPr>
                <w:rFonts w:ascii="Arial" w:cs="Arial" w:eastAsia="Arial" w:hAnsi="Arial"/>
                <w:sz w:val="5"/>
                <w:szCs w:val="5"/>
                <w:color w:val="auto"/>
              </w:rPr>
              <w:t>SECTION 10.03. No Discharge or Diminishment of Loan Guaranty</w:t>
            </w: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141</w:t>
            </w:r>
          </w:p>
        </w:tc>
        <w:tc>
          <w:tcPr>
            <w:tcW w:w="0" w:type="dxa"/>
            <w:vAlign w:val="bottom"/>
          </w:tcPr>
          <w:p>
            <w:pPr>
              <w:spacing w:after="0"/>
              <w:rPr>
                <w:sz w:val="1"/>
                <w:szCs w:val="1"/>
                <w:color w:val="auto"/>
              </w:rPr>
            </w:pPr>
          </w:p>
        </w:tc>
      </w:tr>
      <w:tr>
        <w:trPr>
          <w:trHeight w:val="37"/>
        </w:trPr>
        <w:tc>
          <w:tcPr>
            <w:tcW w:w="7080" w:type="dxa"/>
            <w:vAlign w:val="bottom"/>
          </w:tcPr>
          <w:p>
            <w:pPr>
              <w:spacing w:after="0" w:line="37" w:lineRule="exact"/>
              <w:rPr>
                <w:sz w:val="20"/>
                <w:szCs w:val="20"/>
                <w:color w:val="auto"/>
              </w:rPr>
            </w:pPr>
            <w:r>
              <w:rPr>
                <w:rFonts w:ascii="Arial" w:cs="Arial" w:eastAsia="Arial" w:hAnsi="Arial"/>
                <w:sz w:val="4"/>
                <w:szCs w:val="4"/>
                <w:color w:val="auto"/>
              </w:rPr>
              <w:t>SECTION 10.04. Defenses Waived.</w:t>
            </w: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141</w:t>
            </w:r>
          </w:p>
        </w:tc>
        <w:tc>
          <w:tcPr>
            <w:tcW w:w="0" w:type="dxa"/>
            <w:vAlign w:val="bottom"/>
          </w:tcPr>
          <w:p>
            <w:pPr>
              <w:spacing w:after="0"/>
              <w:rPr>
                <w:sz w:val="1"/>
                <w:szCs w:val="1"/>
                <w:color w:val="auto"/>
              </w:rPr>
            </w:pPr>
          </w:p>
        </w:tc>
      </w:tr>
      <w:tr>
        <w:trPr>
          <w:trHeight w:val="50"/>
        </w:trPr>
        <w:tc>
          <w:tcPr>
            <w:tcW w:w="7080" w:type="dxa"/>
            <w:vAlign w:val="bottom"/>
          </w:tcPr>
          <w:p>
            <w:pPr>
              <w:spacing w:after="0" w:line="51" w:lineRule="exact"/>
              <w:rPr>
                <w:sz w:val="20"/>
                <w:szCs w:val="20"/>
                <w:color w:val="auto"/>
              </w:rPr>
            </w:pPr>
            <w:r>
              <w:rPr>
                <w:rFonts w:ascii="Arial" w:cs="Arial" w:eastAsia="Arial" w:hAnsi="Arial"/>
                <w:sz w:val="5"/>
                <w:szCs w:val="5"/>
                <w:color w:val="auto"/>
              </w:rPr>
              <w:t>SECTION 10.05. Rights of Subrogation</w:t>
            </w: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141</w:t>
            </w:r>
          </w:p>
        </w:tc>
        <w:tc>
          <w:tcPr>
            <w:tcW w:w="0" w:type="dxa"/>
            <w:vAlign w:val="bottom"/>
          </w:tcPr>
          <w:p>
            <w:pPr>
              <w:spacing w:after="0"/>
              <w:rPr>
                <w:sz w:val="1"/>
                <w:szCs w:val="1"/>
                <w:color w:val="auto"/>
              </w:rPr>
            </w:pPr>
          </w:p>
        </w:tc>
      </w:tr>
      <w:tr>
        <w:trPr>
          <w:trHeight w:val="37"/>
        </w:trPr>
        <w:tc>
          <w:tcPr>
            <w:tcW w:w="7080" w:type="dxa"/>
            <w:vAlign w:val="bottom"/>
          </w:tcPr>
          <w:p>
            <w:pPr>
              <w:spacing w:after="0" w:line="37" w:lineRule="exact"/>
              <w:rPr>
                <w:sz w:val="20"/>
                <w:szCs w:val="20"/>
                <w:color w:val="auto"/>
              </w:rPr>
            </w:pPr>
            <w:r>
              <w:rPr>
                <w:rFonts w:ascii="Arial" w:cs="Arial" w:eastAsia="Arial" w:hAnsi="Arial"/>
                <w:sz w:val="4"/>
                <w:szCs w:val="4"/>
                <w:color w:val="auto"/>
              </w:rPr>
              <w:t>SECTION 10.06. Reinstatement; Stay of Acceleration.</w:t>
            </w: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142</w:t>
            </w:r>
          </w:p>
        </w:tc>
        <w:tc>
          <w:tcPr>
            <w:tcW w:w="0" w:type="dxa"/>
            <w:vAlign w:val="bottom"/>
          </w:tcPr>
          <w:p>
            <w:pPr>
              <w:spacing w:after="0"/>
              <w:rPr>
                <w:sz w:val="1"/>
                <w:szCs w:val="1"/>
                <w:color w:val="auto"/>
              </w:rPr>
            </w:pPr>
          </w:p>
        </w:tc>
      </w:tr>
      <w:tr>
        <w:trPr>
          <w:trHeight w:val="50"/>
        </w:trPr>
        <w:tc>
          <w:tcPr>
            <w:tcW w:w="7080" w:type="dxa"/>
            <w:vAlign w:val="bottom"/>
          </w:tcPr>
          <w:p>
            <w:pPr>
              <w:spacing w:after="0" w:line="51" w:lineRule="exact"/>
              <w:rPr>
                <w:sz w:val="20"/>
                <w:szCs w:val="20"/>
                <w:color w:val="auto"/>
              </w:rPr>
            </w:pPr>
            <w:r>
              <w:rPr>
                <w:rFonts w:ascii="Arial" w:cs="Arial" w:eastAsia="Arial" w:hAnsi="Arial"/>
                <w:sz w:val="5"/>
                <w:szCs w:val="5"/>
                <w:color w:val="auto"/>
              </w:rPr>
              <w:t>SECTION 10.07. Information</w:t>
            </w: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142</w:t>
            </w:r>
          </w:p>
        </w:tc>
        <w:tc>
          <w:tcPr>
            <w:tcW w:w="0" w:type="dxa"/>
            <w:vAlign w:val="bottom"/>
          </w:tcPr>
          <w:p>
            <w:pPr>
              <w:spacing w:after="0"/>
              <w:rPr>
                <w:sz w:val="1"/>
                <w:szCs w:val="1"/>
                <w:color w:val="auto"/>
              </w:rPr>
            </w:pPr>
          </w:p>
        </w:tc>
      </w:tr>
      <w:tr>
        <w:trPr>
          <w:trHeight w:val="37"/>
        </w:trPr>
        <w:tc>
          <w:tcPr>
            <w:tcW w:w="7080" w:type="dxa"/>
            <w:vAlign w:val="bottom"/>
          </w:tcPr>
          <w:p>
            <w:pPr>
              <w:spacing w:after="0" w:line="37" w:lineRule="exact"/>
              <w:rPr>
                <w:sz w:val="20"/>
                <w:szCs w:val="20"/>
                <w:color w:val="auto"/>
              </w:rPr>
            </w:pPr>
            <w:r>
              <w:rPr>
                <w:rFonts w:ascii="Arial" w:cs="Arial" w:eastAsia="Arial" w:hAnsi="Arial"/>
                <w:sz w:val="4"/>
                <w:szCs w:val="4"/>
                <w:color w:val="auto"/>
              </w:rPr>
              <w:t>SECTION 10.08. Termination</w:t>
            </w: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142</w:t>
            </w:r>
          </w:p>
        </w:tc>
        <w:tc>
          <w:tcPr>
            <w:tcW w:w="0" w:type="dxa"/>
            <w:vAlign w:val="bottom"/>
          </w:tcPr>
          <w:p>
            <w:pPr>
              <w:spacing w:after="0"/>
              <w:rPr>
                <w:sz w:val="1"/>
                <w:szCs w:val="1"/>
                <w:color w:val="auto"/>
              </w:rPr>
            </w:pPr>
          </w:p>
        </w:tc>
      </w:tr>
      <w:tr>
        <w:trPr>
          <w:trHeight w:val="36"/>
        </w:trPr>
        <w:tc>
          <w:tcPr>
            <w:tcW w:w="7080" w:type="dxa"/>
            <w:vAlign w:val="bottom"/>
          </w:tcPr>
          <w:p>
            <w:pPr>
              <w:spacing w:after="0" w:line="37" w:lineRule="exact"/>
              <w:rPr>
                <w:sz w:val="20"/>
                <w:szCs w:val="20"/>
                <w:color w:val="auto"/>
              </w:rPr>
            </w:pPr>
            <w:r>
              <w:rPr>
                <w:rFonts w:ascii="Arial" w:cs="Arial" w:eastAsia="Arial" w:hAnsi="Arial"/>
                <w:sz w:val="4"/>
                <w:szCs w:val="4"/>
                <w:color w:val="auto"/>
              </w:rPr>
              <w:t>SECTION 10.09. Taxes.</w:t>
            </w: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tcPr>
          <w:p>
            <w:pPr>
              <w:spacing w:after="0" w:line="193"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142</w:t>
            </w:r>
          </w:p>
        </w:tc>
        <w:tc>
          <w:tcPr>
            <w:tcW w:w="0" w:type="dxa"/>
            <w:vAlign w:val="bottom"/>
          </w:tcPr>
          <w:p>
            <w:pPr>
              <w:spacing w:after="0"/>
              <w:rPr>
                <w:sz w:val="1"/>
                <w:szCs w:val="1"/>
                <w:color w:val="auto"/>
              </w:rPr>
            </w:pPr>
          </w:p>
        </w:tc>
      </w:tr>
      <w:tr>
        <w:trPr>
          <w:trHeight w:val="50"/>
        </w:trPr>
        <w:tc>
          <w:tcPr>
            <w:tcW w:w="7080" w:type="dxa"/>
            <w:vAlign w:val="bottom"/>
          </w:tcPr>
          <w:p>
            <w:pPr>
              <w:spacing w:after="0" w:line="51" w:lineRule="exact"/>
              <w:rPr>
                <w:sz w:val="20"/>
                <w:szCs w:val="20"/>
                <w:color w:val="auto"/>
              </w:rPr>
            </w:pPr>
            <w:r>
              <w:rPr>
                <w:rFonts w:ascii="Arial" w:cs="Arial" w:eastAsia="Arial" w:hAnsi="Arial"/>
                <w:sz w:val="5"/>
                <w:szCs w:val="5"/>
                <w:color w:val="auto"/>
              </w:rPr>
              <w:t>SECTION 10.10. Maximum Liability</w:t>
            </w: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142</w:t>
            </w:r>
          </w:p>
        </w:tc>
        <w:tc>
          <w:tcPr>
            <w:tcW w:w="0" w:type="dxa"/>
            <w:vAlign w:val="bottom"/>
          </w:tcPr>
          <w:p>
            <w:pPr>
              <w:spacing w:after="0"/>
              <w:rPr>
                <w:sz w:val="1"/>
                <w:szCs w:val="1"/>
                <w:color w:val="auto"/>
              </w:rPr>
            </w:pPr>
          </w:p>
        </w:tc>
      </w:tr>
      <w:tr>
        <w:trPr>
          <w:trHeight w:val="37"/>
        </w:trPr>
        <w:tc>
          <w:tcPr>
            <w:tcW w:w="7080" w:type="dxa"/>
            <w:vAlign w:val="bottom"/>
          </w:tcPr>
          <w:p>
            <w:pPr>
              <w:spacing w:after="0" w:line="37" w:lineRule="exact"/>
              <w:rPr>
                <w:sz w:val="20"/>
                <w:szCs w:val="20"/>
                <w:color w:val="auto"/>
              </w:rPr>
            </w:pPr>
            <w:r>
              <w:rPr>
                <w:rFonts w:ascii="Arial" w:cs="Arial" w:eastAsia="Arial" w:hAnsi="Arial"/>
                <w:sz w:val="4"/>
                <w:szCs w:val="4"/>
                <w:color w:val="auto"/>
              </w:rPr>
              <w:t>SECTION 10.11. Contribution</w:t>
            </w:r>
          </w:p>
        </w:tc>
        <w:tc>
          <w:tcPr>
            <w:tcW w:w="2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143</w:t>
            </w:r>
          </w:p>
        </w:tc>
        <w:tc>
          <w:tcPr>
            <w:tcW w:w="0" w:type="dxa"/>
            <w:vAlign w:val="bottom"/>
          </w:tcPr>
          <w:p>
            <w:pPr>
              <w:spacing w:after="0"/>
              <w:rPr>
                <w:sz w:val="1"/>
                <w:szCs w:val="1"/>
                <w:color w:val="auto"/>
              </w:rPr>
            </w:pPr>
          </w:p>
        </w:tc>
      </w:tr>
      <w:tr>
        <w:trPr>
          <w:trHeight w:val="50"/>
        </w:trPr>
        <w:tc>
          <w:tcPr>
            <w:tcW w:w="7080" w:type="dxa"/>
            <w:vAlign w:val="bottom"/>
          </w:tcPr>
          <w:p>
            <w:pPr>
              <w:spacing w:after="0" w:line="51" w:lineRule="exact"/>
              <w:rPr>
                <w:sz w:val="20"/>
                <w:szCs w:val="20"/>
                <w:color w:val="auto"/>
              </w:rPr>
            </w:pPr>
            <w:r>
              <w:rPr>
                <w:rFonts w:ascii="Arial" w:cs="Arial" w:eastAsia="Arial" w:hAnsi="Arial"/>
                <w:sz w:val="5"/>
                <w:szCs w:val="5"/>
                <w:color w:val="auto"/>
              </w:rPr>
              <w:t>SECTION 10.12. Liability Cumulative</w:t>
            </w: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080" w:type="dxa"/>
            <w:vAlign w:val="bottom"/>
          </w:tcPr>
          <w:p>
            <w:pPr>
              <w:spacing w:after="0" w:line="192" w:lineRule="exact"/>
              <w:rPr>
                <w:sz w:val="20"/>
                <w:szCs w:val="20"/>
                <w:color w:val="auto"/>
              </w:rPr>
            </w:pPr>
            <w:r>
              <w:rPr>
                <w:rFonts w:ascii="Arial" w:cs="Arial" w:eastAsia="Arial" w:hAnsi="Arial"/>
                <w:sz w:val="20"/>
                <w:szCs w:val="20"/>
                <w:color w:val="auto"/>
              </w:rPr>
              <w:t>‌</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highlight w:val="white"/>
              </w:rPr>
              <w:t>143</w:t>
            </w:r>
          </w:p>
        </w:tc>
        <w:tc>
          <w:tcPr>
            <w:tcW w:w="0" w:type="dxa"/>
            <w:vAlign w:val="bottom"/>
          </w:tcPr>
          <w:p>
            <w:pPr>
              <w:spacing w:after="0"/>
              <w:rPr>
                <w:sz w:val="1"/>
                <w:szCs w:val="1"/>
                <w:color w:val="auto"/>
              </w:rPr>
            </w:pPr>
          </w:p>
        </w:tc>
      </w:tr>
      <w:tr>
        <w:trPr>
          <w:trHeight w:val="252"/>
        </w:trPr>
        <w:tc>
          <w:tcPr>
            <w:tcW w:w="7080" w:type="dxa"/>
            <w:vAlign w:val="bottom"/>
          </w:tcPr>
          <w:p>
            <w:pPr>
              <w:spacing w:after="0"/>
              <w:rPr>
                <w:sz w:val="20"/>
                <w:szCs w:val="20"/>
                <w:color w:val="auto"/>
              </w:rPr>
            </w:pPr>
            <w:r>
              <w:rPr>
                <w:rFonts w:ascii="Arial" w:cs="Arial" w:eastAsia="Arial" w:hAnsi="Arial"/>
                <w:sz w:val="20"/>
                <w:szCs w:val="20"/>
                <w:color w:val="auto"/>
              </w:rPr>
              <w:t>SECTION 10.13. Keepwell</w:t>
            </w: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-1899285</wp:posOffset>
            </wp:positionV>
            <wp:extent cx="5812155" cy="1791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581215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Commitment Schedule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 3.03 – Governmental Authorizations; Other Consents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 3.05 – Financial Statements; No Material Adverse Effect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 3.08(b) – Liens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Schedule 3.08(c) – Owned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353060</wp:posOffset>
            </wp:positionV>
            <wp:extent cx="529780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297805" cy="26035"/>
                    </a:xfrm>
                    <a:prstGeom prst="rect">
                      <a:avLst/>
                    </a:prstGeom>
                    <a:noFill/>
                  </pic:spPr>
                </pic:pic>
              </a:graphicData>
            </a:graphic>
          </wp:anchor>
        </w:drawing>
      </w:r>
    </w:p>
    <w:p>
      <w:pPr>
        <w:sectPr>
          <w:pgSz w:w="11900" w:h="16838" w:orient="portrait"/>
          <w:cols w:equalWidth="0" w:num="1">
            <w:col w:w="9199"/>
          </w:cols>
          <w:pgMar w:left="1260" w:top="95" w:right="1440" w:bottom="1440" w:gutter="0" w:footer="0" w:header="0"/>
        </w:sectPr>
      </w:pPr>
    </w:p>
    <w:bookmarkStart w:id="100" w:name="page101"/>
    <w:bookmarkEnd w:id="100"/>
    <w:p>
      <w:pPr>
        <w:ind w:left="620"/>
        <w:spacing w:after="0"/>
        <w:rPr>
          <w:sz w:val="20"/>
          <w:szCs w:val="20"/>
          <w:color w:val="auto"/>
        </w:rPr>
      </w:pPr>
      <w:r>
        <w:rPr>
          <w:rFonts w:ascii="Arial" w:cs="Arial" w:eastAsia="Arial" w:hAnsi="Arial"/>
          <w:sz w:val="20"/>
          <w:szCs w:val="20"/>
          <w:color w:val="auto"/>
        </w:rPr>
        <w:t>Schedule 3.08(d)(i) – Leased Properties as Lessee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 3.08(d)(ii) – Leased Properties as Lessor</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 3.08(e) – Investments</w:t>
      </w:r>
    </w:p>
    <w:p>
      <w:pPr>
        <w:spacing w:after="0" w:line="162" w:lineRule="exact"/>
        <w:rPr>
          <w:sz w:val="20"/>
          <w:szCs w:val="20"/>
          <w:color w:val="auto"/>
        </w:rPr>
      </w:pPr>
    </w:p>
    <w:p>
      <w:pPr>
        <w:ind w:left="620" w:right="3699"/>
        <w:spacing w:after="0" w:line="415" w:lineRule="auto"/>
        <w:rPr>
          <w:sz w:val="20"/>
          <w:szCs w:val="20"/>
          <w:color w:val="auto"/>
        </w:rPr>
      </w:pPr>
      <w:r>
        <w:rPr>
          <w:rFonts w:ascii="Arial" w:cs="Arial" w:eastAsia="Arial" w:hAnsi="Arial"/>
          <w:sz w:val="20"/>
          <w:szCs w:val="20"/>
          <w:color w:val="auto"/>
        </w:rPr>
        <w:t>Schedule 3.13 - Subsidiaries; Equity Interests; Loan Parties Schedule 3.17 – Broadcasting Business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 6.02 - Indebtedness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 6.09 – Burdensome Agreements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Schedule 6.16 – Local Marketing Agreements and Time Brokerage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Exhibit A – Assignment and Assumption</w:t>
      </w:r>
    </w:p>
    <w:p>
      <w:pPr>
        <w:spacing w:after="0" w:line="162" w:lineRule="exact"/>
        <w:rPr>
          <w:sz w:val="20"/>
          <w:szCs w:val="20"/>
          <w:color w:val="auto"/>
        </w:rPr>
      </w:pPr>
    </w:p>
    <w:p>
      <w:pPr>
        <w:ind w:left="2560" w:right="79" w:hanging="1943"/>
        <w:spacing w:after="0" w:line="288" w:lineRule="auto"/>
        <w:rPr>
          <w:sz w:val="20"/>
          <w:szCs w:val="20"/>
          <w:color w:val="auto"/>
        </w:rPr>
      </w:pPr>
      <w:r>
        <w:rPr>
          <w:rFonts w:ascii="Arial" w:cs="Arial" w:eastAsia="Arial" w:hAnsi="Arial"/>
          <w:sz w:val="20"/>
          <w:szCs w:val="20"/>
          <w:color w:val="auto"/>
        </w:rPr>
        <w:t>Exhibit B-1 – U.S. Tax Compliance Certificate (For Foreign Lenders That Are Not Partnerships For U.S. Federal Income Tax Purposes)</w:t>
      </w:r>
    </w:p>
    <w:p>
      <w:pPr>
        <w:spacing w:after="0" w:line="96" w:lineRule="exact"/>
        <w:rPr>
          <w:sz w:val="20"/>
          <w:szCs w:val="20"/>
          <w:color w:val="auto"/>
        </w:rPr>
      </w:pPr>
    </w:p>
    <w:p>
      <w:pPr>
        <w:ind w:left="2560" w:right="199" w:hanging="1943"/>
        <w:spacing w:after="0" w:line="288" w:lineRule="auto"/>
        <w:rPr>
          <w:sz w:val="20"/>
          <w:szCs w:val="20"/>
          <w:color w:val="auto"/>
        </w:rPr>
      </w:pPr>
      <w:r>
        <w:rPr>
          <w:rFonts w:ascii="Arial" w:cs="Arial" w:eastAsia="Arial" w:hAnsi="Arial"/>
          <w:sz w:val="20"/>
          <w:szCs w:val="20"/>
          <w:color w:val="auto"/>
        </w:rPr>
        <w:t>Exhibit B-2 – U.S. Tax Compliance Certificate (For Foreign Participants That Are Not Partnerships For U.S. Federal Income Tax Purposes)</w:t>
      </w:r>
    </w:p>
    <w:p>
      <w:pPr>
        <w:spacing w:after="0" w:line="110" w:lineRule="exact"/>
        <w:rPr>
          <w:sz w:val="20"/>
          <w:szCs w:val="20"/>
          <w:color w:val="auto"/>
        </w:rPr>
      </w:pPr>
    </w:p>
    <w:p>
      <w:pPr>
        <w:ind w:left="2560" w:right="139" w:hanging="1943"/>
        <w:spacing w:after="0" w:line="274" w:lineRule="auto"/>
        <w:rPr>
          <w:sz w:val="20"/>
          <w:szCs w:val="20"/>
          <w:color w:val="auto"/>
        </w:rPr>
      </w:pPr>
      <w:r>
        <w:rPr>
          <w:rFonts w:ascii="Arial" w:cs="Arial" w:eastAsia="Arial" w:hAnsi="Arial"/>
          <w:sz w:val="20"/>
          <w:szCs w:val="20"/>
          <w:color w:val="auto"/>
        </w:rPr>
        <w:t>Exhibit B-3 – U.S. Tax Compliance Certificate (For Foreign Participants That Are Partnerships For U.S. Federal Income Tax Purposes)</w:t>
      </w:r>
    </w:p>
    <w:p>
      <w:pPr>
        <w:spacing w:after="0" w:line="123" w:lineRule="exact"/>
        <w:rPr>
          <w:sz w:val="20"/>
          <w:szCs w:val="20"/>
          <w:color w:val="auto"/>
        </w:rPr>
      </w:pPr>
    </w:p>
    <w:p>
      <w:pPr>
        <w:ind w:left="2560" w:right="439" w:hanging="1943"/>
        <w:spacing w:after="0" w:line="288" w:lineRule="auto"/>
        <w:rPr>
          <w:sz w:val="20"/>
          <w:szCs w:val="20"/>
          <w:color w:val="auto"/>
        </w:rPr>
      </w:pPr>
      <w:r>
        <w:rPr>
          <w:rFonts w:ascii="Arial" w:cs="Arial" w:eastAsia="Arial" w:hAnsi="Arial"/>
          <w:sz w:val="20"/>
          <w:szCs w:val="20"/>
          <w:color w:val="auto"/>
        </w:rPr>
        <w:t>Exhibit B-4 – U.S. Tax Compliance Certificate (For Foreign Lenders That Are Partnerships For U.S. Federal Income Tax Purposes)</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Exhibit C – Compliance Certificate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Exhibit D –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2376170</wp:posOffset>
            </wp:positionV>
            <wp:extent cx="529780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5297805"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1597660</wp:posOffset>
            </wp:positionV>
            <wp:extent cx="529780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529780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both"/>
        <w:ind w:left="200" w:right="219" w:firstLine="648"/>
        <w:spacing w:after="0" w:line="270" w:lineRule="auto"/>
        <w:rPr>
          <w:sz w:val="20"/>
          <w:szCs w:val="20"/>
          <w:color w:val="auto"/>
        </w:rPr>
      </w:pPr>
      <w:r>
        <w:rPr>
          <w:rFonts w:ascii="Arial" w:cs="Arial" w:eastAsia="Arial" w:hAnsi="Arial"/>
          <w:sz w:val="20"/>
          <w:szCs w:val="20"/>
          <w:color w:val="auto"/>
        </w:rPr>
        <w:t>CREDIT AGREEMENT dated as of August 18, 2015 (as it may be amended or modified from time to time, this “Agreement”), among SAGA COMMUNICATIONS, INC., as Borrower, the other Loan Parties party hereto, the Lenders party hereto, and JPMORGAN CHASE BANK, N.A., as Administrative Agent.</w:t>
      </w: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parties hereto agree as follows: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Definitions</w:t>
      </w:r>
    </w:p>
    <w:p>
      <w:pPr>
        <w:spacing w:after="0" w:line="200" w:lineRule="exact"/>
        <w:rPr>
          <w:sz w:val="20"/>
          <w:szCs w:val="20"/>
          <w:color w:val="auto"/>
        </w:rPr>
      </w:pPr>
    </w:p>
    <w:p>
      <w:pPr>
        <w:spacing w:after="0" w:line="367" w:lineRule="exact"/>
        <w:rPr>
          <w:sz w:val="20"/>
          <w:szCs w:val="20"/>
          <w:color w:val="auto"/>
        </w:rPr>
      </w:pPr>
    </w:p>
    <w:p>
      <w:pPr>
        <w:ind w:left="200" w:right="339" w:firstLine="1296"/>
        <w:spacing w:after="0" w:line="274"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have the meanings specified below:</w:t>
      </w:r>
    </w:p>
    <w:p>
      <w:pPr>
        <w:spacing w:after="0" w:line="200" w:lineRule="exact"/>
        <w:rPr>
          <w:sz w:val="20"/>
          <w:szCs w:val="20"/>
          <w:color w:val="auto"/>
        </w:rPr>
      </w:pPr>
    </w:p>
    <w:p>
      <w:pPr>
        <w:spacing w:after="0" w:line="314"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whether such Loan, or the Loans comprising such Borrowing, is bearing interest at a rate determined by reference to the Alternate Base Rate.</w:t>
      </w:r>
    </w:p>
    <w:p>
      <w:pPr>
        <w:spacing w:after="0" w:line="200" w:lineRule="exact"/>
        <w:rPr>
          <w:sz w:val="20"/>
          <w:szCs w:val="20"/>
          <w:color w:val="auto"/>
        </w:rPr>
      </w:pPr>
    </w:p>
    <w:p>
      <w:pPr>
        <w:spacing w:after="0" w:line="29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transaction or series of related transactions for the purpose of or resulting, directly or indirectly, in (a) the acquisition of all or substantially all of the assets of any Person, business or division of a Person, (b) the acquisition of in excess of 50% of the Equity Interests of any Person, or otherwise causing any Person to become a Subsidiary or (c) a merger or consolidation or any other combination with another Person.</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EBITDA</w:t>
      </w:r>
      <w:r>
        <w:rPr>
          <w:rFonts w:ascii="Arial" w:cs="Arial" w:eastAsia="Arial" w:hAnsi="Arial"/>
          <w:sz w:val="20"/>
          <w:szCs w:val="20"/>
          <w:color w:val="auto"/>
        </w:rPr>
        <w:t xml:space="preserve">” means for any period, the sum of Consolidated EBITDA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to the extent a Permitted Acquisition has been consummated during such period, the Pro Forma EBITDA attributable to such Permitted Acquisition (but only that portion of Pro Forma EBITDA attributable to the portion of such period that occurred prior to the date of the consummation of such Permitted Acquisition).</w:t>
      </w:r>
    </w:p>
    <w:p>
      <w:pPr>
        <w:spacing w:after="0" w:line="196"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0"/>
          <w:szCs w:val="20"/>
          <w:u w:val="single" w:color="auto"/>
          <w:color w:val="auto"/>
        </w:rPr>
        <w:t>“Adjusted Daily Simple SOFR</w:t>
      </w:r>
      <w:r>
        <w:rPr>
          <w:rFonts w:ascii="Arial" w:cs="Arial" w:eastAsia="Arial" w:hAnsi="Arial"/>
          <w:sz w:val="20"/>
          <w:szCs w:val="20"/>
          <w:color w:val="auto"/>
        </w:rPr>
        <w:t xml:space="preserve">” means an interest rate per annum equal to (a) the Daily Simple SOFR, plus (b) 0.10%,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if the Adjusted Daily Simple SOFR as so determined would be less than the Floor, such rate shall be deemed to be equal to the Floor for the purposes of this Agreement.</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 Rate</w:t>
      </w:r>
      <w:r>
        <w:rPr>
          <w:rFonts w:ascii="Arial" w:cs="Arial" w:eastAsia="Arial" w:hAnsi="Arial"/>
          <w:sz w:val="18"/>
          <w:szCs w:val="18"/>
          <w:color w:val="auto"/>
        </w:rPr>
        <w:t>” means for any Interest Period, an interest rate per annum  equal to</w:t>
      </w:r>
    </w:p>
    <w:p>
      <w:pPr>
        <w:spacing w:after="0" w:line="43" w:lineRule="exact"/>
        <w:rPr>
          <w:sz w:val="20"/>
          <w:szCs w:val="20"/>
          <w:color w:val="auto"/>
        </w:rPr>
      </w:pPr>
    </w:p>
    <w:p>
      <w:pPr>
        <w:jc w:val="both"/>
        <w:ind w:left="200" w:right="239" w:firstLine="9"/>
        <w:spacing w:after="0" w:line="274" w:lineRule="auto"/>
        <w:tabs>
          <w:tab w:leader="none" w:pos="495"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the Term SOFR Rate for such Interest Period, </w:t>
      </w:r>
      <w:r>
        <w:rPr>
          <w:rFonts w:ascii="Arial" w:cs="Arial" w:eastAsia="Arial" w:hAnsi="Arial"/>
          <w:sz w:val="20"/>
          <w:szCs w:val="20"/>
          <w:i w:val="1"/>
          <w:iCs w:val="1"/>
          <w:color w:val="auto"/>
        </w:rPr>
        <w:t>plus</w:t>
      </w:r>
      <w:r>
        <w:rPr>
          <w:rFonts w:ascii="Arial" w:cs="Arial" w:eastAsia="Arial" w:hAnsi="Arial"/>
          <w:sz w:val="20"/>
          <w:szCs w:val="20"/>
          <w:color w:val="auto"/>
        </w:rPr>
        <w:t xml:space="preserve"> (b) 0.10%,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if the Adjusted Term SOFR Rate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03" w:name="page104"/>
    <w:bookmarkEnd w:id="103"/>
    <w:p>
      <w:pPr>
        <w:jc w:val="both"/>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(or any of its designated branch offices or affiliates) in its capacity as administrative agent for the Lenders hereunder.</w:t>
      </w:r>
    </w:p>
    <w:p>
      <w:pPr>
        <w:spacing w:after="0" w:line="200" w:lineRule="exact"/>
        <w:rPr>
          <w:sz w:val="20"/>
          <w:szCs w:val="20"/>
          <w:color w:val="auto"/>
        </w:rPr>
      </w:pPr>
    </w:p>
    <w:p>
      <w:pPr>
        <w:spacing w:after="0" w:line="301" w:lineRule="exact"/>
        <w:rPr>
          <w:sz w:val="20"/>
          <w:szCs w:val="20"/>
          <w:color w:val="auto"/>
        </w:rPr>
      </w:pPr>
    </w:p>
    <w:p>
      <w:pPr>
        <w:jc w:val="both"/>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00" w:lineRule="exact"/>
        <w:rPr>
          <w:sz w:val="20"/>
          <w:szCs w:val="20"/>
          <w:color w:val="auto"/>
        </w:rPr>
      </w:pPr>
    </w:p>
    <w:p>
      <w:pPr>
        <w:spacing w:after="0" w:line="288" w:lineRule="exact"/>
        <w:rPr>
          <w:sz w:val="20"/>
          <w:szCs w:val="20"/>
          <w:color w:val="auto"/>
        </w:rPr>
      </w:pPr>
    </w:p>
    <w:p>
      <w:pPr>
        <w:ind w:left="200" w:right="45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200" w:lineRule="exact"/>
        <w:rPr>
          <w:sz w:val="20"/>
          <w:szCs w:val="20"/>
          <w:color w:val="auto"/>
        </w:rPr>
      </w:pPr>
    </w:p>
    <w:p>
      <w:pPr>
        <w:spacing w:after="0" w:line="29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9.03(d)</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Agency Site</w:t>
      </w:r>
      <w:r>
        <w:rPr>
          <w:rFonts w:ascii="Arial" w:cs="Arial" w:eastAsia="Arial" w:hAnsi="Arial"/>
          <w:sz w:val="20"/>
          <w:szCs w:val="20"/>
          <w:color w:val="auto"/>
        </w:rPr>
        <w:t>” means the Electronic System established by the Administrative Agent to administer this Agreement.</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Exposure</w:t>
      </w:r>
      <w:r>
        <w:rPr>
          <w:rFonts w:ascii="Arial" w:cs="Arial" w:eastAsia="Arial" w:hAnsi="Arial"/>
          <w:sz w:val="19"/>
          <w:szCs w:val="19"/>
          <w:color w:val="auto"/>
        </w:rPr>
        <w:t>” means, at any time, the aggregate Revolving Exposure of all the Lenders at such time (with the Swingline Exposure of each Lender calculated assuming that all of the Lenders have funded their participations in all Swingline Loans outstanding at such time).</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3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 (b) the NYFRB Rate in effect on such day plus ½ of 1%, and (c) the Adjusted Term SOFR Rate for a one-month Interest Period as published two (2)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2.13 (for the avoidance of doubt, only until the Benchmark Replacement has been determined pursuant to Section 2.13(b)), then the Alternate Base Rate shall be the greater of clause (a) and (b) above and shall be determined without reference to clause (c) above. For the avoidance of doubt,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04" w:name="page105"/>
    <w:bookmarkEnd w:id="104"/>
    <w:p>
      <w:pPr>
        <w:jc w:val="both"/>
        <w:ind w:left="280" w:right="300"/>
        <w:spacing w:after="0" w:line="288" w:lineRule="auto"/>
        <w:rPr>
          <w:sz w:val="20"/>
          <w:szCs w:val="20"/>
          <w:color w:val="auto"/>
        </w:rPr>
      </w:pPr>
      <w:r>
        <w:rPr>
          <w:rFonts w:ascii="Arial" w:cs="Arial" w:eastAsia="Arial" w:hAnsi="Arial"/>
          <w:sz w:val="20"/>
          <w:szCs w:val="20"/>
          <w:color w:val="auto"/>
        </w:rPr>
        <w:t>Alternate Base Rate as determined pursuant to the foregoing would be less than 1.00%, such rate shall be deemed to be 1.00% for purposes of this Agreement.</w:t>
      </w:r>
    </w:p>
    <w:p>
      <w:pPr>
        <w:spacing w:after="0" w:line="200" w:lineRule="exact"/>
        <w:rPr>
          <w:sz w:val="20"/>
          <w:szCs w:val="20"/>
          <w:color w:val="auto"/>
        </w:rPr>
      </w:pPr>
    </w:p>
    <w:p>
      <w:pPr>
        <w:spacing w:after="0" w:line="28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Document</w:t>
      </w:r>
      <w:r>
        <w:rPr>
          <w:rFonts w:ascii="Arial" w:cs="Arial" w:eastAsia="Arial" w:hAnsi="Arial"/>
          <w:sz w:val="20"/>
          <w:szCs w:val="20"/>
          <w:color w:val="auto"/>
        </w:rPr>
        <w:t>” has the meaning assigned to it in Section 9.06(b).</w:t>
      </w:r>
    </w:p>
    <w:p>
      <w:pPr>
        <w:spacing w:after="0" w:line="200" w:lineRule="exact"/>
        <w:rPr>
          <w:sz w:val="20"/>
          <w:szCs w:val="20"/>
          <w:color w:val="auto"/>
        </w:rPr>
      </w:pPr>
    </w:p>
    <w:p>
      <w:pPr>
        <w:spacing w:after="0" w:line="205" w:lineRule="exact"/>
        <w:rPr>
          <w:sz w:val="20"/>
          <w:szCs w:val="20"/>
          <w:color w:val="auto"/>
        </w:rPr>
      </w:pPr>
    </w:p>
    <w:p>
      <w:pPr>
        <w:jc w:val="both"/>
        <w:ind w:left="280" w:right="280"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the Borrower or any of its Affiliates from time to time concerning or relating to bribery or corruption.</w:t>
      </w:r>
    </w:p>
    <w:p>
      <w:pPr>
        <w:spacing w:after="0" w:line="200" w:lineRule="exact"/>
        <w:rPr>
          <w:sz w:val="20"/>
          <w:szCs w:val="20"/>
          <w:color w:val="auto"/>
        </w:rPr>
      </w:pPr>
    </w:p>
    <w:p>
      <w:pPr>
        <w:spacing w:after="0" w:line="26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Parties</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8.03(c)</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both"/>
        <w:ind w:left="280" w:right="28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accordance with Section 2.19, so long as any Lender shall be a Defaulting Lender, such Defaulting Lender’s Revolving Commitment shall be disregarded in the calculations above.</w:t>
      </w:r>
    </w:p>
    <w:p>
      <w:pPr>
        <w:spacing w:after="0" w:line="200" w:lineRule="exact"/>
        <w:rPr>
          <w:sz w:val="20"/>
          <w:szCs w:val="20"/>
          <w:color w:val="auto"/>
        </w:rPr>
      </w:pPr>
    </w:p>
    <w:p>
      <w:pPr>
        <w:spacing w:after="0" w:line="311" w:lineRule="exact"/>
        <w:rPr>
          <w:sz w:val="20"/>
          <w:szCs w:val="20"/>
          <w:color w:val="auto"/>
        </w:rPr>
      </w:pPr>
    </w:p>
    <w:p>
      <w:pPr>
        <w:jc w:val="both"/>
        <w:ind w:left="280" w:right="28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Loan, or with respect to the commitment fees payable hereunder, as the case may be, the applicable rate per annum (expressed in basis points) set forth below under the caption “Commitment Fee Rate”, “Applicable Rate - ABR Loans”, or “Applicable Rate – Term Benchmark/RFR Loans and Letters of Credit” or as the case may be, based upon the Consolidated Net Leverage Ratio as of the most recent determination date:</w:t>
      </w: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0" w:type="dxa"/>
            <w:vAlign w:val="bottom"/>
            <w:tcBorders>
              <w:top w:val="single" w:sz="8" w:color="auto"/>
              <w:left w:val="single" w:sz="8" w:color="auto"/>
            </w:tcBorders>
            <w:shd w:val="clear" w:color="auto" w:fill="C0C0C0"/>
          </w:tcPr>
          <w:p>
            <w:pPr>
              <w:spacing w:after="0"/>
              <w:rPr>
                <w:sz w:val="22"/>
                <w:szCs w:val="22"/>
                <w:color w:val="auto"/>
              </w:rPr>
            </w:pPr>
          </w:p>
        </w:tc>
        <w:tc>
          <w:tcPr>
            <w:tcW w:w="1020" w:type="dxa"/>
            <w:vAlign w:val="bottom"/>
            <w:tcBorders>
              <w:top w:val="single" w:sz="8" w:color="auto"/>
              <w:right w:val="single" w:sz="8" w:color="auto"/>
            </w:tcBorders>
            <w:shd w:val="clear" w:color="auto" w:fill="C0C0C0"/>
          </w:tcPr>
          <w:p>
            <w:pPr>
              <w:jc w:val="center"/>
              <w:ind w:right="201"/>
              <w:spacing w:after="0"/>
              <w:rPr>
                <w:sz w:val="20"/>
                <w:szCs w:val="20"/>
                <w:color w:val="auto"/>
              </w:rPr>
            </w:pPr>
            <w:r>
              <w:rPr>
                <w:rFonts w:ascii="Arial" w:cs="Arial" w:eastAsia="Arial" w:hAnsi="Arial"/>
                <w:sz w:val="20"/>
                <w:szCs w:val="20"/>
                <w:color w:val="auto"/>
                <w:w w:val="91"/>
              </w:rPr>
              <w:t>Level</w:t>
            </w:r>
          </w:p>
        </w:tc>
        <w:tc>
          <w:tcPr>
            <w:tcW w:w="19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9"/>
              </w:rPr>
              <w:t>Consolidated Net</w:t>
            </w:r>
          </w:p>
        </w:tc>
        <w:tc>
          <w:tcPr>
            <w:tcW w:w="19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8"/>
              </w:rPr>
              <w:t>Commitment Fee Rate</w:t>
            </w:r>
          </w:p>
        </w:tc>
        <w:tc>
          <w:tcPr>
            <w:tcW w:w="19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92"/>
              </w:rPr>
              <w:t>Applicable Rate – ABR</w:t>
            </w:r>
          </w:p>
        </w:tc>
        <w:tc>
          <w:tcPr>
            <w:tcW w:w="1980" w:type="dxa"/>
            <w:vAlign w:val="bottom"/>
            <w:tcBorders>
              <w:top w:val="single" w:sz="8" w:color="auto"/>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20"/>
                <w:szCs w:val="20"/>
                <w:color w:val="auto"/>
                <w:w w:val="89"/>
              </w:rPr>
              <w:t>Applicable Rate – Term</w:t>
            </w:r>
          </w:p>
        </w:tc>
      </w:tr>
      <w:tr>
        <w:trPr>
          <w:trHeight w:val="253"/>
        </w:trPr>
        <w:tc>
          <w:tcPr>
            <w:tcW w:w="300" w:type="dxa"/>
            <w:vAlign w:val="bottom"/>
            <w:tcBorders>
              <w:left w:val="single" w:sz="8" w:color="auto"/>
            </w:tcBorders>
            <w:shd w:val="clear" w:color="auto" w:fill="C0C0C0"/>
          </w:tcPr>
          <w:p>
            <w:pPr>
              <w:spacing w:after="0"/>
              <w:rPr>
                <w:sz w:val="22"/>
                <w:szCs w:val="22"/>
                <w:color w:val="auto"/>
              </w:rPr>
            </w:pPr>
          </w:p>
        </w:tc>
        <w:tc>
          <w:tcPr>
            <w:tcW w:w="1020" w:type="dxa"/>
            <w:vAlign w:val="bottom"/>
            <w:tcBorders>
              <w:right w:val="single" w:sz="8" w:color="auto"/>
            </w:tcBorders>
            <w:shd w:val="clear" w:color="auto" w:fill="C0C0C0"/>
          </w:tcPr>
          <w:p>
            <w:pPr>
              <w:spacing w:after="0"/>
              <w:rPr>
                <w:sz w:val="22"/>
                <w:szCs w:val="22"/>
                <w:color w:val="auto"/>
              </w:rPr>
            </w:pPr>
          </w:p>
        </w:tc>
        <w:tc>
          <w:tcPr>
            <w:tcW w:w="1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9"/>
              </w:rPr>
              <w:t>Leverage Ratio</w:t>
            </w:r>
          </w:p>
        </w:tc>
        <w:tc>
          <w:tcPr>
            <w:tcW w:w="1980" w:type="dxa"/>
            <w:vAlign w:val="bottom"/>
            <w:tcBorders>
              <w:right w:val="single" w:sz="8" w:color="auto"/>
            </w:tcBorders>
            <w:shd w:val="clear" w:color="auto" w:fill="C0C0C0"/>
          </w:tcPr>
          <w:p>
            <w:pPr>
              <w:spacing w:after="0"/>
              <w:rPr>
                <w:sz w:val="22"/>
                <w:szCs w:val="22"/>
                <w:color w:val="auto"/>
              </w:rPr>
            </w:pPr>
          </w:p>
        </w:tc>
        <w:tc>
          <w:tcPr>
            <w:tcW w:w="19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88"/>
              </w:rPr>
              <w:t>Loans</w:t>
            </w:r>
          </w:p>
        </w:tc>
        <w:tc>
          <w:tcPr>
            <w:tcW w:w="1980" w:type="dxa"/>
            <w:vAlign w:val="bottom"/>
            <w:tcBorders>
              <w:right w:val="single" w:sz="8" w:color="auto"/>
            </w:tcBorders>
            <w:gridSpan w:val="2"/>
            <w:shd w:val="clear" w:color="auto" w:fill="C0C0C0"/>
          </w:tcPr>
          <w:p>
            <w:pPr>
              <w:jc w:val="center"/>
              <w:spacing w:after="0"/>
              <w:rPr>
                <w:sz w:val="20"/>
                <w:szCs w:val="20"/>
                <w:color w:val="auto"/>
              </w:rPr>
            </w:pPr>
            <w:r>
              <w:rPr>
                <w:rFonts w:ascii="Arial" w:cs="Arial" w:eastAsia="Arial" w:hAnsi="Arial"/>
                <w:sz w:val="20"/>
                <w:szCs w:val="20"/>
                <w:color w:val="auto"/>
                <w:w w:val="90"/>
              </w:rPr>
              <w:t>Benchmark/RFR</w:t>
            </w:r>
          </w:p>
        </w:tc>
      </w:tr>
      <w:tr>
        <w:trPr>
          <w:trHeight w:val="392"/>
        </w:trPr>
        <w:tc>
          <w:tcPr>
            <w:tcW w:w="300" w:type="dxa"/>
            <w:vAlign w:val="bottom"/>
            <w:tcBorders>
              <w:left w:val="single" w:sz="8" w:color="auto"/>
            </w:tcBorders>
            <w:shd w:val="clear" w:color="auto" w:fill="C0C0C0"/>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900" w:type="dxa"/>
            <w:vAlign w:val="bottom"/>
            <w:tcBorders>
              <w:right w:val="single" w:sz="8" w:color="auto"/>
            </w:tcBorders>
            <w:shd w:val="clear" w:color="auto" w:fill="C0C0C0"/>
          </w:tcPr>
          <w:p>
            <w:pPr>
              <w:spacing w:after="0"/>
              <w:rPr>
                <w:sz w:val="24"/>
                <w:szCs w:val="24"/>
                <w:color w:val="auto"/>
              </w:rPr>
            </w:pPr>
          </w:p>
        </w:tc>
        <w:tc>
          <w:tcPr>
            <w:tcW w:w="1980" w:type="dxa"/>
            <w:vAlign w:val="bottom"/>
            <w:tcBorders>
              <w:right w:val="single" w:sz="8" w:color="auto"/>
            </w:tcBorders>
            <w:shd w:val="clear" w:color="auto" w:fill="C0C0C0"/>
          </w:tcPr>
          <w:p>
            <w:pPr>
              <w:spacing w:after="0"/>
              <w:rPr>
                <w:sz w:val="24"/>
                <w:szCs w:val="24"/>
                <w:color w:val="auto"/>
              </w:rPr>
            </w:pPr>
          </w:p>
        </w:tc>
        <w:tc>
          <w:tcPr>
            <w:tcW w:w="1980" w:type="dxa"/>
            <w:vAlign w:val="bottom"/>
            <w:tcBorders>
              <w:right w:val="single" w:sz="8" w:color="auto"/>
            </w:tcBorders>
            <w:shd w:val="clear" w:color="auto" w:fill="C0C0C0"/>
          </w:tcPr>
          <w:p>
            <w:pPr>
              <w:spacing w:after="0"/>
              <w:rPr>
                <w:sz w:val="24"/>
                <w:szCs w:val="24"/>
                <w:color w:val="auto"/>
              </w:rPr>
            </w:pPr>
          </w:p>
        </w:tc>
        <w:tc>
          <w:tcPr>
            <w:tcW w:w="1980" w:type="dxa"/>
            <w:vAlign w:val="bottom"/>
            <w:tcBorders>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20"/>
                <w:szCs w:val="20"/>
                <w:color w:val="auto"/>
                <w:w w:val="89"/>
              </w:rPr>
              <w:t>Loans and Letters of</w:t>
            </w:r>
          </w:p>
        </w:tc>
      </w:tr>
      <w:tr>
        <w:trPr>
          <w:trHeight w:val="257"/>
        </w:trPr>
        <w:tc>
          <w:tcPr>
            <w:tcW w:w="300" w:type="dxa"/>
            <w:vAlign w:val="bottom"/>
            <w:tcBorders>
              <w:left w:val="single" w:sz="8" w:color="auto"/>
            </w:tcBorders>
            <w:shd w:val="clear" w:color="auto" w:fill="C0C0C0"/>
          </w:tcPr>
          <w:p>
            <w:pPr>
              <w:spacing w:after="0"/>
              <w:rPr>
                <w:sz w:val="22"/>
                <w:szCs w:val="22"/>
                <w:color w:val="auto"/>
              </w:rPr>
            </w:pPr>
          </w:p>
        </w:tc>
        <w:tc>
          <w:tcPr>
            <w:tcW w:w="1020" w:type="dxa"/>
            <w:vAlign w:val="bottom"/>
            <w:tcBorders>
              <w:right w:val="single" w:sz="8" w:color="auto"/>
            </w:tcBorders>
            <w:shd w:val="clear" w:color="auto" w:fill="C0C0C0"/>
          </w:tcPr>
          <w:p>
            <w:pPr>
              <w:spacing w:after="0"/>
              <w:rPr>
                <w:sz w:val="22"/>
                <w:szCs w:val="22"/>
                <w:color w:val="auto"/>
              </w:rPr>
            </w:pPr>
          </w:p>
        </w:tc>
        <w:tc>
          <w:tcPr>
            <w:tcW w:w="1900" w:type="dxa"/>
            <w:vAlign w:val="bottom"/>
            <w:tcBorders>
              <w:right w:val="single" w:sz="8" w:color="auto"/>
            </w:tcBorders>
            <w:shd w:val="clear" w:color="auto" w:fill="C0C0C0"/>
          </w:tcPr>
          <w:p>
            <w:pPr>
              <w:spacing w:after="0"/>
              <w:rPr>
                <w:sz w:val="22"/>
                <w:szCs w:val="22"/>
                <w:color w:val="auto"/>
              </w:rPr>
            </w:pPr>
          </w:p>
        </w:tc>
        <w:tc>
          <w:tcPr>
            <w:tcW w:w="1980" w:type="dxa"/>
            <w:vAlign w:val="bottom"/>
            <w:tcBorders>
              <w:right w:val="single" w:sz="8" w:color="auto"/>
            </w:tcBorders>
            <w:shd w:val="clear" w:color="auto" w:fill="C0C0C0"/>
          </w:tcPr>
          <w:p>
            <w:pPr>
              <w:spacing w:after="0"/>
              <w:rPr>
                <w:sz w:val="22"/>
                <w:szCs w:val="22"/>
                <w:color w:val="auto"/>
              </w:rPr>
            </w:pPr>
          </w:p>
        </w:tc>
        <w:tc>
          <w:tcPr>
            <w:tcW w:w="1980" w:type="dxa"/>
            <w:vAlign w:val="bottom"/>
            <w:tcBorders>
              <w:right w:val="single" w:sz="8" w:color="auto"/>
            </w:tcBorders>
            <w:shd w:val="clear" w:color="auto" w:fill="C0C0C0"/>
          </w:tcPr>
          <w:p>
            <w:pPr>
              <w:spacing w:after="0"/>
              <w:rPr>
                <w:sz w:val="22"/>
                <w:szCs w:val="22"/>
                <w:color w:val="auto"/>
              </w:rPr>
            </w:pPr>
          </w:p>
        </w:tc>
        <w:tc>
          <w:tcPr>
            <w:tcW w:w="1980" w:type="dxa"/>
            <w:vAlign w:val="bottom"/>
            <w:tcBorders>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20"/>
                <w:szCs w:val="20"/>
                <w:color w:val="auto"/>
                <w:w w:val="89"/>
              </w:rPr>
              <w:t>Credit</w:t>
            </w:r>
          </w:p>
        </w:tc>
      </w:tr>
      <w:tr>
        <w:trPr>
          <w:trHeight w:val="144"/>
        </w:trPr>
        <w:tc>
          <w:tcPr>
            <w:tcW w:w="300" w:type="dxa"/>
            <w:vAlign w:val="bottom"/>
            <w:tcBorders>
              <w:left w:val="single" w:sz="8" w:color="auto"/>
              <w:bottom w:val="single" w:sz="8" w:color="auto"/>
            </w:tcBorders>
            <w:shd w:val="clear" w:color="auto" w:fill="C0C0C0"/>
          </w:tcPr>
          <w:p>
            <w:pPr>
              <w:spacing w:after="0"/>
              <w:rPr>
                <w:sz w:val="12"/>
                <w:szCs w:val="12"/>
                <w:color w:val="auto"/>
              </w:rPr>
            </w:pPr>
          </w:p>
        </w:tc>
        <w:tc>
          <w:tcPr>
            <w:tcW w:w="1020" w:type="dxa"/>
            <w:vAlign w:val="bottom"/>
            <w:tcBorders>
              <w:bottom w:val="single" w:sz="8" w:color="auto"/>
              <w:right w:val="single" w:sz="8" w:color="auto"/>
            </w:tcBorders>
            <w:shd w:val="clear" w:color="auto" w:fill="C0C0C0"/>
          </w:tcPr>
          <w:p>
            <w:pPr>
              <w:spacing w:after="0"/>
              <w:rPr>
                <w:sz w:val="12"/>
                <w:szCs w:val="12"/>
                <w:color w:val="auto"/>
              </w:rPr>
            </w:pPr>
          </w:p>
        </w:tc>
        <w:tc>
          <w:tcPr>
            <w:tcW w:w="1900" w:type="dxa"/>
            <w:vAlign w:val="bottom"/>
            <w:tcBorders>
              <w:bottom w:val="single" w:sz="8" w:color="auto"/>
              <w:right w:val="single" w:sz="8" w:color="auto"/>
            </w:tcBorders>
            <w:shd w:val="clear" w:color="auto" w:fill="C0C0C0"/>
          </w:tcPr>
          <w:p>
            <w:pPr>
              <w:spacing w:after="0"/>
              <w:rPr>
                <w:sz w:val="12"/>
                <w:szCs w:val="12"/>
                <w:color w:val="auto"/>
              </w:rPr>
            </w:pPr>
          </w:p>
        </w:tc>
        <w:tc>
          <w:tcPr>
            <w:tcW w:w="1980" w:type="dxa"/>
            <w:vAlign w:val="bottom"/>
            <w:tcBorders>
              <w:bottom w:val="single" w:sz="8" w:color="auto"/>
              <w:right w:val="single" w:sz="8" w:color="auto"/>
            </w:tcBorders>
            <w:shd w:val="clear" w:color="auto" w:fill="C0C0C0"/>
          </w:tcPr>
          <w:p>
            <w:pPr>
              <w:spacing w:after="0"/>
              <w:rPr>
                <w:sz w:val="12"/>
                <w:szCs w:val="12"/>
                <w:color w:val="auto"/>
              </w:rPr>
            </w:pPr>
          </w:p>
        </w:tc>
        <w:tc>
          <w:tcPr>
            <w:tcW w:w="1980" w:type="dxa"/>
            <w:vAlign w:val="bottom"/>
            <w:tcBorders>
              <w:bottom w:val="single" w:sz="8" w:color="auto"/>
              <w:right w:val="single" w:sz="8" w:color="auto"/>
            </w:tcBorders>
            <w:shd w:val="clear" w:color="auto" w:fill="C0C0C0"/>
          </w:tcPr>
          <w:p>
            <w:pPr>
              <w:spacing w:after="0"/>
              <w:rPr>
                <w:sz w:val="12"/>
                <w:szCs w:val="12"/>
                <w:color w:val="auto"/>
              </w:rPr>
            </w:pPr>
          </w:p>
        </w:tc>
        <w:tc>
          <w:tcPr>
            <w:tcW w:w="1980" w:type="dxa"/>
            <w:vAlign w:val="bottom"/>
            <w:tcBorders>
              <w:bottom w:val="single" w:sz="8" w:color="auto"/>
              <w:right w:val="single" w:sz="8" w:color="auto"/>
            </w:tcBorders>
            <w:gridSpan w:val="2"/>
            <w:shd w:val="clear" w:color="auto" w:fill="C0C0C0"/>
          </w:tcPr>
          <w:p>
            <w:pPr>
              <w:spacing w:after="0"/>
              <w:rPr>
                <w:sz w:val="12"/>
                <w:szCs w:val="12"/>
                <w:color w:val="auto"/>
              </w:rPr>
            </w:pPr>
          </w:p>
        </w:tc>
      </w:tr>
      <w:tr>
        <w:trPr>
          <w:trHeight w:val="244"/>
        </w:trPr>
        <w:tc>
          <w:tcPr>
            <w:tcW w:w="300" w:type="dxa"/>
            <w:vAlign w:val="bottom"/>
            <w:tcBorders>
              <w:lef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01"/>
              <w:spacing w:after="0"/>
              <w:rPr>
                <w:sz w:val="20"/>
                <w:szCs w:val="20"/>
                <w:color w:val="auto"/>
              </w:rPr>
            </w:pPr>
            <w:r>
              <w:rPr>
                <w:rFonts w:ascii="Arial" w:cs="Arial" w:eastAsia="Arial" w:hAnsi="Arial"/>
                <w:sz w:val="20"/>
                <w:szCs w:val="20"/>
                <w:color w:val="auto"/>
              </w:rPr>
              <w:t>I</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&lt; 1.00:1.0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25.0 bps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0.0 bps</w:t>
            </w:r>
          </w:p>
        </w:tc>
        <w:tc>
          <w:tcPr>
            <w:tcW w:w="19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6"/>
              </w:rPr>
              <w:t>100.0 bps</w:t>
            </w:r>
          </w:p>
        </w:tc>
      </w:tr>
      <w:tr>
        <w:trPr>
          <w:trHeight w:val="938"/>
        </w:trPr>
        <w:tc>
          <w:tcPr>
            <w:tcW w:w="30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gridSpan w:val="2"/>
          </w:tcPr>
          <w:p>
            <w:pPr>
              <w:spacing w:after="0"/>
              <w:rPr>
                <w:sz w:val="24"/>
                <w:szCs w:val="24"/>
                <w:color w:val="auto"/>
              </w:rPr>
            </w:pPr>
          </w:p>
        </w:tc>
      </w:tr>
      <w:tr>
        <w:trPr>
          <w:trHeight w:val="244"/>
        </w:trPr>
        <w:tc>
          <w:tcPr>
            <w:tcW w:w="300" w:type="dxa"/>
            <w:vAlign w:val="bottom"/>
            <w:tcBorders>
              <w:lef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01"/>
              <w:spacing w:after="0"/>
              <w:rPr>
                <w:sz w:val="20"/>
                <w:szCs w:val="20"/>
                <w:color w:val="auto"/>
              </w:rPr>
            </w:pPr>
            <w:r>
              <w:rPr>
                <w:rFonts w:ascii="Arial" w:cs="Arial" w:eastAsia="Arial" w:hAnsi="Arial"/>
                <w:sz w:val="20"/>
                <w:szCs w:val="20"/>
                <w:color w:val="auto"/>
              </w:rPr>
              <w:t>II</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 1.00:1.0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25.0 bps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25.0 bps</w:t>
            </w:r>
          </w:p>
        </w:tc>
        <w:tc>
          <w:tcPr>
            <w:tcW w:w="19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86"/>
              </w:rPr>
              <w:t>125.0 bps</w:t>
            </w:r>
          </w:p>
        </w:tc>
      </w:tr>
      <w:tr>
        <w:trPr>
          <w:trHeight w:val="388"/>
        </w:trPr>
        <w:tc>
          <w:tcPr>
            <w:tcW w:w="300" w:type="dxa"/>
            <w:vAlign w:val="bottom"/>
            <w:tcBorders>
              <w:lef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but</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405"/>
        </w:trPr>
        <w:tc>
          <w:tcPr>
            <w:tcW w:w="300" w:type="dxa"/>
            <w:vAlign w:val="bottom"/>
            <w:tcBorders>
              <w:lef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&lt; 1.50:1.0</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550"/>
        </w:trPr>
        <w:tc>
          <w:tcPr>
            <w:tcW w:w="30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r>
      <w:tr>
        <w:trPr>
          <w:trHeight w:val="554"/>
        </w:trPr>
        <w:tc>
          <w:tcPr>
            <w:tcW w:w="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9160"/>
          </w:cols>
          <w:pgMar w:left="1360" w:top="136" w:right="1379"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660" w:type="dxa"/>
            <w:vAlign w:val="bottom"/>
            <w:tcBorders>
              <w:top w:val="single" w:sz="8" w:color="auto"/>
            </w:tcBorders>
          </w:tcPr>
          <w:p>
            <w:pPr>
              <w:ind w:left="50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right w:val="single" w:sz="8" w:color="auto"/>
            </w:tcBorders>
          </w:tcPr>
          <w:p>
            <w:pPr>
              <w:jc w:val="right"/>
              <w:ind w:right="441"/>
              <w:spacing w:after="0"/>
              <w:rPr>
                <w:sz w:val="20"/>
                <w:szCs w:val="20"/>
                <w:color w:val="auto"/>
              </w:rPr>
            </w:pPr>
            <w:r>
              <w:rPr>
                <w:rFonts w:ascii="Arial" w:cs="Arial" w:eastAsia="Arial" w:hAnsi="Arial"/>
                <w:sz w:val="20"/>
                <w:szCs w:val="20"/>
                <w:color w:val="auto"/>
                <w:w w:val="94"/>
              </w:rPr>
              <w:t>1.50:1.0</w:t>
            </w:r>
          </w:p>
        </w:tc>
        <w:tc>
          <w:tcPr>
            <w:tcW w:w="19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25.0 bps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50.0 bps</w:t>
            </w:r>
          </w:p>
        </w:tc>
        <w:tc>
          <w:tcPr>
            <w:tcW w:w="198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20"/>
                <w:szCs w:val="20"/>
                <w:color w:val="auto"/>
              </w:rPr>
              <w:t>150.0 bps</w:t>
            </w:r>
          </w:p>
        </w:tc>
      </w:tr>
      <w:tr>
        <w:trPr>
          <w:trHeight w:val="388"/>
        </w:trPr>
        <w:tc>
          <w:tcPr>
            <w:tcW w:w="13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right w:val="single" w:sz="8" w:color="auto"/>
            </w:tcBorders>
          </w:tcPr>
          <w:p>
            <w:pPr>
              <w:jc w:val="center"/>
              <w:ind w:right="601"/>
              <w:spacing w:after="0"/>
              <w:rPr>
                <w:sz w:val="20"/>
                <w:szCs w:val="20"/>
                <w:color w:val="auto"/>
              </w:rPr>
            </w:pPr>
            <w:r>
              <w:rPr>
                <w:rFonts w:ascii="Arial" w:cs="Arial" w:eastAsia="Arial" w:hAnsi="Arial"/>
                <w:sz w:val="20"/>
                <w:szCs w:val="20"/>
                <w:color w:val="auto"/>
                <w:w w:val="93"/>
              </w:rPr>
              <w:t>but</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500"/>
              <w:spacing w:after="0"/>
              <w:rPr>
                <w:sz w:val="20"/>
                <w:szCs w:val="20"/>
                <w:color w:val="auto"/>
              </w:rPr>
            </w:pPr>
            <w:r>
              <w:rPr>
                <w:rFonts w:ascii="Arial" w:cs="Arial" w:eastAsia="Arial" w:hAnsi="Arial"/>
                <w:sz w:val="20"/>
                <w:szCs w:val="20"/>
                <w:color w:val="auto"/>
              </w:rPr>
              <w:t>&lt;</w:t>
            </w:r>
          </w:p>
        </w:tc>
        <w:tc>
          <w:tcPr>
            <w:tcW w:w="1240" w:type="dxa"/>
            <w:vAlign w:val="bottom"/>
            <w:tcBorders>
              <w:right w:val="single" w:sz="8" w:color="auto"/>
            </w:tcBorders>
          </w:tcPr>
          <w:p>
            <w:pPr>
              <w:jc w:val="right"/>
              <w:ind w:right="441"/>
              <w:spacing w:after="0"/>
              <w:rPr>
                <w:sz w:val="20"/>
                <w:szCs w:val="20"/>
                <w:color w:val="auto"/>
              </w:rPr>
            </w:pPr>
            <w:r>
              <w:rPr>
                <w:rFonts w:ascii="Arial" w:cs="Arial" w:eastAsia="Arial" w:hAnsi="Arial"/>
                <w:sz w:val="20"/>
                <w:szCs w:val="20"/>
                <w:color w:val="auto"/>
                <w:w w:val="94"/>
              </w:rPr>
              <w:t>2.25:1.0</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49"/>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gridSpan w:val="2"/>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44"/>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0"/>
              </w:rPr>
              <w:t>≥ 2.25:1.0</w:t>
            </w:r>
          </w:p>
        </w:tc>
        <w:tc>
          <w:tcPr>
            <w:tcW w:w="198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25.0 bps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75.0 bps</w:t>
            </w:r>
          </w:p>
        </w:tc>
        <w:tc>
          <w:tcPr>
            <w:tcW w:w="198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175.0 bps</w:t>
            </w:r>
          </w:p>
        </w:tc>
      </w:tr>
      <w:tr>
        <w:trPr>
          <w:trHeight w:val="388"/>
        </w:trPr>
        <w:tc>
          <w:tcPr>
            <w:tcW w:w="13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right w:val="single" w:sz="8" w:color="auto"/>
            </w:tcBorders>
          </w:tcPr>
          <w:p>
            <w:pPr>
              <w:jc w:val="center"/>
              <w:ind w:right="601"/>
              <w:spacing w:after="0"/>
              <w:rPr>
                <w:sz w:val="20"/>
                <w:szCs w:val="20"/>
                <w:color w:val="auto"/>
              </w:rPr>
            </w:pPr>
            <w:r>
              <w:rPr>
                <w:rFonts w:ascii="Arial" w:cs="Arial" w:eastAsia="Arial" w:hAnsi="Arial"/>
                <w:sz w:val="20"/>
                <w:szCs w:val="20"/>
                <w:color w:val="auto"/>
                <w:w w:val="93"/>
              </w:rPr>
              <w:t>but</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500"/>
              <w:spacing w:after="0"/>
              <w:rPr>
                <w:sz w:val="20"/>
                <w:szCs w:val="20"/>
                <w:color w:val="auto"/>
              </w:rPr>
            </w:pPr>
            <w:r>
              <w:rPr>
                <w:rFonts w:ascii="Arial" w:cs="Arial" w:eastAsia="Arial" w:hAnsi="Arial"/>
                <w:sz w:val="20"/>
                <w:szCs w:val="20"/>
                <w:color w:val="auto"/>
              </w:rPr>
              <w:t>&lt;</w:t>
            </w:r>
          </w:p>
        </w:tc>
        <w:tc>
          <w:tcPr>
            <w:tcW w:w="1240" w:type="dxa"/>
            <w:vAlign w:val="bottom"/>
            <w:tcBorders>
              <w:right w:val="single" w:sz="8" w:color="auto"/>
            </w:tcBorders>
          </w:tcPr>
          <w:p>
            <w:pPr>
              <w:jc w:val="right"/>
              <w:ind w:right="441"/>
              <w:spacing w:after="0"/>
              <w:rPr>
                <w:sz w:val="20"/>
                <w:szCs w:val="20"/>
                <w:color w:val="auto"/>
              </w:rPr>
            </w:pPr>
            <w:r>
              <w:rPr>
                <w:rFonts w:ascii="Arial" w:cs="Arial" w:eastAsia="Arial" w:hAnsi="Arial"/>
                <w:sz w:val="20"/>
                <w:szCs w:val="20"/>
                <w:color w:val="auto"/>
                <w:w w:val="94"/>
              </w:rPr>
              <w:t>3.00:1.0</w:t>
            </w: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549"/>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44"/>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660" w:type="dxa"/>
            <w:vAlign w:val="bottom"/>
          </w:tcPr>
          <w:p>
            <w:pPr>
              <w:ind w:left="500"/>
              <w:spacing w:after="0"/>
              <w:rPr>
                <w:sz w:val="20"/>
                <w:szCs w:val="20"/>
                <w:color w:val="auto"/>
              </w:rPr>
            </w:pPr>
            <w:r>
              <w:rPr>
                <w:rFonts w:ascii="Arial" w:cs="Arial" w:eastAsia="Arial" w:hAnsi="Arial"/>
                <w:sz w:val="20"/>
                <w:szCs w:val="20"/>
                <w:color w:val="auto"/>
              </w:rPr>
              <w:t>≥</w:t>
            </w:r>
          </w:p>
        </w:tc>
        <w:tc>
          <w:tcPr>
            <w:tcW w:w="1240" w:type="dxa"/>
            <w:vAlign w:val="bottom"/>
            <w:tcBorders>
              <w:right w:val="single" w:sz="8" w:color="auto"/>
            </w:tcBorders>
          </w:tcPr>
          <w:p>
            <w:pPr>
              <w:jc w:val="right"/>
              <w:ind w:right="441"/>
              <w:spacing w:after="0"/>
              <w:rPr>
                <w:sz w:val="20"/>
                <w:szCs w:val="20"/>
                <w:color w:val="auto"/>
              </w:rPr>
            </w:pPr>
            <w:r>
              <w:rPr>
                <w:rFonts w:ascii="Arial" w:cs="Arial" w:eastAsia="Arial" w:hAnsi="Arial"/>
                <w:sz w:val="20"/>
                <w:szCs w:val="20"/>
                <w:color w:val="auto"/>
                <w:w w:val="94"/>
              </w:rPr>
              <w:t>3.00:1.0</w:t>
            </w:r>
          </w:p>
        </w:tc>
        <w:tc>
          <w:tcPr>
            <w:tcW w:w="198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25.0 bps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100.0 bps</w:t>
            </w:r>
          </w:p>
        </w:tc>
        <w:tc>
          <w:tcPr>
            <w:tcW w:w="1980" w:type="dxa"/>
            <w:vAlign w:val="bottom"/>
            <w:tcBorders>
              <w:right w:val="single" w:sz="8" w:color="auto"/>
            </w:tcBorders>
          </w:tcPr>
          <w:p>
            <w:pPr>
              <w:ind w:left="600"/>
              <w:spacing w:after="0"/>
              <w:rPr>
                <w:sz w:val="20"/>
                <w:szCs w:val="20"/>
                <w:color w:val="auto"/>
              </w:rPr>
            </w:pPr>
            <w:r>
              <w:rPr>
                <w:rFonts w:ascii="Arial" w:cs="Arial" w:eastAsia="Arial" w:hAnsi="Arial"/>
                <w:sz w:val="20"/>
                <w:szCs w:val="20"/>
                <w:color w:val="auto"/>
              </w:rPr>
              <w:t>200.0 bps</w:t>
            </w:r>
          </w:p>
        </w:tc>
      </w:tr>
      <w:tr>
        <w:trPr>
          <w:trHeight w:val="546"/>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bl>
    <w:p>
      <w:pPr>
        <w:spacing w:after="0" w:line="388" w:lineRule="exact"/>
        <w:rPr>
          <w:sz w:val="20"/>
          <w:szCs w:val="20"/>
          <w:color w:val="auto"/>
        </w:rPr>
      </w:pPr>
    </w:p>
    <w:p>
      <w:pPr>
        <w:jc w:val="both"/>
        <w:ind w:left="280" w:right="280"/>
        <w:spacing w:after="0" w:line="282" w:lineRule="auto"/>
        <w:rPr>
          <w:sz w:val="20"/>
          <w:szCs w:val="20"/>
          <w:color w:val="auto"/>
        </w:rPr>
      </w:pPr>
      <w:r>
        <w:rPr>
          <w:rFonts w:ascii="Arial" w:cs="Arial" w:eastAsia="Arial" w:hAnsi="Arial"/>
          <w:sz w:val="19"/>
          <w:szCs w:val="19"/>
          <w:color w:val="auto"/>
        </w:rPr>
        <w:t>For purposes of the foregoing, (a) the Applicable Rate shall be determined as of the end of each fiscal quarter of the Company, based upon the Company’s quarterly financial statements for the first three fiscal quarters of each fiscal year and the audited year-end financial statements for the last fiscal quarter delivered pursuant to Section 5.01, commencing with the fiscal quarter ending September 30, 2015, and (b) each change in the Applicable Rate, if any, shall be effective five Business Days after the Administrative Agent is scheduled to receive the applicable financial statements. If the Company fails to deliver the financials to the Administrative Agent at the time required, after giving effect to any applicable cure period, then the Applicable Margin shall be Level V until five days after such financials are so delivered. The Applicable Rate shall be set at Level I at the Third Amendment Effective Date and the Applicable Rate shall be re-determined for the first time following the Third Amendment Effective Date based on the financial statements for the fiscal quarter ending December 31, 2022.</w:t>
      </w:r>
    </w:p>
    <w:p>
      <w:pPr>
        <w:spacing w:after="0" w:line="200" w:lineRule="exact"/>
        <w:rPr>
          <w:sz w:val="20"/>
          <w:szCs w:val="20"/>
          <w:color w:val="auto"/>
        </w:rPr>
      </w:pPr>
    </w:p>
    <w:p>
      <w:pPr>
        <w:spacing w:after="0" w:line="324" w:lineRule="exact"/>
        <w:rPr>
          <w:sz w:val="20"/>
          <w:szCs w:val="20"/>
          <w:color w:val="auto"/>
        </w:rPr>
      </w:pPr>
    </w:p>
    <w:p>
      <w:pPr>
        <w:jc w:val="both"/>
        <w:ind w:left="280" w:right="280"/>
        <w:spacing w:after="0" w:line="285" w:lineRule="auto"/>
        <w:rPr>
          <w:sz w:val="20"/>
          <w:szCs w:val="20"/>
          <w:color w:val="auto"/>
        </w:rPr>
      </w:pPr>
      <w:r>
        <w:rPr>
          <w:rFonts w:ascii="Arial" w:cs="Arial" w:eastAsia="Arial" w:hAnsi="Arial"/>
          <w:sz w:val="19"/>
          <w:szCs w:val="19"/>
          <w:color w:val="auto"/>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spacing w:after="0" w:line="200" w:lineRule="exact"/>
        <w:rPr>
          <w:sz w:val="20"/>
          <w:szCs w:val="20"/>
          <w:color w:val="auto"/>
        </w:rPr>
      </w:pPr>
    </w:p>
    <w:p>
      <w:pPr>
        <w:spacing w:after="0" w:line="30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has the meaning assigned to it in Section 8.03(a).</w:t>
      </w:r>
    </w:p>
    <w:p>
      <w:pPr>
        <w:spacing w:after="0" w:line="200" w:lineRule="exact"/>
        <w:rPr>
          <w:sz w:val="20"/>
          <w:szCs w:val="20"/>
          <w:color w:val="auto"/>
        </w:rPr>
      </w:pPr>
    </w:p>
    <w:p>
      <w:pPr>
        <w:spacing w:after="0" w:line="367" w:lineRule="exact"/>
        <w:rPr>
          <w:sz w:val="20"/>
          <w:szCs w:val="20"/>
          <w:color w:val="auto"/>
        </w:rPr>
      </w:pPr>
    </w:p>
    <w:p>
      <w:pPr>
        <w:jc w:val="both"/>
        <w:ind w:left="280" w:right="2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Escrow Agreement</w:t>
      </w:r>
      <w:r>
        <w:rPr>
          <w:rFonts w:ascii="Arial" w:cs="Arial" w:eastAsia="Arial" w:hAnsi="Arial"/>
          <w:sz w:val="20"/>
          <w:szCs w:val="20"/>
          <w:color w:val="auto"/>
        </w:rPr>
        <w:t>” means the Escrow Agreement dated May 9, 2017 among the ETC Purchaser, the Borrower, and First Business Trust &amp; Investments, a division of First Business Bank, a Wisconsin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330200</wp:posOffset>
            </wp:positionV>
            <wp:extent cx="5452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160"/>
          </w:cols>
          <w:pgMar w:left="1360" w:top="120" w:right="1379" w:bottom="1440" w:gutter="0" w:footer="0" w:header="0"/>
        </w:sectPr>
      </w:pPr>
    </w:p>
    <w:bookmarkStart w:id="106" w:name="page107"/>
    <w:bookmarkEnd w:id="106"/>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the term in Section 9.04(b).</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JPMorgan Chase Bank, N.A., in its capacity as sole bookrunner and sole lead arranger hereunder.</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200" w:lineRule="exact"/>
        <w:rPr>
          <w:sz w:val="20"/>
          <w:szCs w:val="20"/>
          <w:color w:val="auto"/>
        </w:rPr>
      </w:pPr>
    </w:p>
    <w:p>
      <w:pPr>
        <w:spacing w:after="0" w:line="290"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200"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Borrower and its Subsidiaries for the fiscal year ended December 31, 2014, and the related consolidated statements of income or operations, shareholders’ equity and cash flows for such fiscal year of the Borrower and its Subsidiaries, including the notes thereto.</w:t>
      </w:r>
    </w:p>
    <w:p>
      <w:pPr>
        <w:spacing w:after="0" w:line="194" w:lineRule="exact"/>
        <w:rPr>
          <w:sz w:val="20"/>
          <w:szCs w:val="20"/>
          <w:color w:val="auto"/>
        </w:rPr>
      </w:pPr>
    </w:p>
    <w:p>
      <w:pPr>
        <w:jc w:val="both"/>
        <w:ind w:left="200" w:right="219" w:firstLine="648"/>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Auxiliary License</w:t>
      </w:r>
      <w:r>
        <w:rPr>
          <w:rFonts w:ascii="Arial" w:cs="Arial" w:eastAsia="Arial" w:hAnsi="Arial"/>
          <w:sz w:val="18"/>
          <w:szCs w:val="18"/>
          <w:color w:val="auto"/>
        </w:rPr>
        <w:t xml:space="preserve">” means any governmental approval or authorization issued to the Borrower or any Subsidiary by the FCC or acquired or otherwise transferred to the Borrower or any Subsidiary, which is authorized under Title 47 CFR §§74.101 </w:t>
      </w:r>
      <w:r>
        <w:rPr>
          <w:rFonts w:ascii="Arial" w:cs="Arial" w:eastAsia="Arial" w:hAnsi="Arial"/>
          <w:sz w:val="18"/>
          <w:szCs w:val="18"/>
          <w:u w:val="single" w:color="auto"/>
          <w:color w:val="auto"/>
        </w:rPr>
        <w:t>et seq</w:t>
      </w:r>
      <w:r>
        <w:rPr>
          <w:rFonts w:ascii="Arial" w:cs="Arial" w:eastAsia="Arial" w:hAnsi="Arial"/>
          <w:sz w:val="18"/>
          <w:szCs w:val="18"/>
          <w:color w:val="auto"/>
        </w:rPr>
        <w:t>. as secondary services which includes Experimental Broadcast Stations, Remote Pickup Broadcast Stations, Aural Broadcast Auxiliary Stations, Television Broadcast Auxiliary Stations, Low Power TV, TV Translator, and TV Booster Stations, Low Power Auxiliary Stations, Instructional Television Fixed Service, FM Broadcast Translator Stations and FM Broadcast Booster Stations, as such terms are defined in the Communications Act.</w:t>
      </w:r>
    </w:p>
    <w:p>
      <w:pPr>
        <w:spacing w:after="0" w:line="155" w:lineRule="exact"/>
        <w:rPr>
          <w:sz w:val="20"/>
          <w:szCs w:val="20"/>
          <w:color w:val="auto"/>
        </w:rPr>
      </w:pPr>
    </w:p>
    <w:p>
      <w:pPr>
        <w:jc w:val="both"/>
        <w:ind w:left="200" w:right="219"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at any time, an amount equal to (a) the aggregate Revolving Commitments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w:t>
      </w:r>
      <w:r>
        <w:rPr>
          <w:rFonts w:ascii="Arial" w:cs="Arial" w:eastAsia="Arial" w:hAnsi="Arial"/>
          <w:sz w:val="18"/>
          <w:szCs w:val="18"/>
          <w:color w:val="auto"/>
        </w:rPr>
        <w:t>(b) the Aggregate Revolving Exposure (calculated, with respect to any Defaulting Lender, as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had funded its Applicable Percentage of all outstanding Borrowings).</w:t>
      </w:r>
    </w:p>
    <w:p>
      <w:pPr>
        <w:spacing w:after="0" w:line="200" w:lineRule="exact"/>
        <w:rPr>
          <w:sz w:val="20"/>
          <w:szCs w:val="20"/>
          <w:color w:val="auto"/>
        </w:rPr>
      </w:pPr>
    </w:p>
    <w:p>
      <w:pPr>
        <w:spacing w:after="0" w:line="276" w:lineRule="exact"/>
        <w:rPr>
          <w:sz w:val="20"/>
          <w:szCs w:val="20"/>
          <w:color w:val="auto"/>
        </w:rPr>
      </w:pPr>
    </w:p>
    <w:p>
      <w:pPr>
        <w:jc w:val="both"/>
        <w:ind w:left="200" w:right="219"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Revolving Credit Maturity Date and the date of termination of the Revolving Commitments.</w:t>
      </w:r>
    </w:p>
    <w:p>
      <w:pPr>
        <w:spacing w:after="0" w:line="200" w:lineRule="exact"/>
        <w:rPr>
          <w:sz w:val="20"/>
          <w:szCs w:val="20"/>
          <w:color w:val="auto"/>
        </w:rPr>
      </w:pPr>
    </w:p>
    <w:p>
      <w:pPr>
        <w:spacing w:after="0" w:line="253" w:lineRule="exact"/>
        <w:rPr>
          <w:sz w:val="20"/>
          <w:szCs w:val="20"/>
          <w:color w:val="auto"/>
        </w:rPr>
      </w:pPr>
    </w:p>
    <w:p>
      <w:pPr>
        <w:jc w:val="both"/>
        <w:ind w:left="200" w:right="239"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component thereof) or payment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290195</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07" w:name="page108"/>
    <w:bookmarkEnd w:id="107"/>
    <w:p>
      <w:pPr>
        <w:jc w:val="both"/>
        <w:ind w:left="200" w:right="219"/>
        <w:spacing w:after="0" w:line="268" w:lineRule="auto"/>
        <w:rPr>
          <w:sz w:val="20"/>
          <w:szCs w:val="20"/>
          <w:color w:val="auto"/>
        </w:rPr>
      </w:pPr>
      <w:r>
        <w:rPr>
          <w:rFonts w:ascii="Arial" w:cs="Arial" w:eastAsia="Arial" w:hAnsi="Arial"/>
          <w:sz w:val="19"/>
          <w:szCs w:val="19"/>
          <w:color w:val="auto"/>
        </w:rPr>
        <w:t>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2.13.</w:t>
      </w:r>
    </w:p>
    <w:p>
      <w:pPr>
        <w:spacing w:after="0" w:line="199"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20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94"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w:t>
      </w:r>
      <w:r>
        <w:rPr>
          <w:rFonts w:ascii="Arial" w:cs="Arial" w:eastAsia="Arial" w:hAnsi="Arial"/>
          <w:sz w:val="19"/>
          <w:szCs w:val="19"/>
          <w:color w:val="auto"/>
        </w:rPr>
        <w:t>” means each and any of the following bank services provided to any Loan Party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200" w:lineRule="exact"/>
        <w:rPr>
          <w:sz w:val="20"/>
          <w:szCs w:val="20"/>
          <w:color w:val="auto"/>
        </w:rPr>
      </w:pPr>
    </w:p>
    <w:p>
      <w:pPr>
        <w:spacing w:after="0" w:line="295"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Obligations</w:t>
      </w:r>
      <w:r>
        <w:rPr>
          <w:rFonts w:ascii="Arial" w:cs="Arial" w:eastAsia="Arial" w:hAnsi="Arial"/>
          <w:sz w:val="20"/>
          <w:szCs w:val="20"/>
          <w:color w:val="auto"/>
        </w:rPr>
        <w:t>” means any and all obligations of the Loan Parties or its Subsidiaries, whether absolute or contingent and howsoever and whensoever created, arising, evidenced or acquired (including all renewals, extensions and modifications thereof and substitutions therefor) in connection with Banking Services.</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8"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with respect to any (i) RFR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322580</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both"/>
        <w:ind w:left="200" w:right="219"/>
        <w:spacing w:after="0" w:line="261" w:lineRule="auto"/>
        <w:rPr>
          <w:sz w:val="20"/>
          <w:szCs w:val="20"/>
          <w:color w:val="auto"/>
        </w:rPr>
      </w:pPr>
      <w:r>
        <w:rPr>
          <w:rFonts w:ascii="Arial" w:cs="Arial" w:eastAsia="Arial" w:hAnsi="Arial"/>
          <w:sz w:val="20"/>
          <w:szCs w:val="20"/>
          <w:color w:val="auto"/>
        </w:rPr>
        <w:t>Replacement to the extent that such Benchmark Replacement has replaced such prior benchmark rate pursuant to clause (b) of Section 2.13.</w:t>
      </w:r>
    </w:p>
    <w:p>
      <w:pPr>
        <w:spacing w:after="0" w:line="203" w:lineRule="exact"/>
        <w:rPr>
          <w:sz w:val="20"/>
          <w:szCs w:val="20"/>
          <w:color w:val="auto"/>
        </w:rPr>
      </w:pPr>
    </w:p>
    <w:p>
      <w:pPr>
        <w:jc w:val="both"/>
        <w:ind w:left="200" w:right="219" w:firstLine="724"/>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p>
    <w:p>
      <w:pPr>
        <w:spacing w:after="0" w:line="18" w:lineRule="exact"/>
        <w:rPr>
          <w:sz w:val="20"/>
          <w:szCs w:val="20"/>
          <w:color w:val="auto"/>
        </w:rPr>
      </w:pPr>
    </w:p>
    <w:p>
      <w:pPr>
        <w:ind w:left="3440" w:hanging="639"/>
        <w:spacing w:after="0"/>
        <w:tabs>
          <w:tab w:leader="none" w:pos="3440" w:val="left"/>
        </w:tabs>
        <w:numPr>
          <w:ilvl w:val="0"/>
          <w:numId w:val="48"/>
        </w:numPr>
        <w:rPr>
          <w:rFonts w:ascii="Arial" w:cs="Arial" w:eastAsia="Arial" w:hAnsi="Arial"/>
          <w:sz w:val="22"/>
          <w:szCs w:val="22"/>
          <w:color w:val="auto"/>
        </w:rPr>
      </w:pPr>
      <w:r>
        <w:rPr>
          <w:rFonts w:ascii="Arial" w:cs="Arial" w:eastAsia="Arial" w:hAnsi="Arial"/>
          <w:sz w:val="20"/>
          <w:szCs w:val="20"/>
          <w:color w:val="auto"/>
        </w:rPr>
        <w:t>the Adjusted Daily Simple SOFR;</w:t>
      </w:r>
    </w:p>
    <w:p>
      <w:pPr>
        <w:spacing w:after="0" w:line="222" w:lineRule="exact"/>
        <w:rPr>
          <w:rFonts w:ascii="Arial" w:cs="Arial" w:eastAsia="Arial" w:hAnsi="Arial"/>
          <w:sz w:val="22"/>
          <w:szCs w:val="22"/>
          <w:color w:val="auto"/>
        </w:rPr>
      </w:pPr>
    </w:p>
    <w:p>
      <w:pPr>
        <w:jc w:val="both"/>
        <w:ind w:left="1500" w:right="219" w:firstLine="1301"/>
        <w:spacing w:after="0" w:line="277" w:lineRule="auto"/>
        <w:tabs>
          <w:tab w:leader="none" w:pos="3444" w:val="left"/>
        </w:tabs>
        <w:numPr>
          <w:ilvl w:val="0"/>
          <w:numId w:val="48"/>
        </w:numPr>
        <w:rPr>
          <w:rFonts w:ascii="Arial" w:cs="Arial" w:eastAsia="Arial" w:hAnsi="Arial"/>
          <w:sz w:val="19"/>
          <w:szCs w:val="19"/>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9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0" w:lineRule="exact"/>
        <w:rPr>
          <w:sz w:val="20"/>
          <w:szCs w:val="20"/>
          <w:color w:val="auto"/>
        </w:rPr>
      </w:pPr>
    </w:p>
    <w:p>
      <w:pPr>
        <w:spacing w:after="0" w:line="304"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ind w:left="200" w:right="239"/>
        <w:spacing w:after="0" w:line="288" w:lineRule="auto"/>
        <w:rPr>
          <w:sz w:val="20"/>
          <w:szCs w:val="20"/>
          <w:color w:val="auto"/>
        </w:rPr>
      </w:pPr>
      <w:r>
        <w:rPr>
          <w:rFonts w:ascii="Arial" w:cs="Arial" w:eastAsia="Arial" w:hAnsi="Arial"/>
          <w:sz w:val="20"/>
          <w:szCs w:val="20"/>
          <w:color w:val="auto"/>
        </w:rPr>
        <w:t>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88" w:lineRule="exact"/>
        <w:rPr>
          <w:sz w:val="20"/>
          <w:szCs w:val="20"/>
          <w:color w:val="auto"/>
        </w:rPr>
      </w:pPr>
    </w:p>
    <w:p>
      <w:pPr>
        <w:ind w:left="200" w:right="29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with respect to any Benchmark, the earliest to occur of the following events with respect to such then-current Benchmark:</w:t>
      </w:r>
    </w:p>
    <w:p>
      <w:pPr>
        <w:spacing w:after="0" w:line="204" w:lineRule="exact"/>
        <w:rPr>
          <w:sz w:val="20"/>
          <w:szCs w:val="20"/>
          <w:color w:val="auto"/>
        </w:rPr>
      </w:pPr>
    </w:p>
    <w:p>
      <w:pPr>
        <w:jc w:val="both"/>
        <w:ind w:left="200" w:right="219" w:firstLine="657"/>
        <w:spacing w:after="0" w:line="251" w:lineRule="auto"/>
        <w:tabs>
          <w:tab w:leader="none" w:pos="113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14" w:lineRule="exact"/>
        <w:rPr>
          <w:rFonts w:ascii="Arial" w:cs="Arial" w:eastAsia="Arial" w:hAnsi="Arial"/>
          <w:sz w:val="20"/>
          <w:szCs w:val="20"/>
          <w:color w:val="auto"/>
        </w:rPr>
      </w:pPr>
    </w:p>
    <w:p>
      <w:pPr>
        <w:jc w:val="both"/>
        <w:ind w:left="200" w:right="219" w:firstLine="657"/>
        <w:spacing w:after="0" w:line="282"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jc w:val="both"/>
        <w:ind w:left="200" w:right="219" w:firstLine="9"/>
        <w:spacing w:after="0" w:line="248" w:lineRule="auto"/>
        <w:tabs>
          <w:tab w:leader="none" w:pos="51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379" w:lineRule="exact"/>
        <w:rPr>
          <w:sz w:val="20"/>
          <w:szCs w:val="20"/>
          <w:color w:val="auto"/>
        </w:rPr>
      </w:pPr>
    </w:p>
    <w:p>
      <w:pPr>
        <w:ind w:left="200" w:right="57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204"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0"/>
          <w:szCs w:val="20"/>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8" w:lineRule="exact"/>
        <w:rPr>
          <w:sz w:val="20"/>
          <w:szCs w:val="20"/>
          <w:color w:val="auto"/>
        </w:rPr>
      </w:pPr>
    </w:p>
    <w:p>
      <w:pPr>
        <w:jc w:val="both"/>
        <w:ind w:left="200" w:right="219" w:firstLine="657"/>
        <w:spacing w:after="0" w:line="278" w:lineRule="auto"/>
        <w:tabs>
          <w:tab w:leader="none" w:pos="12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4" w:lineRule="exact"/>
        <w:rPr>
          <w:rFonts w:ascii="Arial" w:cs="Arial" w:eastAsia="Arial" w:hAnsi="Arial"/>
          <w:sz w:val="18"/>
          <w:szCs w:val="18"/>
          <w:color w:val="auto"/>
        </w:rPr>
      </w:pPr>
    </w:p>
    <w:p>
      <w:pPr>
        <w:ind w:left="1140" w:hanging="283"/>
        <w:spacing w:after="0"/>
        <w:tabs>
          <w:tab w:leader="none" w:pos="11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0" w:name="page111"/>
    <w:bookmarkEnd w:id="110"/>
    <w:p>
      <w:pPr>
        <w:jc w:val="both"/>
        <w:ind w:left="200" w:right="219"/>
        <w:spacing w:after="0" w:line="257" w:lineRule="auto"/>
        <w:rPr>
          <w:sz w:val="20"/>
          <w:szCs w:val="20"/>
          <w:color w:val="auto"/>
        </w:rPr>
      </w:pPr>
      <w:r>
        <w:rPr>
          <w:rFonts w:ascii="Arial" w:cs="Arial" w:eastAsia="Arial" w:hAnsi="Arial"/>
          <w:sz w:val="20"/>
          <w:szCs w:val="20"/>
          <w:color w:val="auto"/>
        </w:rPr>
        <w:t>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07" w:lineRule="exact"/>
        <w:rPr>
          <w:sz w:val="20"/>
          <w:szCs w:val="20"/>
          <w:color w:val="auto"/>
        </w:rPr>
      </w:pPr>
    </w:p>
    <w:p>
      <w:pPr>
        <w:jc w:val="both"/>
        <w:ind w:left="200" w:right="219" w:firstLine="697"/>
        <w:spacing w:after="0" w:line="251"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374" w:lineRule="exact"/>
        <w:rPr>
          <w:sz w:val="20"/>
          <w:szCs w:val="20"/>
          <w:color w:val="auto"/>
        </w:rPr>
      </w:pPr>
    </w:p>
    <w:p>
      <w:pPr>
        <w:ind w:left="200" w:right="29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spacing w:after="0" w:line="201" w:lineRule="exact"/>
        <w:rPr>
          <w:sz w:val="20"/>
          <w:szCs w:val="20"/>
          <w:color w:val="auto"/>
        </w:rPr>
      </w:pPr>
    </w:p>
    <w:p>
      <w:pPr>
        <w:jc w:val="both"/>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00" w:lineRule="exact"/>
        <w:rPr>
          <w:sz w:val="20"/>
          <w:szCs w:val="20"/>
          <w:color w:val="auto"/>
        </w:rPr>
      </w:pPr>
    </w:p>
    <w:p>
      <w:pPr>
        <w:spacing w:after="0" w:line="307" w:lineRule="exact"/>
        <w:rPr>
          <w:sz w:val="20"/>
          <w:szCs w:val="20"/>
          <w:color w:val="auto"/>
        </w:rPr>
      </w:pPr>
    </w:p>
    <w:p>
      <w:pPr>
        <w:ind w:left="200" w:right="39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352" w:lineRule="exact"/>
        <w:rPr>
          <w:sz w:val="20"/>
          <w:szCs w:val="20"/>
          <w:color w:val="auto"/>
        </w:rPr>
      </w:pPr>
    </w:p>
    <w:p>
      <w:pPr>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Saga Communications, Inc., a Florida corporation (successor by merger with Saga Communications, Inc., a Delaware corporation).</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Loans of the same Type, made, converted or continued on the same date and, in the case of Term Benchmark Loans, as to which a single Interest Period is in effect, and (b) a Swingline Loan.</w:t>
      </w:r>
    </w:p>
    <w:p>
      <w:pPr>
        <w:spacing w:after="0" w:line="200" w:lineRule="exact"/>
        <w:rPr>
          <w:sz w:val="20"/>
          <w:szCs w:val="20"/>
          <w:color w:val="auto"/>
        </w:rPr>
      </w:pPr>
    </w:p>
    <w:p>
      <w:pPr>
        <w:spacing w:after="0" w:line="2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both"/>
        <w:ind w:left="200" w:right="219"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Broadcasting Station</w:t>
      </w:r>
      <w:r>
        <w:rPr>
          <w:rFonts w:ascii="Arial" w:cs="Arial" w:eastAsia="Arial" w:hAnsi="Arial"/>
          <w:sz w:val="18"/>
          <w:szCs w:val="18"/>
          <w:color w:val="auto"/>
        </w:rPr>
        <w:t>” means all related licenses (including FCC Licenses), franchises and permits issued under federal, state or local laws from time to time which authorize a Person to receive or distribute, or both, over the airwaves, audio and/or visual, radio or microwave signals within a geographic area for the purpose of providing commercial television or radio programming, together with all property owned or used in connection therewith, and all interest of such Person to receive revenues therefrom.</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or a Sunday) on which banks are open for business in New York City or Chicago; provided that, in relation to RFR Loans and any interest rate settings, fundings, disbursements, settlements or payments of any such RFR Loan, or any other dealings of such RFR Loan, any such day that is only an U.S. Government Securities Business Day.</w:t>
      </w:r>
    </w:p>
    <w:p>
      <w:pPr>
        <w:spacing w:after="0" w:line="200" w:lineRule="exact"/>
        <w:rPr>
          <w:sz w:val="20"/>
          <w:szCs w:val="20"/>
          <w:color w:val="auto"/>
        </w:rPr>
      </w:pPr>
    </w:p>
    <w:p>
      <w:pPr>
        <w:spacing w:after="0" w:line="304" w:lineRule="exact"/>
        <w:rPr>
          <w:sz w:val="20"/>
          <w:szCs w:val="20"/>
          <w:color w:val="auto"/>
        </w:rPr>
      </w:pPr>
    </w:p>
    <w:p>
      <w:pPr>
        <w:jc w:val="both"/>
        <w:ind w:left="280" w:right="219" w:firstLine="56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 For purposes of this definition,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173" w:lineRule="exact"/>
        <w:rPr>
          <w:sz w:val="20"/>
          <w:szCs w:val="20"/>
          <w:color w:val="auto"/>
        </w:rPr>
      </w:pPr>
    </w:p>
    <w:p>
      <w:pPr>
        <w:jc w:val="both"/>
        <w:ind w:left="280" w:right="239" w:firstLine="56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Leases</w:t>
      </w:r>
      <w:r>
        <w:rPr>
          <w:rFonts w:ascii="Arial" w:cs="Arial" w:eastAsia="Arial" w:hAnsi="Arial"/>
          <w:sz w:val="20"/>
          <w:szCs w:val="20"/>
          <w:color w:val="auto"/>
        </w:rPr>
        <w:t>” means all leases that have been or should be, in accordance with GAAP, recorded as capitalized leases.</w:t>
      </w:r>
    </w:p>
    <w:p>
      <w:pPr>
        <w:spacing w:after="0" w:line="177"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 to the extent owned by the Borrower or any of its Subsidiaries free and clear of all Liens (other than Liens created under the Collateral Documents):</w:t>
      </w:r>
    </w:p>
    <w:p>
      <w:pPr>
        <w:spacing w:after="0" w:line="200" w:lineRule="exact"/>
        <w:rPr>
          <w:sz w:val="20"/>
          <w:szCs w:val="20"/>
          <w:color w:val="auto"/>
        </w:rPr>
      </w:pPr>
    </w:p>
    <w:p>
      <w:pPr>
        <w:spacing w:after="0" w:line="317" w:lineRule="exact"/>
        <w:rPr>
          <w:sz w:val="20"/>
          <w:szCs w:val="20"/>
          <w:color w:val="auto"/>
        </w:rPr>
      </w:pPr>
    </w:p>
    <w:p>
      <w:pPr>
        <w:jc w:val="both"/>
        <w:ind w:left="200" w:right="219" w:firstLine="657"/>
        <w:spacing w:after="0" w:line="270" w:lineRule="auto"/>
        <w:tabs>
          <w:tab w:leader="none" w:pos="1496"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readily marketable obligations issued or directly and fully guaranteed or insured by the United States of America or any agency or instrumentality thereof having maturities of not more than 360 days from the date of acquisition thereof; provided that the full faith and credit of the United States of America is pledged in support thereof;</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left="200" w:right="219" w:firstLine="657"/>
        <w:spacing w:after="0" w:line="266" w:lineRule="auto"/>
        <w:tabs>
          <w:tab w:leader="none" w:pos="1496" w:val="left"/>
        </w:tabs>
        <w:numPr>
          <w:ilvl w:val="0"/>
          <w:numId w:val="52"/>
        </w:numPr>
        <w:rPr>
          <w:rFonts w:ascii="Arial" w:cs="Arial" w:eastAsia="Arial" w:hAnsi="Arial"/>
          <w:sz w:val="20"/>
          <w:szCs w:val="20"/>
          <w:color w:val="auto"/>
        </w:rPr>
      </w:pPr>
      <w:r>
        <w:rPr>
          <w:rFonts w:ascii="Arial" w:cs="Arial" w:eastAsia="Arial" w:hAnsi="Arial"/>
          <w:sz w:val="20"/>
          <w:szCs w:val="20"/>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2" w:name="page113"/>
    <w:bookmarkEnd w:id="112"/>
    <w:p>
      <w:pPr>
        <w:jc w:val="both"/>
        <w:ind w:left="200" w:right="219" w:firstLine="657"/>
        <w:spacing w:after="0" w:line="270" w:lineRule="auto"/>
        <w:tabs>
          <w:tab w:leader="none" w:pos="1496"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left="200" w:right="219" w:firstLine="657"/>
        <w:spacing w:after="0" w:line="286" w:lineRule="auto"/>
        <w:tabs>
          <w:tab w:leader="none" w:pos="1496"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Person that is a controlled foreign corporation under Section 957 of the Code.</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29" w:lineRule="exact"/>
        <w:rPr>
          <w:sz w:val="20"/>
          <w:szCs w:val="20"/>
          <w:color w:val="auto"/>
        </w:rPr>
      </w:pPr>
    </w:p>
    <w:p>
      <w:pPr>
        <w:jc w:val="both"/>
        <w:ind w:left="200" w:right="219" w:firstLine="657"/>
        <w:spacing w:after="0" w:line="299" w:lineRule="auto"/>
        <w:tabs>
          <w:tab w:leader="none" w:pos="15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other than Permitted Holders of 35% or more of the voting power of the combined Class A Common Stock and Class B Common Stock of the Borrower, voting together in the election of the board of directors or equivalent governing body of the Borrower on a fully-diluted basis (and taking into account all such securities that such “person” or “group” has the right to acquire pursuant to any option right); or</w:t>
      </w: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jc w:val="both"/>
        <w:ind w:left="200" w:right="219" w:firstLine="657"/>
        <w:spacing w:after="0" w:line="300" w:lineRule="auto"/>
        <w:tabs>
          <w:tab w:leader="none" w:pos="14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200" w:lineRule="exact"/>
        <w:rPr>
          <w:sz w:val="20"/>
          <w:szCs w:val="20"/>
          <w:color w:val="auto"/>
        </w:rPr>
      </w:pP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u w:val="single" w:color="auto"/>
          <w:color w:val="000000"/>
        </w:rPr>
        <w:t>Change in Law</w:t>
      </w:r>
      <w:r>
        <w:rPr>
          <w:rFonts w:ascii="Arial" w:cs="Arial" w:eastAsia="Arial" w:hAnsi="Arial"/>
          <w:sz w:val="18"/>
          <w:szCs w:val="18"/>
          <w:b w:val="1"/>
          <w:bCs w:val="1"/>
          <w:u w:val="single" w:color="auto"/>
          <w:color w:val="0000FF"/>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means the occurrence after the date of this Agreement (or, with respect to any</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Lender, such later date on which such Lender becomes a party to this Agreement) of any of the following:</w:t>
      </w:r>
    </w:p>
    <w:p>
      <w:pPr>
        <w:spacing w:after="0" w:line="43" w:lineRule="exact"/>
        <w:rPr>
          <w:sz w:val="20"/>
          <w:szCs w:val="20"/>
          <w:color w:val="auto"/>
        </w:rPr>
      </w:pPr>
    </w:p>
    <w:p>
      <w:pPr>
        <w:jc w:val="both"/>
        <w:ind w:left="200" w:right="219" w:firstLine="9"/>
        <w:spacing w:after="0" w:line="318" w:lineRule="auto"/>
        <w:tabs>
          <w:tab w:leader="none" w:pos="4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3" w:name="page114"/>
    <w:bookmarkEnd w:id="113"/>
    <w:p>
      <w:pPr>
        <w:jc w:val="both"/>
        <w:ind w:left="200" w:right="219"/>
        <w:spacing w:after="0" w:line="282" w:lineRule="auto"/>
        <w:rPr>
          <w:sz w:val="20"/>
          <w:szCs w:val="20"/>
          <w:color w:val="auto"/>
        </w:rPr>
      </w:pPr>
      <w:r>
        <w:rPr>
          <w:rFonts w:ascii="Arial" w:cs="Arial" w:eastAsia="Arial" w:hAnsi="Arial"/>
          <w:sz w:val="19"/>
          <w:szCs w:val="19"/>
          <w:color w:val="auto"/>
        </w:rPr>
        <w:t>2.13(b),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200" w:lineRule="exact"/>
        <w:rPr>
          <w:sz w:val="20"/>
          <w:szCs w:val="20"/>
          <w:color w:val="auto"/>
        </w:rPr>
      </w:pPr>
    </w:p>
    <w:p>
      <w:pPr>
        <w:spacing w:after="0" w:line="31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assigned to such term in Section 9.17.</w:t>
      </w:r>
    </w:p>
    <w:p>
      <w:pPr>
        <w:spacing w:after="0" w:line="200" w:lineRule="exact"/>
        <w:rPr>
          <w:sz w:val="20"/>
          <w:szCs w:val="20"/>
          <w:color w:val="auto"/>
        </w:rPr>
      </w:pPr>
    </w:p>
    <w:p>
      <w:pPr>
        <w:spacing w:after="0" w:line="35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Christian</w:t>
      </w:r>
      <w:r>
        <w:rPr>
          <w:rFonts w:ascii="Arial" w:cs="Arial" w:eastAsia="Arial" w:hAnsi="Arial"/>
          <w:sz w:val="20"/>
          <w:szCs w:val="20"/>
          <w:color w:val="auto"/>
        </w:rPr>
        <w:t>” means Edward K. Christian.</w:t>
      </w:r>
    </w:p>
    <w:p>
      <w:pPr>
        <w:spacing w:after="0" w:line="243" w:lineRule="exact"/>
        <w:rPr>
          <w:sz w:val="20"/>
          <w:szCs w:val="20"/>
          <w:color w:val="auto"/>
        </w:rPr>
      </w:pPr>
    </w:p>
    <w:p>
      <w:pPr>
        <w:jc w:val="both"/>
        <w:ind w:left="200" w:right="219"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 any Loan or Borrowing, refers to whether such Loan, or the Loans comprising such Borrowing, are Revolving Loans or Swingline Loans, and (b) any Lender, refers to whether such Lender has a Loan or Revolving Commitment of a particular Class.</w:t>
      </w:r>
    </w:p>
    <w:p>
      <w:pPr>
        <w:spacing w:after="0" w:line="200" w:lineRule="exact"/>
        <w:rPr>
          <w:sz w:val="20"/>
          <w:szCs w:val="20"/>
          <w:color w:val="auto"/>
        </w:rPr>
      </w:pPr>
    </w:p>
    <w:p>
      <w:pPr>
        <w:spacing w:after="0" w:line="279"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A Common Stock</w:t>
      </w:r>
      <w:r>
        <w:rPr>
          <w:rFonts w:ascii="Arial" w:cs="Arial" w:eastAsia="Arial" w:hAnsi="Arial"/>
          <w:sz w:val="20"/>
          <w:szCs w:val="20"/>
          <w:color w:val="auto"/>
        </w:rPr>
        <w:t>” shall have the meaning given such term in the Borrower’s Organization Documents as in effect on the date hereof.</w:t>
      </w:r>
    </w:p>
    <w:p>
      <w:pPr>
        <w:spacing w:after="0" w:line="17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B Common Stock</w:t>
      </w:r>
      <w:r>
        <w:rPr>
          <w:rFonts w:ascii="Arial" w:cs="Arial" w:eastAsia="Arial" w:hAnsi="Arial"/>
          <w:sz w:val="20"/>
          <w:szCs w:val="20"/>
          <w:color w:val="auto"/>
        </w:rPr>
        <w:t>” shall have the meaning given such term in the Borrower’s Organization Documents as in effect on the date hereof.</w:t>
      </w:r>
    </w:p>
    <w:p>
      <w:pPr>
        <w:spacing w:after="0" w:line="150" w:lineRule="exact"/>
        <w:rPr>
          <w:sz w:val="20"/>
          <w:szCs w:val="20"/>
          <w:color w:val="auto"/>
        </w:rPr>
      </w:pPr>
    </w:p>
    <w:p>
      <w:pPr>
        <w:ind w:left="200" w:right="69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 Term SOFR Administrator</w:t>
      </w:r>
      <w:r>
        <w:rPr>
          <w:rFonts w:ascii="Arial" w:cs="Arial" w:eastAsia="Arial" w:hAnsi="Arial"/>
          <w:sz w:val="20"/>
          <w:szCs w:val="20"/>
          <w:color w:val="auto"/>
        </w:rPr>
        <w:t>” means CME Group Benchmark Administration Limited as administrator of the forward-looking term SOFR (or a successor administrator).</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w:t>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has the meaning assigned to such term in the Security Agreement.</w:t>
      </w:r>
    </w:p>
    <w:p>
      <w:pPr>
        <w:spacing w:after="0" w:line="200" w:lineRule="exact"/>
        <w:rPr>
          <w:sz w:val="20"/>
          <w:szCs w:val="20"/>
          <w:color w:val="auto"/>
        </w:rPr>
      </w:pPr>
    </w:p>
    <w:p>
      <w:pPr>
        <w:spacing w:after="0" w:line="390" w:lineRule="exact"/>
        <w:rPr>
          <w:sz w:val="20"/>
          <w:szCs w:val="20"/>
          <w:color w:val="auto"/>
        </w:rPr>
      </w:pPr>
    </w:p>
    <w:p>
      <w:pPr>
        <w:jc w:val="both"/>
        <w:ind w:left="200" w:right="219" w:firstLine="648"/>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the Security Agreement Supplements, the IP Security Agreement, the IP Security Agreement Supplements, and any other agreements, instruments and documents executed in connection with this Agreement that are intended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295910</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4" w:name="page115"/>
    <w:bookmarkEnd w:id="114"/>
    <w:p>
      <w:pPr>
        <w:jc w:val="both"/>
        <w:ind w:left="200" w:right="219"/>
        <w:spacing w:after="0" w:line="285" w:lineRule="auto"/>
        <w:rPr>
          <w:sz w:val="20"/>
          <w:szCs w:val="20"/>
          <w:color w:val="auto"/>
        </w:rPr>
      </w:pPr>
      <w:r>
        <w:rPr>
          <w:rFonts w:ascii="Arial" w:cs="Arial" w:eastAsia="Arial" w:hAnsi="Arial"/>
          <w:sz w:val="19"/>
          <w:szCs w:val="19"/>
          <w:color w:val="auto"/>
        </w:rPr>
        <w:t>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 in each case as amended, supplemented or otherwise modified from time to time.</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00" w:lineRule="exact"/>
        <w:rPr>
          <w:sz w:val="20"/>
          <w:szCs w:val="20"/>
          <w:color w:val="auto"/>
        </w:rPr>
      </w:pPr>
    </w:p>
    <w:p>
      <w:pPr>
        <w:spacing w:after="0" w:line="353" w:lineRule="exact"/>
        <w:rPr>
          <w:sz w:val="20"/>
          <w:szCs w:val="20"/>
          <w:color w:val="auto"/>
        </w:rPr>
      </w:pPr>
    </w:p>
    <w:p>
      <w:pPr>
        <w:ind w:left="200" w:right="89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200" w:lineRule="exact"/>
        <w:rPr>
          <w:sz w:val="20"/>
          <w:szCs w:val="20"/>
          <w:color w:val="auto"/>
        </w:rPr>
      </w:pPr>
    </w:p>
    <w:p>
      <w:pPr>
        <w:spacing w:after="0" w:line="28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assigned to such term in Section 9.01(d).</w:t>
      </w:r>
    </w:p>
    <w:p>
      <w:pPr>
        <w:spacing w:after="0" w:line="202"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 Act</w:t>
      </w:r>
      <w:r>
        <w:rPr>
          <w:rFonts w:ascii="Arial" w:cs="Arial" w:eastAsia="Arial" w:hAnsi="Arial"/>
          <w:sz w:val="20"/>
          <w:szCs w:val="20"/>
          <w:color w:val="auto"/>
        </w:rPr>
        <w:t>” means the Federal Communications Act of 1934, as amended, and the resolutions, regulations, rules, policies and orders promulgated or issued thereunder.</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means a certificate substantially in the form of Exhibit C.</w:t>
      </w:r>
    </w:p>
    <w:p>
      <w:pPr>
        <w:spacing w:after="0" w:line="216" w:lineRule="exact"/>
        <w:rPr>
          <w:sz w:val="20"/>
          <w:szCs w:val="20"/>
          <w:color w:val="auto"/>
        </w:rPr>
      </w:pPr>
    </w:p>
    <w:p>
      <w:pPr>
        <w:jc w:val="both"/>
        <w:ind w:left="200" w:right="219" w:firstLine="711"/>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91"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at any date of determination, an amount equal to Consolidated Net Income of the Borrower and its Subsidiaries on a consolidated basis for the most recently completed Measurement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in calculating such Consolidated Net Income: (i) Consolidated Interest Charges, (ii) the provision for Federal, state, local and foreign income taxes payable, (iii) depreciation and amortization expense, (iv) other non-recurring expenses reducing such Consolidated Net Income which do not represent a cash item in such period or any future period (in each case of or by the Borrower and its Subsidiaries for such Measurement Period), (v) all costs, fees and expenses (including fees of counsel) paid by the Borrower or any of its Subsidiaries in connection with the execution and delivery of this Agreement and the related Loan Documents, not to exceed $500,000 in the aggregate, and (vi) the aggregate amount of any non-cash charges of the Borrower during such period</w:t>
      </w:r>
    </w:p>
    <w:p>
      <w:pPr>
        <w:spacing w:after="0" w:line="2" w:lineRule="exact"/>
        <w:rPr>
          <w:sz w:val="20"/>
          <w:szCs w:val="20"/>
          <w:color w:val="auto"/>
        </w:rPr>
      </w:pPr>
    </w:p>
    <w:p>
      <w:pPr>
        <w:jc w:val="both"/>
        <w:ind w:left="200" w:right="219" w:firstLine="9"/>
        <w:spacing w:after="0" w:line="292" w:lineRule="auto"/>
        <w:tabs>
          <w:tab w:leader="none" w:pos="5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arising from the issuance or vesting of any stock options, restricted stock, restricted stock units and performance awards granted by Borrower to its employees or directors and (2) arising from any impairment charges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 included in calculating such Consolidated Net Income:</w:t>
      </w:r>
    </w:p>
    <w:p>
      <w:pPr>
        <w:jc w:val="both"/>
        <w:ind w:left="200" w:right="219"/>
        <w:spacing w:after="0" w:line="306" w:lineRule="auto"/>
        <w:rPr>
          <w:rFonts w:ascii="Arial" w:cs="Arial" w:eastAsia="Arial" w:hAnsi="Arial"/>
          <w:sz w:val="18"/>
          <w:szCs w:val="18"/>
          <w:color w:val="auto"/>
        </w:rPr>
      </w:pPr>
      <w:r>
        <w:rPr>
          <w:rFonts w:ascii="Arial" w:cs="Arial" w:eastAsia="Arial" w:hAnsi="Arial"/>
          <w:sz w:val="18"/>
          <w:szCs w:val="18"/>
          <w:color w:val="auto"/>
        </w:rPr>
        <w:t>(i) Federal, state, local and foreign income tax credits, (ii) all non-cash items increasing Consolidated Net Income (in each case of or by the Borrower and its Subsidiaries for such Measurement Period), (iii) the aggregate amount of all cash television programming payments made by the Borrower and its Subsidiaries during such period; and (iv) the aggregate amount of any cash payments made by the Borrower during such period relating to any non-cash charges described in clauses (a)(iv) and (a)(vi) immediately preceding.</w:t>
      </w:r>
    </w:p>
    <w:p>
      <w:pPr>
        <w:spacing w:after="0" w:line="165" w:lineRule="exact"/>
        <w:rPr>
          <w:sz w:val="20"/>
          <w:szCs w:val="20"/>
          <w:color w:val="auto"/>
        </w:rPr>
      </w:pPr>
    </w:p>
    <w:p>
      <w:pPr>
        <w:ind w:left="200" w:right="219"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means, at any date of determination, the ratio of (a) Adjusted Consolidated EBITDA, divided by the sum of (b) (i) the aggregate amount of all cash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298450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5" w:name="page116"/>
    <w:bookmarkEnd w:id="115"/>
    <w:p>
      <w:pPr>
        <w:jc w:val="both"/>
        <w:ind w:left="200" w:right="219"/>
        <w:spacing w:after="0" w:line="281" w:lineRule="auto"/>
        <w:rPr>
          <w:sz w:val="20"/>
          <w:szCs w:val="20"/>
          <w:color w:val="auto"/>
        </w:rPr>
      </w:pPr>
      <w:r>
        <w:rPr>
          <w:rFonts w:ascii="Arial" w:cs="Arial" w:eastAsia="Arial" w:hAnsi="Arial"/>
          <w:sz w:val="19"/>
          <w:szCs w:val="19"/>
          <w:color w:val="auto"/>
        </w:rPr>
        <w:t xml:space="preserve">Expenditures (other than any such Capital Expenditures made with the proceeds of Indebtedness permitted under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and other than Capital Expenditures made in a Permitted Acquisition),</w:t>
      </w:r>
    </w:p>
    <w:p>
      <w:pPr>
        <w:spacing w:after="0" w:line="1" w:lineRule="exact"/>
        <w:rPr>
          <w:sz w:val="20"/>
          <w:szCs w:val="20"/>
          <w:color w:val="auto"/>
        </w:rPr>
      </w:pPr>
    </w:p>
    <w:p>
      <w:pPr>
        <w:jc w:val="both"/>
        <w:ind w:left="200" w:right="219" w:firstLine="9"/>
        <w:spacing w:after="0" w:line="29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Consolidated Interest Charges, (iii) the aggregate principal amount of all regularly scheduled principal payments or redemptions or similar acquisitions for value of outstanding debt for borrowed money, but excluding any such payments to the extent refinanced through the incurrence of additional Indebtedness otherwise expressly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(iv) the aggregate amount of all Restricted Payments, other than those permitted under the proviso of </w:t>
      </w:r>
      <w:r>
        <w:rPr>
          <w:rFonts w:ascii="Arial" w:cs="Arial" w:eastAsia="Arial" w:hAnsi="Arial"/>
          <w:sz w:val="18"/>
          <w:szCs w:val="18"/>
          <w:u w:val="single" w:color="auto"/>
          <w:color w:val="auto"/>
        </w:rPr>
        <w:t>Section 6.06(d)</w:t>
      </w:r>
      <w:r>
        <w:rPr>
          <w:rFonts w:ascii="Arial" w:cs="Arial" w:eastAsia="Arial" w:hAnsi="Arial"/>
          <w:sz w:val="18"/>
          <w:szCs w:val="18"/>
          <w:color w:val="auto"/>
        </w:rPr>
        <w:t xml:space="preserve"> when the Consolidated Net Leverage Ratio is less than 2.50:1.00 as provided therein, and (v) the aggregate amount of Federal, state, local and foreign income taxes paid in cash, in each case, of or by the Borrower and its Subsidiaries for the most recently completed Measurement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federal and state income tax refunds received by the Borrower and its Subsidiaries during such period. The Consolidated Interest Charges under section (ii) of this definition will be calculated on a trailing four quarter basis using the amount of actual Consolidated Interest Charges for periods prior to the Effective Date used in any Measurement Period.</w:t>
      </w:r>
    </w:p>
    <w:p>
      <w:pPr>
        <w:spacing w:after="0" w:line="179"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for the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all Attributable Indebtedness, (f) without duplication, all Guarantees with respect to outstanding Indebtedness of the types specified in clauses (a) through (e) above of Persons other than the Borrower or any Subsidiary, and (g) all Indebtedness of the types referred to in clauses (a) through (f)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spacing w:after="0" w:line="180"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8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at any date of determination, the net income (or loss) of the Borrower and its Subsidiaries on a consolidated basis for the most recently completed Measurement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(c) any net gain or loss arising from the sale of capital assets, (d) any net gain or loss arising from any write-up or write-down of assets, (e) any interest or other non-operating income of the Borrower or any Subsidiary, (f) the effect of all barter transactions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6" w:name="page117"/>
    <w:bookmarkEnd w:id="116"/>
    <w:p>
      <w:pPr>
        <w:jc w:val="both"/>
        <w:ind w:left="200" w:right="219" w:firstLine="9"/>
        <w:spacing w:after="0" w:line="270" w:lineRule="auto"/>
        <w:tabs>
          <w:tab w:leader="none" w:pos="481"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proceeds from any Swap Agreement, (h) any restoration to income of any contingency reserve, except to the extent that provision for such reserve was made out of income accrued during such Measurement Period; and (i) any net gain arising from the acquisition of any securities, or the extinguishment under GAAP, of any Indebtedness of such Person.</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Leverage Ratio</w:t>
      </w:r>
      <w:r>
        <w:rPr>
          <w:rFonts w:ascii="Arial" w:cs="Arial" w:eastAsia="Arial" w:hAnsi="Arial"/>
          <w:sz w:val="19"/>
          <w:szCs w:val="19"/>
          <w:color w:val="auto"/>
        </w:rPr>
        <w:t>”  means,  as  of  any  date  of  determination,  the  ratio  of</w:t>
      </w:r>
    </w:p>
    <w:p>
      <w:pPr>
        <w:spacing w:after="0" w:line="38" w:lineRule="exact"/>
        <w:rPr>
          <w:sz w:val="20"/>
          <w:szCs w:val="20"/>
          <w:color w:val="auto"/>
        </w:rPr>
      </w:pPr>
    </w:p>
    <w:p>
      <w:pPr>
        <w:jc w:val="both"/>
        <w:ind w:left="200" w:right="219" w:firstLine="9"/>
        <w:spacing w:after="0" w:line="271" w:lineRule="auto"/>
        <w:tabs>
          <w:tab w:leader="none" w:pos="515"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Consolidated Funded Indebtedness minus the aggregate amount of Unrestricted Cash in excess of $10,000,000 as of such date, to (b) Adjusted Consolidated EBITDA of Borrower and its Subsidiaries on a consolidated basis for the most recently completed Measurement Period.</w:t>
      </w:r>
    </w:p>
    <w:p>
      <w:pPr>
        <w:spacing w:after="0" w:line="193"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left="200" w:right="219"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200" w:lineRule="exact"/>
        <w:rPr>
          <w:sz w:val="20"/>
          <w:szCs w:val="20"/>
          <w:color w:val="auto"/>
        </w:rPr>
      </w:pPr>
    </w:p>
    <w:p>
      <w:pPr>
        <w:spacing w:after="0" w:line="27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Corresponding Tenor</w:t>
      </w:r>
      <w:r>
        <w:rPr>
          <w:rFonts w:ascii="Arial" w:cs="Arial" w:eastAsia="Arial" w:hAnsi="Arial"/>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29" w:lineRule="exact"/>
        <w:rPr>
          <w:sz w:val="20"/>
          <w:szCs w:val="20"/>
          <w:color w:val="auto"/>
        </w:rPr>
      </w:pPr>
    </w:p>
    <w:p>
      <w:pPr>
        <w:ind w:left="860" w:right="239" w:hanging="3"/>
        <w:spacing w:after="0" w:line="274" w:lineRule="auto"/>
        <w:tabs>
          <w:tab w:leader="none" w:pos="15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90" w:lineRule="exact"/>
        <w:rPr>
          <w:rFonts w:ascii="Arial" w:cs="Arial" w:eastAsia="Arial" w:hAnsi="Arial"/>
          <w:sz w:val="20"/>
          <w:szCs w:val="20"/>
          <w:color w:val="auto"/>
        </w:rPr>
      </w:pPr>
    </w:p>
    <w:p>
      <w:pPr>
        <w:ind w:left="860" w:right="299" w:hanging="3"/>
        <w:spacing w:after="0" w:line="260" w:lineRule="auto"/>
        <w:tabs>
          <w:tab w:leader="none" w:pos="15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03" w:lineRule="exact"/>
        <w:rPr>
          <w:rFonts w:ascii="Arial" w:cs="Arial" w:eastAsia="Arial" w:hAnsi="Arial"/>
          <w:sz w:val="20"/>
          <w:szCs w:val="20"/>
          <w:color w:val="auto"/>
        </w:rPr>
      </w:pPr>
    </w:p>
    <w:p>
      <w:pPr>
        <w:ind w:left="860" w:right="399" w:hanging="3"/>
        <w:spacing w:after="0" w:line="260" w:lineRule="auto"/>
        <w:tabs>
          <w:tab w:leader="none" w:pos="15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has the meaning assigned to it in Section 9.22.</w:t>
      </w:r>
    </w:p>
    <w:p>
      <w:pPr>
        <w:spacing w:after="0" w:line="200" w:lineRule="exact"/>
        <w:rPr>
          <w:sz w:val="20"/>
          <w:szCs w:val="20"/>
          <w:color w:val="auto"/>
        </w:rPr>
      </w:pPr>
    </w:p>
    <w:p>
      <w:pPr>
        <w:spacing w:after="0" w:line="313"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the Issuing Bank, the Swingline Lender or any other Lender.</w:t>
      </w:r>
    </w:p>
    <w:p>
      <w:pPr>
        <w:spacing w:after="0" w:line="200" w:lineRule="exact"/>
        <w:rPr>
          <w:sz w:val="20"/>
          <w:szCs w:val="20"/>
          <w:color w:val="auto"/>
        </w:rPr>
      </w:pPr>
    </w:p>
    <w:p>
      <w:pPr>
        <w:spacing w:after="0" w:line="274"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to SOFR for the day (such day “</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7" w:name="page118"/>
    <w:bookmarkEnd w:id="117"/>
    <w:p>
      <w:pPr>
        <w:jc w:val="both"/>
        <w:ind w:left="200" w:right="219" w:firstLine="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5"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200" w:lineRule="exact"/>
        <w:rPr>
          <w:sz w:val="20"/>
          <w:szCs w:val="20"/>
          <w:color w:val="auto"/>
        </w:rPr>
      </w:pPr>
    </w:p>
    <w:p>
      <w:pPr>
        <w:spacing w:after="0" w:line="288" w:lineRule="exact"/>
        <w:rPr>
          <w:sz w:val="20"/>
          <w:szCs w:val="20"/>
          <w:color w:val="auto"/>
        </w:rPr>
      </w:pPr>
    </w:p>
    <w:p>
      <w:pPr>
        <w:ind w:left="200" w:right="57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4"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“Defaulting Lender”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97"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but excluding any sub-lease of any real property of which the Borrower or any of its Subsidiaries is the lessee.</w:t>
      </w:r>
    </w:p>
    <w:p>
      <w:pPr>
        <w:spacing w:after="0" w:line="363" w:lineRule="exact"/>
        <w:rPr>
          <w:sz w:val="20"/>
          <w:szCs w:val="20"/>
          <w:color w:val="auto"/>
        </w:rPr>
      </w:pPr>
    </w:p>
    <w:p>
      <w:pPr>
        <w:jc w:val="both"/>
        <w:ind w:left="200" w:right="219" w:firstLine="648"/>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any Equity Interest of any Person that, by its terms (or by the terms of any security into which it is convertible or for which it is exchangeable at the option of the holder thereof), or upon the happening of any event, matures or is mandatorily redeemable, pursuant to a sinking fund obligation or otherwise, or is redeemable at the option of the holder thereof, in whole or in part.</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has the meaning assigned to it in the definition of “Division.”</w:t>
      </w:r>
    </w:p>
    <w:p>
      <w:pPr>
        <w:spacing w:after="0" w:line="243"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118" w:name="page119"/>
    <w:bookmarkEnd w:id="118"/>
    <w:p>
      <w:pPr>
        <w:ind w:left="200"/>
        <w:spacing w:after="0"/>
        <w:rPr>
          <w:sz w:val="20"/>
          <w:szCs w:val="20"/>
          <w:color w:val="auto"/>
        </w:rPr>
      </w:pPr>
      <w:r>
        <w:rPr>
          <w:rFonts w:ascii="Arial" w:cs="Arial" w:eastAsia="Arial" w:hAnsi="Arial"/>
          <w:sz w:val="20"/>
          <w:szCs w:val="20"/>
          <w:color w:val="auto"/>
        </w:rPr>
        <w:t>not survive.</w:t>
      </w:r>
    </w:p>
    <w:p>
      <w:pPr>
        <w:spacing w:after="0" w:line="244"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 Successor</w:t>
      </w:r>
      <w:r>
        <w:rPr>
          <w:rFonts w:ascii="Arial" w:cs="Arial" w:eastAsia="Arial" w:hAnsi="Arial"/>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w:t>
      </w:r>
      <w:r>
        <w:rPr>
          <w:rFonts w:ascii="Arial" w:cs="Arial" w:eastAsia="Arial" w:hAnsi="Arial"/>
          <w:sz w:val="20"/>
          <w:szCs w:val="20"/>
          <w:color w:val="auto"/>
        </w:rPr>
        <w:t>” has the meaning assigned to such term in the Security Agreement.</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U.S.</w:t>
      </w:r>
    </w:p>
    <w:p>
      <w:pPr>
        <w:spacing w:after="0" w:line="200" w:lineRule="exact"/>
        <w:rPr>
          <w:sz w:val="20"/>
          <w:szCs w:val="20"/>
          <w:color w:val="auto"/>
        </w:rPr>
      </w:pPr>
    </w:p>
    <w:p>
      <w:pPr>
        <w:spacing w:after="0" w:line="367" w:lineRule="exact"/>
        <w:rPr>
          <w:sz w:val="20"/>
          <w:szCs w:val="20"/>
          <w:color w:val="auto"/>
        </w:rPr>
      </w:pPr>
    </w:p>
    <w:p>
      <w:pPr>
        <w:jc w:val="both"/>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political subdivision of the United States.</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ECP</w:t>
      </w:r>
      <w:r>
        <w:rPr>
          <w:rFonts w:ascii="Arial" w:cs="Arial" w:eastAsia="Arial" w:hAnsi="Arial"/>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319"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314"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9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on which the conditions specified in Section 4.01 are satisfied (or waived in accordance with Section 9.02).</w:t>
      </w:r>
    </w:p>
    <w:p>
      <w:pPr>
        <w:spacing w:after="0" w:line="200" w:lineRule="exact"/>
        <w:rPr>
          <w:sz w:val="20"/>
          <w:szCs w:val="20"/>
          <w:color w:val="auto"/>
        </w:rPr>
      </w:pPr>
    </w:p>
    <w:p>
      <w:pPr>
        <w:spacing w:after="0" w:line="288" w:lineRule="exact"/>
        <w:rPr>
          <w:sz w:val="20"/>
          <w:szCs w:val="20"/>
          <w:color w:val="auto"/>
        </w:rPr>
      </w:pPr>
    </w:p>
    <w:p>
      <w:pPr>
        <w:ind w:left="200" w:right="359"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both"/>
        <w:ind w:left="200" w:right="219" w:firstLine="648"/>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200" w:lineRule="exact"/>
        <w:rPr>
          <w:sz w:val="20"/>
          <w:szCs w:val="20"/>
          <w:color w:val="auto"/>
        </w:rPr>
      </w:pPr>
    </w:p>
    <w:p>
      <w:pPr>
        <w:spacing w:after="0" w:line="276"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spacing w:after="0" w:line="215"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w:t>
      </w:r>
    </w:p>
    <w:p>
      <w:pPr>
        <w:spacing w:after="0" w:line="1" w:lineRule="exact"/>
        <w:rPr>
          <w:sz w:val="20"/>
          <w:szCs w:val="20"/>
          <w:color w:val="auto"/>
        </w:rPr>
      </w:pPr>
    </w:p>
    <w:p>
      <w:pPr>
        <w:ind w:left="500" w:hanging="291"/>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generation, use, handling, transportation, storage, treatment or disposal of any Hazardous Materials,</w:t>
      </w:r>
    </w:p>
    <w:p>
      <w:pPr>
        <w:spacing w:after="0" w:line="22" w:lineRule="exact"/>
        <w:rPr>
          <w:rFonts w:ascii="Arial" w:cs="Arial" w:eastAsia="Arial" w:hAnsi="Arial"/>
          <w:sz w:val="18"/>
          <w:szCs w:val="18"/>
          <w:color w:val="auto"/>
        </w:rPr>
      </w:pPr>
    </w:p>
    <w:p>
      <w:pPr>
        <w:ind w:left="520" w:hanging="311"/>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exposure to any Hazardous Materials, (d) the Release or threatened Release of any Hazardous</w:t>
      </w:r>
    </w:p>
    <w:p>
      <w:pPr>
        <w:spacing w:after="0" w:line="27"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0"/>
          <w:szCs w:val="20"/>
          <w:color w:val="auto"/>
        </w:rPr>
        <w:t>Materials into the environment or (e) any contract, agreement or other consensual arrangement pursuant to which liability is assumed or imposed with respect to any of the foregoing.</w:t>
      </w:r>
    </w:p>
    <w:p>
      <w:pPr>
        <w:spacing w:after="0" w:line="223" w:lineRule="exact"/>
        <w:rPr>
          <w:sz w:val="20"/>
          <w:szCs w:val="20"/>
          <w:color w:val="auto"/>
        </w:rPr>
      </w:pPr>
    </w:p>
    <w:p>
      <w:pPr>
        <w:jc w:val="both"/>
        <w:ind w:left="200" w:right="219" w:firstLine="751"/>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7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200" w:lineRule="exact"/>
        <w:rPr>
          <w:sz w:val="20"/>
          <w:szCs w:val="20"/>
          <w:color w:val="auto"/>
        </w:rPr>
      </w:pPr>
    </w:p>
    <w:p>
      <w:pPr>
        <w:spacing w:after="0" w:line="30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rules and regulations promulgated thereunder.</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200" w:lineRule="exact"/>
        <w:rPr>
          <w:sz w:val="20"/>
          <w:szCs w:val="20"/>
          <w:color w:val="auto"/>
        </w:rPr>
      </w:pPr>
    </w:p>
    <w:p>
      <w:pPr>
        <w:spacing w:after="0" w:line="302" w:lineRule="exact"/>
        <w:rPr>
          <w:sz w:val="20"/>
          <w:szCs w:val="20"/>
          <w:color w:val="auto"/>
        </w:rPr>
      </w:pPr>
    </w:p>
    <w:p>
      <w:pPr>
        <w:jc w:val="both"/>
        <w:ind w:left="200" w:right="219"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0" w:name="page121"/>
    <w:bookmarkEnd w:id="120"/>
    <w:p>
      <w:pPr>
        <w:jc w:val="both"/>
        <w:ind w:left="200" w:right="219"/>
        <w:spacing w:after="0" w:line="269" w:lineRule="auto"/>
        <w:rPr>
          <w:sz w:val="20"/>
          <w:szCs w:val="20"/>
          <w:color w:val="auto"/>
        </w:rPr>
      </w:pPr>
      <w:r>
        <w:rPr>
          <w:rFonts w:ascii="Arial" w:cs="Arial" w:eastAsia="Arial" w:hAnsi="Arial"/>
          <w:sz w:val="20"/>
          <w:szCs w:val="20"/>
          <w:color w:val="auto"/>
        </w:rPr>
        <w:t>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200" w:lineRule="exact"/>
        <w:rPr>
          <w:sz w:val="20"/>
          <w:szCs w:val="20"/>
          <w:color w:val="auto"/>
        </w:rPr>
      </w:pPr>
    </w:p>
    <w:p>
      <w:pPr>
        <w:spacing w:after="0" w:line="319"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ETC APA</w:t>
      </w:r>
      <w:r>
        <w:rPr>
          <w:rFonts w:ascii="Arial" w:cs="Arial" w:eastAsia="Arial" w:hAnsi="Arial"/>
          <w:sz w:val="19"/>
          <w:szCs w:val="19"/>
          <w:color w:val="auto"/>
        </w:rPr>
        <w:t>” means the Asset Purchase Agreement dated as of May 9, 2017 among the ETC Purchaser, Saga Broadcasting LLC, Saga Quad States Communications, LLC, and the Borrower, in the form delivered to the Administrative Agent on the First Amendment Effective Date.</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ETC Assets</w:t>
      </w:r>
      <w:r>
        <w:rPr>
          <w:rFonts w:ascii="Arial" w:cs="Arial" w:eastAsia="Arial" w:hAnsi="Arial"/>
          <w:sz w:val="20"/>
          <w:szCs w:val="20"/>
          <w:color w:val="auto"/>
        </w:rPr>
        <w:t>” means all assets being disposed of pursuant to the ETC APA.</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ETC Disposition</w:t>
      </w:r>
      <w:r>
        <w:rPr>
          <w:rFonts w:ascii="Arial" w:cs="Arial" w:eastAsia="Arial" w:hAnsi="Arial"/>
          <w:sz w:val="20"/>
          <w:szCs w:val="20"/>
          <w:color w:val="auto"/>
        </w:rPr>
        <w:t>” means the Disposition of the ETC Assets pursuant to the ETC Disposition Documents.</w:t>
      </w:r>
    </w:p>
    <w:p>
      <w:pPr>
        <w:spacing w:after="0" w:line="200" w:lineRule="exact"/>
        <w:rPr>
          <w:sz w:val="20"/>
          <w:szCs w:val="20"/>
          <w:color w:val="auto"/>
        </w:rPr>
      </w:pPr>
    </w:p>
    <w:p>
      <w:pPr>
        <w:spacing w:after="0" w:line="31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ETC Disposition Documents</w:t>
      </w:r>
      <w:r>
        <w:rPr>
          <w:rFonts w:ascii="Arial" w:cs="Arial" w:eastAsia="Arial" w:hAnsi="Arial"/>
          <w:sz w:val="20"/>
          <w:szCs w:val="20"/>
          <w:color w:val="auto"/>
        </w:rPr>
        <w:t>” means the ETC APA and all agreements and documents executed in connection therewith.</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ETC Purchaser</w:t>
      </w:r>
      <w:r>
        <w:rPr>
          <w:rFonts w:ascii="Arial" w:cs="Arial" w:eastAsia="Arial" w:hAnsi="Arial"/>
          <w:sz w:val="20"/>
          <w:szCs w:val="20"/>
          <w:color w:val="auto"/>
        </w:rPr>
        <w:t>” means Evening Telegram Company d/b/a Morgan Murphy media, a Wisconsin corporation.</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all leased and owned real property and all motor vehicles and all Excluded Collateral, as defined in the Security Agreement.</w:t>
      </w:r>
    </w:p>
    <w:p>
      <w:pPr>
        <w:spacing w:after="0" w:line="200" w:lineRule="exact"/>
        <w:rPr>
          <w:sz w:val="20"/>
          <w:szCs w:val="20"/>
          <w:color w:val="auto"/>
        </w:rPr>
      </w:pPr>
    </w:p>
    <w:p>
      <w:pPr>
        <w:spacing w:after="0" w:line="27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1" w:name="page122"/>
    <w:bookmarkEnd w:id="121"/>
    <w:p>
      <w:pPr>
        <w:jc w:val="both"/>
        <w:ind w:left="200" w:right="219"/>
        <w:spacing w:after="0" w:line="257" w:lineRule="auto"/>
        <w:rPr>
          <w:sz w:val="20"/>
          <w:szCs w:val="20"/>
          <w:color w:val="auto"/>
        </w:rPr>
      </w:pPr>
      <w:r>
        <w:rPr>
          <w:rFonts w:ascii="Arial" w:cs="Arial" w:eastAsia="Arial" w:hAnsi="Arial"/>
          <w:sz w:val="20"/>
          <w:szCs w:val="20"/>
          <w:color w:val="auto"/>
        </w:rPr>
        <w:t>under a master agreement governing more than one swap, such exclusion shall apply only to the portion of such Swap Obligation that is attributable to swaps for which such Guarantee or security interest is or becomes illegal.</w:t>
      </w:r>
    </w:p>
    <w:p>
      <w:pPr>
        <w:spacing w:after="0" w:line="369"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 under Section 2.18(b)) or (ii) such Lender changes its lending office, except in each case to the extent that, pursuant to Section 2.16,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2.16(f) and (d) any withholding Taxes imposed under FATCA.</w:t>
      </w:r>
    </w:p>
    <w:p>
      <w:pPr>
        <w:spacing w:after="0" w:line="156"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9"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w:t>
      </w:r>
      <w:r>
        <w:rPr>
          <w:rFonts w:ascii="Arial" w:cs="Arial" w:eastAsia="Arial" w:hAnsi="Arial"/>
          <w:sz w:val="20"/>
          <w:szCs w:val="20"/>
          <w:color w:val="auto"/>
        </w:rPr>
        <w:t>” means the United States Federal Communications Commission or any agency succeeding to the functions thereof.</w:t>
      </w:r>
    </w:p>
    <w:p>
      <w:pPr>
        <w:spacing w:after="0" w:line="150"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 License</w:t>
      </w:r>
      <w:r>
        <w:rPr>
          <w:rFonts w:ascii="Arial" w:cs="Arial" w:eastAsia="Arial" w:hAnsi="Arial"/>
          <w:sz w:val="20"/>
          <w:szCs w:val="20"/>
          <w:color w:val="auto"/>
        </w:rPr>
        <w:t>” means any governmental approval or authorization issued to the Borrower or any Subsidiary by the FCC or acquired or otherwise transferred to the Borrower or any Subsidiary, pursuant to the Communications Act but excluding any non-material Auxiliary License, non-material Secondary Station License, any non-material Satellite Earth Station License (as such term is defined in the Communications Act) and any non-material Relocation Weather Radar License (as such term is defined in the Communication Act).</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FCC Order</w:t>
      </w:r>
      <w:r>
        <w:rPr>
          <w:rFonts w:ascii="Arial" w:cs="Arial" w:eastAsia="Arial" w:hAnsi="Arial"/>
          <w:sz w:val="19"/>
          <w:szCs w:val="19"/>
          <w:color w:val="auto"/>
        </w:rPr>
        <w:t>” means an Initial FCC Order or a Final FCC Order as the context may require.</w:t>
      </w:r>
    </w:p>
    <w:p>
      <w:pPr>
        <w:spacing w:after="0" w:line="22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200" w:lineRule="exact"/>
        <w:rPr>
          <w:sz w:val="20"/>
          <w:szCs w:val="20"/>
          <w:color w:val="auto"/>
        </w:rPr>
      </w:pPr>
    </w:p>
    <w:p>
      <w:pPr>
        <w:spacing w:after="0" w:line="305" w:lineRule="exact"/>
        <w:rPr>
          <w:sz w:val="20"/>
          <w:szCs w:val="20"/>
          <w:color w:val="auto"/>
        </w:rPr>
      </w:pPr>
    </w:p>
    <w:p>
      <w:pPr>
        <w:ind w:left="200" w:right="7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491490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2" w:name="page123"/>
    <w:bookmarkEnd w:id="122"/>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FCC Order</w:t>
      </w:r>
      <w:r>
        <w:rPr>
          <w:rFonts w:ascii="Arial" w:cs="Arial" w:eastAsia="Arial" w:hAnsi="Arial"/>
          <w:sz w:val="18"/>
          <w:szCs w:val="18"/>
          <w:color w:val="auto"/>
        </w:rPr>
        <w:t>” means, with respect to any assignment or transfer of FCC Licenses, Auxiliary Licenses and Secondary Station Licenses, an Initial FCC Order which shall not have been reversed, stayed, enjoined, annulled or suspended and the time for filing an appeal, petition for certiorari or other request for administrative or judicial relief, or for instituting administrative review of such order sua sponte, has expired and as to which no appeal, petition for certiorari or other formal request for administrative or judicial relief, or for instituting administrative review of such order sua sponte, has been filed and is pending or, if an appeal, petition for certiorari or other request for administrative or judicial relief, or for instituting administrative review of such order sua sponte, has been filed or taken, such Initial FCC Order has been affirmed (or such appeal, petition or other request for administrative or judicial relief has been dismissed as moot) by the highest court (or other tribunal having appellate jurisdiction over such Initial FCC Order) to which such Initial FCC Order was appealed or the petition for certiorari has been denied or, in the case of an Initial FCC Order which the FCC decided to review sua sponte, the FCC has either withdrawn or dismissed such review, and the time to take any further appeal or to seek further certiorari or judicial or administrative review has expired.</w:t>
      </w:r>
    </w:p>
    <w:p>
      <w:pPr>
        <w:spacing w:after="0" w:line="200" w:lineRule="exact"/>
        <w:rPr>
          <w:sz w:val="20"/>
          <w:szCs w:val="20"/>
          <w:color w:val="auto"/>
        </w:rPr>
      </w:pPr>
    </w:p>
    <w:p>
      <w:pPr>
        <w:spacing w:after="0" w:line="304"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pacing w:after="0" w:line="200" w:lineRule="exact"/>
        <w:rPr>
          <w:sz w:val="20"/>
          <w:szCs w:val="20"/>
          <w:color w:val="auto"/>
        </w:rPr>
      </w:pPr>
    </w:p>
    <w:p>
      <w:pPr>
        <w:spacing w:after="0" w:line="3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the First Amendment to Credit Agreement dated as of August 31, 2017.</w:t>
      </w:r>
    </w:p>
    <w:p>
      <w:pPr>
        <w:spacing w:after="0" w:line="200" w:lineRule="exact"/>
        <w:rPr>
          <w:sz w:val="20"/>
          <w:szCs w:val="20"/>
          <w:color w:val="auto"/>
        </w:rPr>
      </w:pPr>
    </w:p>
    <w:p>
      <w:pPr>
        <w:spacing w:after="0" w:line="39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the effective date of the First Amendment.</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“Flood Laws” has the meaning assigned to such term in Section 8.10.</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“Floor”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Adjusted Daily Simple SOFR shall be 0.00%</w:t>
      </w:r>
    </w:p>
    <w:p>
      <w:pPr>
        <w:spacing w:after="0" w:line="200" w:lineRule="exact"/>
        <w:rPr>
          <w:sz w:val="20"/>
          <w:szCs w:val="20"/>
          <w:color w:val="auto"/>
        </w:rPr>
      </w:pPr>
    </w:p>
    <w:p>
      <w:pPr>
        <w:spacing w:after="0" w:line="2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w:t>
      </w:r>
    </w:p>
    <w:p>
      <w:pPr>
        <w:spacing w:after="0" w:line="66" w:lineRule="exact"/>
        <w:rPr>
          <w:sz w:val="20"/>
          <w:szCs w:val="20"/>
          <w:color w:val="auto"/>
        </w:rPr>
      </w:pPr>
    </w:p>
    <w:p>
      <w:pPr>
        <w:ind w:left="200" w:right="219" w:firstLine="9"/>
        <w:spacing w:after="0" w:line="253" w:lineRule="auto"/>
        <w:tabs>
          <w:tab w:leader="none" w:pos="5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Borrower is not a U.S. Person, a Lender that is resident or organized under the laws of a jurisdiction other than that in which the Borrower is resident for tax purposes.</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Account</w:t>
      </w:r>
      <w:r>
        <w:rPr>
          <w:rFonts w:ascii="Arial" w:cs="Arial" w:eastAsia="Arial" w:hAnsi="Arial"/>
          <w:sz w:val="20"/>
          <w:szCs w:val="20"/>
          <w:color w:val="auto"/>
        </w:rPr>
        <w:t>” has the meaning assigned to such term in Section 4.01(h).</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3" w:name="page124"/>
    <w:bookmarkEnd w:id="123"/>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and including, without limitation, the FCC and the SEC.</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assigned to such term in Section 10.01.</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all Loan Guarantors and all non-Loan Parties who have delivered an Obligation Guaranty, and the term “Guarantor” means each or any one of them individually.</w:t>
      </w:r>
    </w:p>
    <w:p>
      <w:pPr>
        <w:spacing w:after="0" w:line="200" w:lineRule="exact"/>
        <w:rPr>
          <w:sz w:val="20"/>
          <w:szCs w:val="20"/>
          <w:color w:val="auto"/>
        </w:rPr>
      </w:pPr>
    </w:p>
    <w:p>
      <w:pPr>
        <w:spacing w:after="0" w:line="301" w:lineRule="exact"/>
        <w:rPr>
          <w:sz w:val="20"/>
          <w:szCs w:val="20"/>
          <w:color w:val="auto"/>
        </w:rPr>
      </w:pPr>
    </w:p>
    <w:p>
      <w:pPr>
        <w:ind w:left="200" w:right="259"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w:t>
      </w:r>
    </w:p>
    <w:p>
      <w:pPr>
        <w:spacing w:after="0" w:line="2" w:lineRule="exact"/>
        <w:rPr>
          <w:sz w:val="20"/>
          <w:szCs w:val="20"/>
          <w:color w:val="auto"/>
        </w:rPr>
      </w:pPr>
    </w:p>
    <w:p>
      <w:pPr>
        <w:ind w:left="200" w:right="319"/>
        <w:spacing w:after="0" w:line="247" w:lineRule="auto"/>
        <w:rPr>
          <w:sz w:val="20"/>
          <w:szCs w:val="20"/>
          <w:color w:val="auto"/>
        </w:rPr>
      </w:pPr>
      <w:r>
        <w:rPr>
          <w:rFonts w:ascii="Arial" w:cs="Arial" w:eastAsia="Arial" w:hAnsi="Arial"/>
          <w:sz w:val="20"/>
          <w:szCs w:val="20"/>
          <w:color w:val="auto"/>
        </w:rPr>
        <w:t>(49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394" w:lineRule="exact"/>
        <w:rPr>
          <w:sz w:val="20"/>
          <w:szCs w:val="20"/>
          <w:color w:val="auto"/>
        </w:rPr>
      </w:pPr>
    </w:p>
    <w:p>
      <w:pPr>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200" w:lineRule="exact"/>
        <w:rPr>
          <w:sz w:val="20"/>
          <w:szCs w:val="20"/>
          <w:color w:val="auto"/>
        </w:rPr>
      </w:pPr>
    </w:p>
    <w:p>
      <w:pPr>
        <w:spacing w:after="0" w:line="314" w:lineRule="exact"/>
        <w:rPr>
          <w:sz w:val="20"/>
          <w:szCs w:val="20"/>
          <w:color w:val="auto"/>
        </w:rPr>
      </w:pPr>
    </w:p>
    <w:p>
      <w:pPr>
        <w:ind w:left="200" w:right="239" w:firstLine="657"/>
        <w:spacing w:after="0" w:line="288" w:lineRule="auto"/>
        <w:tabs>
          <w:tab w:leader="none" w:pos="1496" w:val="left"/>
        </w:tabs>
        <w:numPr>
          <w:ilvl w:val="0"/>
          <w:numId w:val="63"/>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4" w:name="page125"/>
    <w:bookmarkEnd w:id="124"/>
    <w:p>
      <w:pPr>
        <w:jc w:val="both"/>
        <w:ind w:left="200" w:right="239" w:firstLine="657"/>
        <w:spacing w:after="0" w:line="278" w:lineRule="auto"/>
        <w:tabs>
          <w:tab w:leader="none" w:pos="14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bank guaranties, surety bonds and similar instruments;</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ind w:left="1500" w:hanging="643"/>
        <w:spacing w:after="0"/>
        <w:tabs>
          <w:tab w:leader="none" w:pos="15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net obligations of such Person under any Swap Agreement;</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jc w:val="both"/>
        <w:ind w:left="200" w:right="219" w:firstLine="657"/>
        <w:spacing w:after="0" w:line="278" w:lineRule="auto"/>
        <w:tabs>
          <w:tab w:leader="none" w:pos="14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 and not past due for more than 90 days after the date on which such trade account was created);</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left="200" w:right="219" w:firstLine="657"/>
        <w:spacing w:after="0" w:line="274" w:lineRule="auto"/>
        <w:tabs>
          <w:tab w:leader="none" w:pos="14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ind w:left="200" w:right="219" w:firstLine="657"/>
        <w:spacing w:after="0" w:line="274" w:lineRule="auto"/>
        <w:tabs>
          <w:tab w:leader="none" w:pos="1496"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all Attributable Indebtedness in respect of Capitalized Leases and Synthetic Lease Obligations of such Person and all Synthetic Debt of such Person;</w:t>
      </w:r>
    </w:p>
    <w:p>
      <w:pPr>
        <w:spacing w:after="0" w:line="200" w:lineRule="exact"/>
        <w:rPr>
          <w:rFonts w:ascii="Arial" w:cs="Arial" w:eastAsia="Arial" w:hAnsi="Arial"/>
          <w:sz w:val="20"/>
          <w:szCs w:val="20"/>
          <w:color w:val="auto"/>
        </w:rPr>
      </w:pPr>
    </w:p>
    <w:p>
      <w:pPr>
        <w:spacing w:after="0" w:line="314" w:lineRule="exact"/>
        <w:rPr>
          <w:rFonts w:ascii="Arial" w:cs="Arial" w:eastAsia="Arial" w:hAnsi="Arial"/>
          <w:sz w:val="20"/>
          <w:szCs w:val="20"/>
          <w:color w:val="auto"/>
        </w:rPr>
      </w:pPr>
    </w:p>
    <w:p>
      <w:pPr>
        <w:jc w:val="both"/>
        <w:ind w:left="200" w:right="219" w:firstLine="657"/>
        <w:spacing w:after="0" w:line="288" w:lineRule="auto"/>
        <w:tabs>
          <w:tab w:leader="none" w:pos="14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200" w:lineRule="exact"/>
        <w:rPr>
          <w:rFonts w:ascii="Arial" w:cs="Arial" w:eastAsia="Arial" w:hAnsi="Arial"/>
          <w:sz w:val="19"/>
          <w:szCs w:val="19"/>
          <w:color w:val="auto"/>
        </w:rPr>
      </w:pPr>
    </w:p>
    <w:p>
      <w:pPr>
        <w:spacing w:after="0" w:line="303" w:lineRule="exact"/>
        <w:rPr>
          <w:rFonts w:ascii="Arial" w:cs="Arial" w:eastAsia="Arial" w:hAnsi="Arial"/>
          <w:sz w:val="19"/>
          <w:szCs w:val="19"/>
          <w:color w:val="auto"/>
        </w:rPr>
      </w:pPr>
    </w:p>
    <w:p>
      <w:pPr>
        <w:ind w:left="1500" w:hanging="643"/>
        <w:spacing w:after="0"/>
        <w:tabs>
          <w:tab w:leader="none" w:pos="15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00" w:lineRule="exact"/>
        <w:rPr>
          <w:sz w:val="20"/>
          <w:szCs w:val="20"/>
          <w:color w:val="auto"/>
        </w:rPr>
      </w:pPr>
    </w:p>
    <w:p>
      <w:pPr>
        <w:spacing w:after="0" w:line="367"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Agreement on any date shall be deemed to be the Swap Termination Value thereof as of such date.</w:t>
      </w:r>
    </w:p>
    <w:p>
      <w:pPr>
        <w:spacing w:after="0" w:line="200" w:lineRule="exact"/>
        <w:rPr>
          <w:sz w:val="20"/>
          <w:szCs w:val="20"/>
          <w:color w:val="auto"/>
        </w:rPr>
      </w:pPr>
    </w:p>
    <w:p>
      <w:pPr>
        <w:spacing w:after="0" w:line="307"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5" w:name="page126"/>
    <w:bookmarkEnd w:id="125"/>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FCC Order</w:t>
      </w:r>
      <w:r>
        <w:rPr>
          <w:rFonts w:ascii="Arial" w:cs="Arial" w:eastAsia="Arial" w:hAnsi="Arial"/>
          <w:sz w:val="19"/>
          <w:szCs w:val="19"/>
          <w:color w:val="auto"/>
        </w:rPr>
        <w:t>” means, with respect to any assignment or transfer of FCC Licenses, Auxiliary Licenses or Secondary Station Licenses the initial order or other initial written action or actions by the FCC approving the assignment or transfer of such FCC Licenses, Auxiliary Licenses or Secondary Station Licenses for each Broadcasting Station to be acquired as part of such acquisition or transferred as part of a permitted transfer in the manner contemplated by the applicable acquisition documents, all in form and substance satisfactory to the Administrative Agent.</w:t>
      </w:r>
    </w:p>
    <w:p>
      <w:pPr>
        <w:spacing w:after="0" w:line="200" w:lineRule="exact"/>
        <w:rPr>
          <w:sz w:val="20"/>
          <w:szCs w:val="20"/>
          <w:color w:val="auto"/>
        </w:rPr>
      </w:pPr>
    </w:p>
    <w:p>
      <w:pPr>
        <w:spacing w:after="0" w:line="309"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Borrower to convert or continue a Revolving Borrowing in accordance with Section 2.07.</w:t>
      </w:r>
    </w:p>
    <w:p>
      <w:pPr>
        <w:spacing w:after="0" w:line="35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ABR Loan (other than a Swingline Loan), the first Business Day of each calendar month and the Revolving Credit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and (d) with respect to any Swingline Loan, the day that such Loan is required to be repaid and the Revolving Credit Maturity Date.</w:t>
      </w:r>
    </w:p>
    <w:p>
      <w:pPr>
        <w:spacing w:after="0" w:line="200" w:lineRule="exact"/>
        <w:rPr>
          <w:sz w:val="20"/>
          <w:szCs w:val="20"/>
          <w:color w:val="auto"/>
        </w:rPr>
      </w:pPr>
    </w:p>
    <w:p>
      <w:pPr>
        <w:spacing w:after="0" w:line="311"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2.13(e) shall be available for specification in such Borrowing Request or Interest Election Request. For purposes hereof, the date of a Borrowing initially shall be the date on which such Borrowing is made and thereafter, in the case of a Revolving Borrowing,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26" w:name="page127"/>
    <w:bookmarkEnd w:id="126"/>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as to any Person, (a) any direct or indirect Acquisition or investment by such Person or (b) a loan, advance or capital contribution to, Guarantee or assumption of debt of, or purchase or other acquisition of any other debt or interest in, another Person.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Security Agreement</w:t>
      </w:r>
      <w:r>
        <w:rPr>
          <w:rFonts w:ascii="Arial" w:cs="Arial" w:eastAsia="Arial" w:hAnsi="Arial"/>
          <w:sz w:val="18"/>
          <w:szCs w:val="18"/>
          <w:color w:val="auto"/>
        </w:rPr>
        <w:t>” means that certain Intellectual Property Security Agreement (including any and all supplements thereto), dated as of the date hereof, among the Loan Parties and the Administrative Agent, for the benefit of the Administrative Agent and the other Secured Parties, and any other security agreement with respect to any Intellectual Property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200" w:lineRule="exact"/>
        <w:rPr>
          <w:sz w:val="20"/>
          <w:szCs w:val="20"/>
          <w:color w:val="auto"/>
        </w:rPr>
      </w:pPr>
    </w:p>
    <w:p>
      <w:pPr>
        <w:spacing w:after="0" w:line="293"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Security Agreement Supplement</w:t>
      </w:r>
      <w:r>
        <w:rPr>
          <w:rFonts w:ascii="Arial" w:cs="Arial" w:eastAsia="Arial" w:hAnsi="Arial"/>
          <w:sz w:val="20"/>
          <w:szCs w:val="20"/>
          <w:color w:val="auto"/>
        </w:rPr>
        <w:t>” means a supplement to update the IP Security Agreement or to add a party thereto.</w:t>
      </w:r>
    </w:p>
    <w:p>
      <w:pPr>
        <w:spacing w:after="0" w:line="200" w:lineRule="exact"/>
        <w:rPr>
          <w:sz w:val="20"/>
          <w:szCs w:val="20"/>
          <w:color w:val="auto"/>
        </w:rPr>
      </w:pPr>
    </w:p>
    <w:p>
      <w:pPr>
        <w:spacing w:after="0" w:line="31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individually and collectively, each of JPMCB, in its capacity as the issuer of Letters of Credit hereunder, and any other Revolving Lender from time to time designated by the Borrower as an Issuing Bank (in each case, through itself or through one of its designated affiliates or branch offices), with the consent of such Revolving Lender and the Administrative Agent, and their respective successors in such capacity as provided in Section 2.05(i).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 If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200" w:lineRule="exact"/>
        <w:rPr>
          <w:sz w:val="20"/>
          <w:szCs w:val="20"/>
          <w:color w:val="auto"/>
        </w:rPr>
      </w:pPr>
    </w:p>
    <w:p>
      <w:pPr>
        <w:spacing w:after="0" w:line="303"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 Sublimits</w:t>
      </w:r>
      <w:r>
        <w:rPr>
          <w:rFonts w:ascii="Arial" w:cs="Arial" w:eastAsia="Arial" w:hAnsi="Arial"/>
          <w:sz w:val="20"/>
          <w:szCs w:val="20"/>
          <w:color w:val="auto"/>
        </w:rPr>
        <w:t>” means, as of the Effective Date, (i) $10,000,000, in the case of JPMCB and (ii) such amount as shall be designated to the Administrative Agent and the Borrower in writing by an Issuing Bank; provided that any Issuing Bank shall be permitted at any time to increase or reduce its Issuing Bank Sublimit upon providing five (5) days’ prior written notice thereof to the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581025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27" w:name="page128"/>
    <w:bookmarkEnd w:id="127"/>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JPMCB</w:t>
      </w:r>
      <w:r>
        <w:rPr>
          <w:rFonts w:ascii="Arial" w:cs="Arial" w:eastAsia="Arial" w:hAnsi="Arial"/>
          <w:sz w:val="20"/>
          <w:szCs w:val="20"/>
          <w:color w:val="auto"/>
        </w:rPr>
        <w:t>” means JPMorgan Chase Bank, N.A., a national banking association, in its individual capacity, and its successors.</w:t>
      </w:r>
    </w:p>
    <w:p>
      <w:pPr>
        <w:spacing w:after="0" w:line="96"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2.05(j).</w:t>
      </w:r>
    </w:p>
    <w:p>
      <w:pPr>
        <w:spacing w:after="0" w:line="200" w:lineRule="exact"/>
        <w:rPr>
          <w:sz w:val="20"/>
          <w:szCs w:val="20"/>
          <w:color w:val="auto"/>
        </w:rPr>
      </w:pPr>
    </w:p>
    <w:p>
      <w:pPr>
        <w:spacing w:after="0" w:line="3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any payment made by an Issuing Bank pursuant to a Letter of Credit.</w:t>
      </w:r>
    </w:p>
    <w:p>
      <w:pPr>
        <w:spacing w:after="0" w:line="200" w:lineRule="exact"/>
        <w:rPr>
          <w:sz w:val="20"/>
          <w:szCs w:val="20"/>
          <w:color w:val="auto"/>
        </w:rPr>
      </w:pPr>
    </w:p>
    <w:p>
      <w:pPr>
        <w:spacing w:after="0" w:line="390"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xml:space="preserve">” means, at any time, the sum of (a) the aggregate undrawn amount of all Letters of Credit outstanding at such time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(b) the aggregate amount of all LC Disbursements relating to Letters of Credit that have not yet been reimbursed by or on behalf of the Borrower at such time. The LC Exposure of any Revolving Lender at any time shall be its Applicable Percentage of the aggregate LC Exposure at such time.</w:t>
      </w:r>
    </w:p>
    <w:p>
      <w:pPr>
        <w:spacing w:after="0" w:line="200" w:lineRule="exact"/>
        <w:rPr>
          <w:sz w:val="20"/>
          <w:szCs w:val="20"/>
          <w:color w:val="auto"/>
        </w:rPr>
      </w:pPr>
    </w:p>
    <w:p>
      <w:pPr>
        <w:spacing w:after="0" w:line="307"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Parent</w:t>
      </w:r>
      <w:r>
        <w:rPr>
          <w:rFonts w:ascii="Arial" w:cs="Arial" w:eastAsia="Arial" w:hAnsi="Arial"/>
          <w:sz w:val="20"/>
          <w:szCs w:val="20"/>
          <w:color w:val="auto"/>
        </w:rPr>
        <w:t>” means, with respect to any Lender, any Person as to which such Lender is, directly or indirectly, a subsidiary.</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has the meaning assigned to such term in Section 9.03(b).</w:t>
      </w:r>
    </w:p>
    <w:p>
      <w:pPr>
        <w:spacing w:after="0" w:line="200" w:lineRule="exact"/>
        <w:rPr>
          <w:sz w:val="20"/>
          <w:szCs w:val="20"/>
          <w:color w:val="auto"/>
        </w:rPr>
      </w:pPr>
    </w:p>
    <w:p>
      <w:pPr>
        <w:spacing w:after="0" w:line="21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xml:space="preserve"> and any other Person that shall have become a Lender hereunder pursuant to Section 2.08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standby letters of credit issued pursuant to this Agreement, and the term “Letter of Credit” means any one of them or each of them singularly, as the context may require.</w:t>
      </w:r>
    </w:p>
    <w:p>
      <w:pPr>
        <w:spacing w:after="0" w:line="200" w:lineRule="exact"/>
        <w:rPr>
          <w:sz w:val="20"/>
          <w:szCs w:val="20"/>
          <w:color w:val="auto"/>
        </w:rPr>
      </w:pPr>
    </w:p>
    <w:p>
      <w:pPr>
        <w:spacing w:after="0" w:line="241"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491490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8" w:name="page129"/>
    <w:bookmarkEnd w:id="128"/>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00" w:lineRule="exact"/>
        <w:rPr>
          <w:sz w:val="20"/>
          <w:szCs w:val="20"/>
          <w:color w:val="auto"/>
        </w:rPr>
      </w:pPr>
    </w:p>
    <w:p>
      <w:pPr>
        <w:spacing w:after="0" w:line="319"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each promissory note issued pursuant to this Agreement, each Letter of Credit Agreement, each Collateral Document, each Compliance Certificate, the Loan Guaranty, any Obligation Guaranty, and each other agreement,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200" w:lineRule="exact"/>
        <w:rPr>
          <w:sz w:val="20"/>
          <w:szCs w:val="20"/>
          <w:color w:val="auto"/>
        </w:rPr>
      </w:pPr>
    </w:p>
    <w:p>
      <w:pPr>
        <w:spacing w:after="0" w:line="30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means each Loan Party.</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Guaranty</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 the Borrower’s Domestic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200" w:lineRule="exact"/>
        <w:rPr>
          <w:sz w:val="20"/>
          <w:szCs w:val="20"/>
          <w:color w:val="auto"/>
        </w:rPr>
      </w:pPr>
    </w:p>
    <w:p>
      <w:pPr>
        <w:spacing w:after="0" w:line="318"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 including Swingline Loans.</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Marketing Agreement</w:t>
      </w:r>
      <w:r>
        <w:rPr>
          <w:rFonts w:ascii="Arial" w:cs="Arial" w:eastAsia="Arial" w:hAnsi="Arial"/>
          <w:sz w:val="20"/>
          <w:szCs w:val="20"/>
          <w:color w:val="auto"/>
        </w:rPr>
        <w:t>” means, with respect to a Broadcasting Station operated by a Person, an agreement or arrangement with a Broadcasting Station operated by another Person pursuant to which the parties agree to function cooperatively in terms of programming, advertising, sales, management, consulting or similar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29" w:name="page130"/>
    <w:bookmarkEnd w:id="129"/>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means margin stock within the meaning of Regulations T, U and X, as applicable.</w:t>
      </w:r>
    </w:p>
    <w:p>
      <w:pPr>
        <w:spacing w:after="0" w:line="200" w:lineRule="exact"/>
        <w:rPr>
          <w:sz w:val="20"/>
          <w:szCs w:val="20"/>
          <w:color w:val="auto"/>
        </w:rPr>
      </w:pPr>
    </w:p>
    <w:p>
      <w:pPr>
        <w:spacing w:after="0" w:line="390"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operations, business, properties, liabilities (actual or contingent) or financial condition of the Borrower and its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200" w:lineRule="exact"/>
        <w:rPr>
          <w:sz w:val="20"/>
          <w:szCs w:val="20"/>
          <w:color w:val="auto"/>
        </w:rPr>
      </w:pPr>
    </w:p>
    <w:p>
      <w:pPr>
        <w:spacing w:after="0" w:line="324"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each contract to which such Person is a party involving aggregate consideration payable to or by such Person of $2,000,000 or more in any year or otherwise material to the business, financial condition, operations, performance, or properties of such Person.</w:t>
      </w: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9.17.</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means, at any date of determination, the most recently completed four fiscal quarters of the Borrower.</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00" w:lineRule="exact"/>
        <w:rPr>
          <w:sz w:val="20"/>
          <w:szCs w:val="20"/>
          <w:color w:val="auto"/>
        </w:rPr>
      </w:pPr>
    </w:p>
    <w:p>
      <w:pPr>
        <w:spacing w:after="0" w:line="35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 ERISA.</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9.02(d).</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means a Lender that is not a U.S. Person.</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means, for any day, the greater of (a) the Federal Funds Effective Rate in effect on such day and (b) the Overnight Bank Funding Rate in effect on such day(or for any day that is not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0" w:name="page131"/>
    <w:bookmarkEnd w:id="130"/>
    <w:p>
      <w:pPr>
        <w:jc w:val="both"/>
        <w:ind w:left="200" w:right="219"/>
        <w:spacing w:after="0" w:line="306" w:lineRule="auto"/>
        <w:rPr>
          <w:sz w:val="20"/>
          <w:szCs w:val="20"/>
          <w:color w:val="auto"/>
        </w:rPr>
      </w:pPr>
      <w:r>
        <w:rPr>
          <w:rFonts w:ascii="Arial" w:cs="Arial" w:eastAsia="Arial" w:hAnsi="Arial"/>
          <w:sz w:val="18"/>
          <w:szCs w:val="18"/>
          <w:color w:val="auto"/>
        </w:rPr>
        <w:t>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NYFRB’s Website</w:t>
      </w:r>
      <w:r>
        <w:rPr>
          <w:rFonts w:ascii="Arial" w:cs="Arial" w:eastAsia="Arial" w:hAnsi="Arial"/>
          <w:sz w:val="20"/>
          <w:szCs w:val="20"/>
          <w:color w:val="auto"/>
        </w:rPr>
        <w:t>” means the website of the NYFRB at http://www.newyorkfed.org, or any successor source.</w:t>
      </w:r>
    </w:p>
    <w:p>
      <w:pPr>
        <w:spacing w:after="0" w:line="200" w:lineRule="exact"/>
        <w:rPr>
          <w:sz w:val="20"/>
          <w:szCs w:val="20"/>
          <w:color w:val="auto"/>
        </w:rPr>
      </w:pPr>
    </w:p>
    <w:p>
      <w:pPr>
        <w:spacing w:after="0" w:line="28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has the meaning assigned to such term in Section 10.02.</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 Guaranty</w:t>
      </w:r>
      <w:r>
        <w:rPr>
          <w:rFonts w:ascii="Arial" w:cs="Arial" w:eastAsia="Arial" w:hAnsi="Arial"/>
          <w:sz w:val="20"/>
          <w:szCs w:val="20"/>
          <w:color w:val="auto"/>
        </w:rPr>
        <w:t>” means any Guarantee of all or any portion of the Secured Obligations executed and delivered to the Administrative Agent for the benefit of the Secured Parties by a guarantor who is not a Loan Party.</w:t>
      </w:r>
    </w:p>
    <w:p>
      <w:pPr>
        <w:spacing w:after="0" w:line="200" w:lineRule="exact"/>
        <w:rPr>
          <w:sz w:val="20"/>
          <w:szCs w:val="20"/>
          <w:color w:val="auto"/>
        </w:rPr>
      </w:pPr>
    </w:p>
    <w:p>
      <w:pPr>
        <w:spacing w:after="0" w:line="31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200" w:lineRule="exact"/>
        <w:rPr>
          <w:sz w:val="20"/>
          <w:szCs w:val="20"/>
          <w:color w:val="auto"/>
        </w:rPr>
      </w:pPr>
    </w:p>
    <w:p>
      <w:pPr>
        <w:spacing w:after="0" w:line="303"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1" w:name="page132"/>
    <w:bookmarkEnd w:id="131"/>
    <w:p>
      <w:pPr>
        <w:jc w:val="both"/>
        <w:ind w:left="200" w:right="219" w:firstLine="711"/>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200" w:lineRule="exact"/>
        <w:rPr>
          <w:sz w:val="20"/>
          <w:szCs w:val="20"/>
          <w:color w:val="auto"/>
        </w:rPr>
      </w:pPr>
    </w:p>
    <w:p>
      <w:pPr>
        <w:spacing w:after="0" w:line="309" w:lineRule="exact"/>
        <w:rPr>
          <w:sz w:val="20"/>
          <w:szCs w:val="20"/>
          <w:color w:val="auto"/>
        </w:rPr>
      </w:pPr>
    </w:p>
    <w:p>
      <w:pPr>
        <w:jc w:val="both"/>
        <w:ind w:left="200" w:right="219"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200" w:lineRule="exact"/>
        <w:rPr>
          <w:sz w:val="20"/>
          <w:szCs w:val="20"/>
          <w:color w:val="auto"/>
        </w:rPr>
      </w:pPr>
    </w:p>
    <w:p>
      <w:pPr>
        <w:spacing w:after="0" w:line="27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105% of the LC Exposure as of the date of such payment), (iii) the indefeasible payment in full in cash of the accrued and unpaid fees, including the applicable Prepayment Fee, if any,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Obligations and the Banking Services Obligations or entering into other arrangements satisfactory to the Secured Parties counterparties thereto.</w:t>
      </w:r>
    </w:p>
    <w:p>
      <w:pPr>
        <w:spacing w:after="0" w:line="34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9.04(c).</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9.04(c).</w:t>
      </w:r>
    </w:p>
    <w:p>
      <w:pPr>
        <w:spacing w:after="0" w:line="39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has the meaning assigned to it in Section 8.06(c).</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has the meaning assigned to it in Section 8.06(c).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516255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2" w:name="page133"/>
    <w:bookmarkEnd w:id="132"/>
    <w:p>
      <w:pPr>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 Acquisition which satisfies each of the following conditions:</w:t>
      </w:r>
    </w:p>
    <w:p>
      <w:pPr>
        <w:spacing w:after="0" w:line="200" w:lineRule="exact"/>
        <w:rPr>
          <w:sz w:val="20"/>
          <w:szCs w:val="20"/>
          <w:color w:val="auto"/>
        </w:rPr>
      </w:pPr>
    </w:p>
    <w:p>
      <w:pPr>
        <w:spacing w:after="0" w:line="365" w:lineRule="exact"/>
        <w:rPr>
          <w:sz w:val="20"/>
          <w:szCs w:val="20"/>
          <w:color w:val="auto"/>
        </w:rPr>
      </w:pPr>
    </w:p>
    <w:p>
      <w:pPr>
        <w:jc w:val="both"/>
        <w:ind w:left="200" w:right="219" w:firstLine="657"/>
        <w:spacing w:after="0" w:line="278" w:lineRule="auto"/>
        <w:tabs>
          <w:tab w:leader="none" w:pos="1496"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Subsidiary of the Borrower or a Subsidiary thereof created for the purpose of effecting the Acquisition or acquired in connection therewith shall have complied with the requirements of Section 5.19;</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jc w:val="both"/>
        <w:ind w:left="200" w:right="219" w:firstLine="657"/>
        <w:spacing w:after="0" w:line="280" w:lineRule="auto"/>
        <w:tabs>
          <w:tab w:leader="none" w:pos="14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total cash and non-cash consideration paid by or on behalf of the Borrower or such Subsidiary in connection with such Acquisition (including, without limitation, any Indebtedness assumed, incurred, or permitted to remain outstanding by the Borrower or such Subsidiary or the acquired Subsidiary Guarantor) when added to the total cash and non-cash consideration paid in connection with each Acquisition consummated hereunder as a Permitted Acquisition during the same fiscal year as such Acquisition, shall not exceed $50,000,000 for each fiscal year; provided that when the Consolidated Net Leverage Ratio is less than 2.50:1.00 for the twelve months ended as of the last day of the month immediately preceding the month such Acquisition is consummated, such $50,000,000 limitation will not apply and there will be no limit to the total cash and non-cash consideration paid and the delivery of the pro forma compliance certificate referenced in subsection (d) below giving effect to such Acquisition is required;</w:t>
      </w:r>
    </w:p>
    <w:p>
      <w:pPr>
        <w:spacing w:after="0" w:line="200" w:lineRule="exact"/>
        <w:rPr>
          <w:rFonts w:ascii="Arial" w:cs="Arial" w:eastAsia="Arial" w:hAnsi="Arial"/>
          <w:sz w:val="19"/>
          <w:szCs w:val="19"/>
          <w:color w:val="auto"/>
        </w:rPr>
      </w:pPr>
    </w:p>
    <w:p>
      <w:pPr>
        <w:spacing w:after="0" w:line="317" w:lineRule="exact"/>
        <w:rPr>
          <w:rFonts w:ascii="Arial" w:cs="Arial" w:eastAsia="Arial" w:hAnsi="Arial"/>
          <w:sz w:val="19"/>
          <w:szCs w:val="19"/>
          <w:color w:val="auto"/>
        </w:rPr>
      </w:pPr>
    </w:p>
    <w:p>
      <w:pPr>
        <w:ind w:left="1500" w:hanging="643"/>
        <w:spacing w:after="0"/>
        <w:tabs>
          <w:tab w:leader="none" w:pos="1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both before and after giving effect to any Acquisition, no Default shall have occurred and</w:t>
      </w:r>
    </w:p>
    <w:p>
      <w:pPr>
        <w:spacing w:after="0" w:line="4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be continuing;</w:t>
      </w: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jc w:val="both"/>
        <w:ind w:left="200" w:right="219" w:firstLine="657"/>
        <w:spacing w:after="0" w:line="306" w:lineRule="auto"/>
        <w:tabs>
          <w:tab w:leader="none" w:pos="14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subsection (b) above, the Borrower shall have delivered to the Administrative Agent, at least 10 Business Days (or such shorter time period as the Administrative Agent may otherwise agree in writing) prior to the consummation of such Acquisition a certificate from a Financial Officer of the Borrower demonstrating (in detail reasonably satisfactory to the Administrative Agent) pro forma compliance with the covenants set forth in Section 6.11, after giving effect to such Acquisition;</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jc w:val="both"/>
        <w:ind w:left="200" w:right="219" w:firstLine="657"/>
        <w:spacing w:after="0" w:line="285" w:lineRule="auto"/>
        <w:tabs>
          <w:tab w:leader="none" w:pos="14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shall have delivered to the Administrative Agent not less than 10 Business Days (or such shorter time period as the Administrative Agent may otherwise agree in writing) prior to the consummation of the Acquisition a summary providing a reasonably detailed description of the Target and the terms and conditions of the proposed Acquisition, material financial, business and legal due diligence information relating to the Target as the Administrative Agent may reasonably request, and all material legal documentation pertaining to such Acquisition;</w:t>
      </w:r>
    </w:p>
    <w:p>
      <w:pPr>
        <w:spacing w:after="0" w:line="200" w:lineRule="exact"/>
        <w:rPr>
          <w:rFonts w:ascii="Arial" w:cs="Arial" w:eastAsia="Arial" w:hAnsi="Arial"/>
          <w:sz w:val="19"/>
          <w:szCs w:val="19"/>
          <w:color w:val="auto"/>
        </w:rPr>
      </w:pPr>
    </w:p>
    <w:p>
      <w:pPr>
        <w:spacing w:after="0" w:line="308" w:lineRule="exact"/>
        <w:rPr>
          <w:rFonts w:ascii="Arial" w:cs="Arial" w:eastAsia="Arial" w:hAnsi="Arial"/>
          <w:sz w:val="19"/>
          <w:szCs w:val="19"/>
          <w:color w:val="auto"/>
        </w:rPr>
      </w:pPr>
    </w:p>
    <w:p>
      <w:pPr>
        <w:ind w:left="1500" w:hanging="643"/>
        <w:spacing w:after="0"/>
        <w:tabs>
          <w:tab w:leader="none" w:pos="1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assets acquired in such Acquisition shall be owned exclusively by the Borrower or a</w:t>
      </w:r>
    </w:p>
    <w:p>
      <w:pPr>
        <w:spacing w:after="0" w:line="4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3" w:name="page134"/>
    <w:bookmarkEnd w:id="133"/>
    <w:p>
      <w:pPr>
        <w:ind w:left="200" w:right="219" w:firstLine="657"/>
        <w:spacing w:after="0" w:line="288" w:lineRule="auto"/>
        <w:tabs>
          <w:tab w:leader="none" w:pos="1495"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Borrower and such Subsidiary shall have complied with the provisions of Sections 5.14 and 5.19 with respect to such Acquisition;</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200" w:right="219" w:firstLine="657"/>
        <w:spacing w:after="0" w:line="271" w:lineRule="auto"/>
        <w:tabs>
          <w:tab w:leader="none" w:pos="14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such Acquisition includes a Broadcasting Station, a copy of the Final FCC Order approving such Acquisition shall be delivered to the Administrative Agent or, with the prior written consent of the Administrative Agent, an Initial FCC Order; and</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ind w:left="200" w:right="219" w:firstLine="657"/>
        <w:spacing w:after="0" w:line="288" w:lineRule="auto"/>
        <w:tabs>
          <w:tab w:leader="none" w:pos="14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Target is engaged in the radio (including the radio news network) or television broadcast business.</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w:t>
      </w:r>
      <w:r>
        <w:rPr>
          <w:rFonts w:ascii="Arial" w:cs="Arial" w:eastAsia="Arial" w:hAnsi="Arial"/>
          <w:sz w:val="19"/>
          <w:szCs w:val="19"/>
          <w:color w:val="auto"/>
        </w:rPr>
        <w:t>” means (i) Christian, (ii) Christian’s spouse, (iii) members of their immediate family and their respective spouses and issue, (iv) the respective heirs and estates of each of the foregoing and (v) other than interests of remote contingent beneficiaries referenced in the relevant trust documents, any trusts created solely for the benefit of any one or more of the foregoing.</w:t>
      </w:r>
    </w:p>
    <w:p>
      <w:pPr>
        <w:spacing w:after="0" w:line="200" w:lineRule="exact"/>
        <w:rPr>
          <w:sz w:val="20"/>
          <w:szCs w:val="20"/>
          <w:color w:val="auto"/>
        </w:rPr>
      </w:pPr>
    </w:p>
    <w:p>
      <w:pPr>
        <w:spacing w:after="0" w:line="30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200" w:lineRule="exact"/>
        <w:rPr>
          <w:sz w:val="20"/>
          <w:szCs w:val="20"/>
          <w:color w:val="auto"/>
        </w:rPr>
      </w:pPr>
    </w:p>
    <w:p>
      <w:pPr>
        <w:spacing w:after="0" w:line="286" w:lineRule="exact"/>
        <w:rPr>
          <w:sz w:val="20"/>
          <w:szCs w:val="20"/>
          <w:color w:val="auto"/>
        </w:rPr>
      </w:pPr>
    </w:p>
    <w:p>
      <w:pPr>
        <w:ind w:left="200" w:right="65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Regulations</w:t>
      </w:r>
      <w:r>
        <w:rPr>
          <w:rFonts w:ascii="Arial" w:cs="Arial" w:eastAsia="Arial" w:hAnsi="Arial"/>
          <w:sz w:val="20"/>
          <w:szCs w:val="20"/>
          <w:color w:val="auto"/>
        </w:rPr>
        <w:t>” means 29 CFR § 2510.3-101 et seq., as modified by Section 3(42) of ERISA, as amended from time to time.</w:t>
      </w:r>
    </w:p>
    <w:p>
      <w:pPr>
        <w:spacing w:after="0" w:line="379"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means Debt Domain, Intralinks, Syndtrak or a substantially similar electronic transmission system.</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34" w:name="page135"/>
    <w:bookmarkEnd w:id="134"/>
    <w:p>
      <w:pPr>
        <w:ind w:left="200" w:right="4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claim, litigation, investigation, action, suit, arbitration or administrative, judicial or regulatory action or proceeding in any jurisdiction.</w:t>
      </w:r>
    </w:p>
    <w:p>
      <w:pPr>
        <w:spacing w:after="0" w:line="366" w:lineRule="exact"/>
        <w:rPr>
          <w:sz w:val="20"/>
          <w:szCs w:val="20"/>
          <w:color w:val="auto"/>
        </w:rPr>
      </w:pPr>
    </w:p>
    <w:p>
      <w:pPr>
        <w:jc w:val="both"/>
        <w:ind w:left="200" w:right="219" w:firstLine="648"/>
        <w:spacing w:after="0" w:line="30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EBITDA</w:t>
      </w:r>
      <w:r>
        <w:rPr>
          <w:rFonts w:ascii="Arial" w:cs="Arial" w:eastAsia="Arial" w:hAnsi="Arial"/>
          <w:sz w:val="18"/>
          <w:szCs w:val="18"/>
          <w:color w:val="auto"/>
        </w:rPr>
        <w:t>” means, with respect to any Target acquired in a Permitted Acquisition, such Target’s earnings before interest, income taxes, amortization and depreciation, as calculated in accordance with GAAP, for the most recent twelve (12) month period as shown on financial statements which are made available to the Administrative Agent prior to the consummation of the Permitted Acquisition, calculated by the Borrower and acceptable to the Administrative Agent, with such adjustments as can be verified and demonstrated by the Borrower and acceptable to the Administrative Agent.</w:t>
      </w:r>
    </w:p>
    <w:p>
      <w:pPr>
        <w:spacing w:after="0" w:line="200" w:lineRule="exact"/>
        <w:rPr>
          <w:sz w:val="20"/>
          <w:szCs w:val="20"/>
          <w:color w:val="auto"/>
        </w:rPr>
      </w:pPr>
    </w:p>
    <w:p>
      <w:pPr>
        <w:spacing w:after="0" w:line="29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has the meaning assigned to it in Section 9.22.</w:t>
      </w:r>
    </w:p>
    <w:p>
      <w:pPr>
        <w:spacing w:after="0" w:line="200" w:lineRule="exact"/>
        <w:rPr>
          <w:sz w:val="20"/>
          <w:szCs w:val="20"/>
          <w:color w:val="auto"/>
        </w:rPr>
      </w:pPr>
    </w:p>
    <w:p>
      <w:pPr>
        <w:spacing w:after="0" w:line="205"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363"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 or any combination thereof (as the context requires).</w:t>
      </w:r>
    </w:p>
    <w:p>
      <w:pPr>
        <w:spacing w:after="0" w:line="200" w:lineRule="exact"/>
        <w:rPr>
          <w:sz w:val="20"/>
          <w:szCs w:val="20"/>
          <w:color w:val="auto"/>
        </w:rPr>
      </w:pPr>
    </w:p>
    <w:p>
      <w:pPr>
        <w:spacing w:after="0" w:line="288" w:lineRule="exact"/>
        <w:rPr>
          <w:sz w:val="20"/>
          <w:szCs w:val="20"/>
          <w:color w:val="auto"/>
        </w:rPr>
      </w:pPr>
    </w:p>
    <w:p>
      <w:pPr>
        <w:ind w:left="200" w:right="4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(2) Business Days preceding the date of such setting,(2) if the RFR for such Benchmark is Daily Simple SOFR, then four (4) Business Days prior to such setting or (3) if such Benchmark is none of the Term SOFR Rate or Daily Simple SOFR, the time determined by the Administrative Agent in its reasonable discretion.</w:t>
      </w:r>
    </w:p>
    <w:p>
      <w:pPr>
        <w:spacing w:after="0" w:line="36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9.04(b).</w:t>
      </w:r>
    </w:p>
    <w:p>
      <w:pPr>
        <w:spacing w:after="0" w:line="200" w:lineRule="exact"/>
        <w:rPr>
          <w:sz w:val="20"/>
          <w:szCs w:val="20"/>
          <w:color w:val="auto"/>
        </w:rPr>
      </w:pPr>
    </w:p>
    <w:p>
      <w:pPr>
        <w:spacing w:after="0" w:line="367" w:lineRule="exact"/>
        <w:rPr>
          <w:sz w:val="20"/>
          <w:szCs w:val="20"/>
          <w:color w:val="auto"/>
        </w:rPr>
      </w:pPr>
    </w:p>
    <w:p>
      <w:pPr>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Federal Reserve Board, as in effect from time to time and all official rulings and interpretations thereunder 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135" w:name="page136"/>
    <w:bookmarkEnd w:id="135"/>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Federal Reserve Board, as in effect from time to time and all official rulings and interpretations thereunder or thereof.</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Federal Reserve Board, as in effect from time to time and all official rulings and interpretations thereunder or thereof.</w:t>
      </w:r>
    </w:p>
    <w:p>
      <w:pPr>
        <w:spacing w:after="0" w:line="200" w:lineRule="exact"/>
        <w:rPr>
          <w:sz w:val="20"/>
          <w:szCs w:val="20"/>
          <w:color w:val="auto"/>
        </w:rPr>
      </w:pPr>
    </w:p>
    <w:p>
      <w:pPr>
        <w:spacing w:after="0" w:line="31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Federal Reserve Board, as in effect from time to time and all official rulings and interpretations thereunder or thereof.</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200" w:lineRule="exact"/>
        <w:rPr>
          <w:sz w:val="20"/>
          <w:szCs w:val="20"/>
          <w:color w:val="auto"/>
        </w:rPr>
      </w:pPr>
    </w:p>
    <w:p>
      <w:pPr>
        <w:spacing w:after="0" w:line="301"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releasing, spilling, leaking, pumping, pouring, emitting, emptying, discharging, injecting, escaping, leaching, migrating, disposing, or dumping of any substance into the environment.</w:t>
      </w:r>
    </w:p>
    <w:p>
      <w:pPr>
        <w:spacing w:after="0" w:line="200" w:lineRule="exact"/>
        <w:rPr>
          <w:sz w:val="20"/>
          <w:szCs w:val="20"/>
          <w:color w:val="auto"/>
        </w:rPr>
      </w:pPr>
    </w:p>
    <w:p>
      <w:pPr>
        <w:spacing w:after="0" w:line="292"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5" w:lineRule="exact"/>
        <w:rPr>
          <w:sz w:val="20"/>
          <w:szCs w:val="20"/>
          <w:color w:val="auto"/>
        </w:rPr>
      </w:pPr>
    </w:p>
    <w:p>
      <w:pPr>
        <w:jc w:val="both"/>
        <w:ind w:left="200" w:right="599"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(i) with respect to any Term Benchmark Borrowing, the Adjusted Term SOFR Rate or (ii) with respect to any RFR Borrowing, the Adjusted Daily Simple SOFR, as applicable.</w:t>
      </w:r>
    </w:p>
    <w:p>
      <w:pPr>
        <w:spacing w:after="0" w:line="318" w:lineRule="exact"/>
        <w:rPr>
          <w:sz w:val="20"/>
          <w:szCs w:val="20"/>
          <w:color w:val="auto"/>
        </w:rPr>
      </w:pPr>
    </w:p>
    <w:p>
      <w:pPr>
        <w:jc w:val="both"/>
        <w:ind w:left="200" w:right="219" w:firstLine="648"/>
        <w:spacing w:after="0" w:line="3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w:t>
      </w:r>
      <w:r>
        <w:rPr>
          <w:rFonts w:ascii="Arial" w:cs="Arial" w:eastAsia="Arial" w:hAnsi="Arial"/>
          <w:sz w:val="16"/>
          <w:szCs w:val="16"/>
          <w:color w:val="auto"/>
        </w:rPr>
        <w:t>” means reports prepared by the Administrative Agent or another Person showing the results of appraisals, field examinations or audits pertaining to the Borrower’s assets from information furnished by or on behalf of the Borrower, after the Administrative Agent has exercised its rights of inspection pursuant to this Agreement, which Reports may be distributed to the Lenders by the Administrative Agent.</w:t>
      </w:r>
    </w:p>
    <w:p>
      <w:pPr>
        <w:spacing w:after="0" w:line="200" w:lineRule="exact"/>
        <w:rPr>
          <w:sz w:val="20"/>
          <w:szCs w:val="20"/>
          <w:color w:val="auto"/>
        </w:rPr>
      </w:pPr>
    </w:p>
    <w:p>
      <w:pPr>
        <w:spacing w:after="0" w:line="258"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(other than Defaulting Lenders) having Revolving Exposure and unused Revolving Commitments representing more than 50% of the sum of the Aggregate Revolving Exposure and unused Revolving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long as there are only two unaffiliated Lenders, Required Lenders shall mean both Lenders;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for purposes of declaring the Loans to be due and payable pursuant to Article VII, and for all purposes after the Loans become due and payable pursuant to Article VII or the Revolving Commitments expire or terminate, then, as to each Lender, clause (a) of the definition of Swingline Exposure shall only be applicable for purposes of determining its Revolving Exposure to the extent such Lender shall have funded its participation in the outstanding 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6" w:name="page137"/>
    <w:bookmarkEnd w:id="136"/>
    <w:p>
      <w:pPr>
        <w:jc w:val="both"/>
        <w:ind w:left="200" w:right="219"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375"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204"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president, Financial Officer or other executive officer of the Company.</w:t>
      </w:r>
    </w:p>
    <w:p>
      <w:pPr>
        <w:spacing w:after="0" w:line="352"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 or any option, warrant or other right to acquire any such dividend or other distribution or payment, any payment of any subordinated Indebtedness or the payment of any management or similar fees.</w:t>
      </w:r>
    </w:p>
    <w:p>
      <w:pPr>
        <w:spacing w:after="0" w:line="200" w:lineRule="exact"/>
        <w:rPr>
          <w:sz w:val="20"/>
          <w:szCs w:val="20"/>
          <w:color w:val="auto"/>
        </w:rPr>
      </w:pPr>
    </w:p>
    <w:p>
      <w:pPr>
        <w:spacing w:after="0" w:line="297" w:lineRule="exact"/>
        <w:rPr>
          <w:sz w:val="20"/>
          <w:szCs w:val="20"/>
          <w:color w:val="auto"/>
        </w:rPr>
      </w:pPr>
    </w:p>
    <w:p>
      <w:pPr>
        <w:jc w:val="both"/>
        <w:ind w:left="200" w:right="219"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Revolving Loans of the same Type, made, converted or continued on the same date and, in the case of Term Benchmark Loans, as to which a single Interest Period is in effect.</w:t>
      </w:r>
    </w:p>
    <w:p>
      <w:pPr>
        <w:spacing w:after="0" w:line="332"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2.08 and (b) assignments by or to such Lender pursuant to Section 9.04; provided, that at no time shall the Revolving Exposure of any Lender exceed its Revolving Commitment. The initial aggregate amount of the Lenders’ Revolving Commitments is $100,000,000. As of the Third Amendment Effective Date, the aggregate amount of the Lenders’ Revolving Commitments is $50,000,000.</w:t>
      </w:r>
    </w:p>
    <w:p>
      <w:pPr>
        <w:spacing w:after="0" w:line="200" w:lineRule="exact"/>
        <w:rPr>
          <w:sz w:val="20"/>
          <w:szCs w:val="20"/>
          <w:color w:val="auto"/>
        </w:rPr>
      </w:pPr>
    </w:p>
    <w:p>
      <w:pPr>
        <w:spacing w:after="0" w:line="316" w:lineRule="exact"/>
        <w:rPr>
          <w:sz w:val="20"/>
          <w:szCs w:val="20"/>
          <w:color w:val="auto"/>
        </w:rPr>
      </w:pPr>
    </w:p>
    <w:p>
      <w:pPr>
        <w:jc w:val="both"/>
        <w:ind w:left="200" w:right="219"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Maturity Date</w:t>
      </w:r>
      <w:r>
        <w:rPr>
          <w:rFonts w:ascii="Arial" w:cs="Arial" w:eastAsia="Arial" w:hAnsi="Arial"/>
          <w:sz w:val="19"/>
          <w:szCs w:val="19"/>
          <w:color w:val="auto"/>
        </w:rPr>
        <w:t>” means December 19, 2027 (if the same is a Business Day, or if not then the immediately next succeeding Business Day), or any earlier date on which the Revolving Commitments are reduced to zero or otherwise terminated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563880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137" w:name="page138"/>
    <w:bookmarkEnd w:id="137"/>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with respect to any Lender, at any time, the sum of the aggregate outstanding principal amount of such Lender’s Revolving Loans and its LC Exposure and its Swingline Exposure at such time.</w:t>
      </w:r>
    </w:p>
    <w:p>
      <w:pPr>
        <w:spacing w:after="0" w:line="200" w:lineRule="exact"/>
        <w:rPr>
          <w:sz w:val="20"/>
          <w:szCs w:val="20"/>
          <w:color w:val="auto"/>
        </w:rPr>
      </w:pPr>
    </w:p>
    <w:p>
      <w:pPr>
        <w:spacing w:after="0" w:line="297"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as of any date of determination, a Lender with a Revolving Commitment or, if the Revolving Commitments have terminated or expired, a Lender with Revolving Exposure.</w:t>
      </w:r>
    </w:p>
    <w:p>
      <w:pPr>
        <w:spacing w:after="0" w:line="200" w:lineRule="exact"/>
        <w:rPr>
          <w:sz w:val="20"/>
          <w:szCs w:val="20"/>
          <w:color w:val="auto"/>
        </w:rPr>
      </w:pPr>
    </w:p>
    <w:p>
      <w:pPr>
        <w:spacing w:after="0" w:line="31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 Loan made pursuant to Section 2.01.</w:t>
      </w:r>
    </w:p>
    <w:p>
      <w:pPr>
        <w:spacing w:after="0" w:line="200" w:lineRule="exact"/>
        <w:rPr>
          <w:sz w:val="20"/>
          <w:szCs w:val="20"/>
          <w:color w:val="auto"/>
        </w:rPr>
      </w:pPr>
    </w:p>
    <w:p>
      <w:pPr>
        <w:spacing w:after="0" w:line="34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Borrowing</w:t>
      </w:r>
      <w:r>
        <w:rPr>
          <w:rFonts w:ascii="Arial" w:cs="Arial" w:eastAsia="Arial" w:hAnsi="Arial"/>
          <w:sz w:val="19"/>
          <w:szCs w:val="19"/>
          <w:color w:val="auto"/>
        </w:rPr>
        <w:t>” means, as to any Borrowing, the RFR Loans comprising such Borrowing.</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Adjusted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Standard &amp; Poor’s Financial Services LLC business.</w:t>
      </w:r>
    </w:p>
    <w:p>
      <w:pPr>
        <w:spacing w:after="0" w:line="200" w:lineRule="exact"/>
        <w:rPr>
          <w:sz w:val="20"/>
          <w:szCs w:val="20"/>
          <w:color w:val="auto"/>
        </w:rPr>
      </w:pPr>
    </w:p>
    <w:p>
      <w:pPr>
        <w:spacing w:after="0" w:line="301" w:lineRule="exact"/>
        <w:rPr>
          <w:sz w:val="20"/>
          <w:szCs w:val="20"/>
          <w:color w:val="auto"/>
        </w:rPr>
      </w:pPr>
    </w:p>
    <w:p>
      <w:pPr>
        <w:jc w:val="both"/>
        <w:ind w:left="200" w:right="239" w:firstLine="648"/>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16"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74"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of the U.S.</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w:t>
      </w:r>
      <w:r>
        <w:rPr>
          <w:rFonts w:ascii="Arial" w:cs="Arial" w:eastAsia="Arial" w:hAnsi="Arial"/>
          <w:sz w:val="16"/>
          <w:szCs w:val="16"/>
          <w:color w:val="auto"/>
        </w:rPr>
        <w:t>” means the Second Amendment to Credit Agreement dated as of June 27,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means the effective date of the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368935</wp:posOffset>
            </wp:positionV>
            <wp:extent cx="54521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38" w:name="page139"/>
    <w:bookmarkEnd w:id="138"/>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Secondary Station License</w:t>
      </w:r>
      <w:r>
        <w:rPr>
          <w:rFonts w:ascii="Arial" w:cs="Arial" w:eastAsia="Arial" w:hAnsi="Arial"/>
          <w:sz w:val="20"/>
          <w:szCs w:val="20"/>
          <w:color w:val="auto"/>
        </w:rPr>
        <w:t>” means any governmental approval or authorization issued to the Borrower or any Subsidiary by the FCC or acquired or otherwise transferred to the Borrower or any Subsidiary, which is a Low Power TV Station, TV Translator Station, TV Booster Station, FM Broadcast Translator Station and/or FM Broadcast Booster Station, as such terms are defined in the Communications Act.</w:t>
      </w:r>
    </w:p>
    <w:p>
      <w:pPr>
        <w:spacing w:after="0" w:line="200" w:lineRule="exact"/>
        <w:rPr>
          <w:sz w:val="20"/>
          <w:szCs w:val="20"/>
          <w:color w:val="auto"/>
        </w:rPr>
      </w:pPr>
    </w:p>
    <w:p>
      <w:pPr>
        <w:spacing w:after="0" w:line="32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Obligations, together with all (i) Banking Services Obligations and</w:t>
      </w:r>
    </w:p>
    <w:p>
      <w:pPr>
        <w:spacing w:after="0" w:line="50" w:lineRule="exact"/>
        <w:rPr>
          <w:sz w:val="20"/>
          <w:szCs w:val="20"/>
          <w:color w:val="auto"/>
        </w:rPr>
      </w:pPr>
    </w:p>
    <w:p>
      <w:pPr>
        <w:jc w:val="both"/>
        <w:ind w:left="200" w:right="219" w:firstLine="9"/>
        <w:spacing w:after="0" w:line="288" w:lineRule="auto"/>
        <w:tabs>
          <w:tab w:leader="none" w:pos="5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Swap Agreement Obligations owing to one or more Lenders or their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200" w:lineRule="exact"/>
        <w:rPr>
          <w:sz w:val="20"/>
          <w:szCs w:val="20"/>
          <w:color w:val="auto"/>
        </w:rPr>
      </w:pPr>
    </w:p>
    <w:p>
      <w:pPr>
        <w:spacing w:after="0" w:line="304"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200" w:lineRule="exact"/>
        <w:rPr>
          <w:sz w:val="20"/>
          <w:szCs w:val="20"/>
          <w:color w:val="auto"/>
        </w:rPr>
      </w:pPr>
    </w:p>
    <w:p>
      <w:pPr>
        <w:spacing w:after="0" w:line="319"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200" w:lineRule="exact"/>
        <w:rPr>
          <w:sz w:val="20"/>
          <w:szCs w:val="20"/>
          <w:color w:val="auto"/>
        </w:rPr>
      </w:pPr>
    </w:p>
    <w:p>
      <w:pPr>
        <w:spacing w:after="0" w:line="324"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 Supplement</w:t>
      </w:r>
      <w:r>
        <w:rPr>
          <w:rFonts w:ascii="Arial" w:cs="Arial" w:eastAsia="Arial" w:hAnsi="Arial"/>
          <w:sz w:val="20"/>
          <w:szCs w:val="20"/>
          <w:color w:val="auto"/>
        </w:rPr>
        <w:t>” means a supplement to update the Security Agreement or to add a party thereto.</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Services Agreement</w:t>
      </w:r>
      <w:r>
        <w:rPr>
          <w:rFonts w:ascii="Arial" w:cs="Arial" w:eastAsia="Arial" w:hAnsi="Arial"/>
          <w:sz w:val="20"/>
          <w:szCs w:val="20"/>
          <w:color w:val="auto"/>
        </w:rPr>
        <w:t>” means, with respect to a Broadcasting Station operated by a Person, an agreement (other than a Time Brokerage Agreement) for the cooperation of the licensee of a Broadcasting Station licensed to another Person where one Person acts as an agent for the sale of advertising on the other Broadcasting Station or provides technical or programming advice and/or services to the other Broadcasting Station.</w:t>
      </w:r>
    </w:p>
    <w:p>
      <w:pPr>
        <w:spacing w:after="0" w:line="200" w:lineRule="exact"/>
        <w:rPr>
          <w:sz w:val="20"/>
          <w:szCs w:val="20"/>
          <w:color w:val="auto"/>
        </w:rPr>
      </w:pPr>
    </w:p>
    <w:p>
      <w:pPr>
        <w:spacing w:after="0" w:line="307" w:lineRule="exact"/>
        <w:rPr>
          <w:sz w:val="20"/>
          <w:szCs w:val="20"/>
          <w:color w:val="auto"/>
        </w:rPr>
      </w:pPr>
    </w:p>
    <w:p>
      <w:pPr>
        <w:ind w:left="200" w:right="49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39" w:name="page140"/>
    <w:bookmarkEnd w:id="139"/>
    <w:p>
      <w:pPr>
        <w:jc w:val="both"/>
        <w:ind w:left="200" w:right="219" w:firstLine="648"/>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203"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Determination Date</w:t>
      </w:r>
      <w:r>
        <w:rPr>
          <w:rFonts w:ascii="Arial" w:cs="Arial" w:eastAsia="Arial" w:hAnsi="Arial"/>
          <w:sz w:val="18"/>
          <w:szCs w:val="18"/>
          <w:color w:val="auto"/>
        </w:rPr>
        <w:t>” has the meaning specified in the definition of “Daily Simple SOFR”.</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Rate Day</w:t>
      </w:r>
      <w:r>
        <w:rPr>
          <w:rFonts w:ascii="Arial" w:cs="Arial" w:eastAsia="Arial" w:hAnsi="Arial"/>
          <w:sz w:val="20"/>
          <w:szCs w:val="20"/>
          <w:color w:val="auto"/>
        </w:rPr>
        <w:t>” has the meaning specified in the definition of “Daily Simple SOFR”.</w:t>
      </w:r>
    </w:p>
    <w:p>
      <w:pPr>
        <w:spacing w:after="0" w:line="200" w:lineRule="exact"/>
        <w:rPr>
          <w:sz w:val="20"/>
          <w:szCs w:val="20"/>
          <w:color w:val="auto"/>
        </w:rPr>
      </w:pPr>
    </w:p>
    <w:p>
      <w:pPr>
        <w:spacing w:after="0" w:line="21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w:t>
      </w:r>
      <w:r>
        <w:rPr>
          <w:rFonts w:ascii="Arial" w:cs="Arial" w:eastAsia="Arial" w:hAnsi="Arial"/>
          <w:sz w:val="20"/>
          <w:szCs w:val="20"/>
          <w:color w:val="auto"/>
        </w:rPr>
        <w:t>” has the meaning assigned to such term in Section 2.17(g).</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Station License</w:t>
      </w:r>
      <w:r>
        <w:rPr>
          <w:rFonts w:ascii="Arial" w:cs="Arial" w:eastAsia="Arial" w:hAnsi="Arial"/>
          <w:sz w:val="19"/>
          <w:szCs w:val="19"/>
          <w:color w:val="auto"/>
        </w:rPr>
        <w:t>” means any governmental approval or authorization issued to the Borrower or any Subsidiary by the FCC or acquired or otherwise transferred to the Borrower or any Subsidiary, which is authorized under Title 47 CFR §§73.1-73.190; 73.201-73.333; and/or 73.601-73.699, which includes AM Broadcast Stations, FM Broadcast Stations, and Television Broadcast Stations (as such terms are defined in the Communications Act), but excludes Secondary Station Licenses.</w:t>
      </w:r>
    </w:p>
    <w:p>
      <w:pPr>
        <w:spacing w:after="0" w:line="200" w:lineRule="exact"/>
        <w:rPr>
          <w:sz w:val="20"/>
          <w:szCs w:val="20"/>
          <w:color w:val="auto"/>
        </w:rPr>
      </w:pPr>
    </w:p>
    <w:p>
      <w:pPr>
        <w:spacing w:after="0" w:line="294"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of a Person means any Indebtedness of such Person, the payment of which is subordinated to payment of the Secured Obligations to the written satisfaction of the Administrative Agent.</w:t>
      </w:r>
    </w:p>
    <w:p>
      <w:pPr>
        <w:spacing w:after="0" w:line="200" w:lineRule="exact"/>
        <w:rPr>
          <w:sz w:val="20"/>
          <w:szCs w:val="20"/>
          <w:color w:val="auto"/>
        </w:rPr>
      </w:pPr>
    </w:p>
    <w:p>
      <w:pPr>
        <w:spacing w:after="0" w:line="310"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jc w:val="both"/>
        <w:ind w:left="200" w:right="219"/>
        <w:spacing w:after="0" w:line="288" w:lineRule="auto"/>
        <w:rPr>
          <w:sz w:val="20"/>
          <w:szCs w:val="20"/>
          <w:color w:val="auto"/>
        </w:rPr>
      </w:pPr>
      <w:r>
        <w:rPr>
          <w:rFonts w:ascii="Arial" w:cs="Arial" w:eastAsia="Arial" w:hAnsi="Arial"/>
          <w:sz w:val="20"/>
          <w:szCs w:val="20"/>
          <w:color w:val="auto"/>
        </w:rPr>
        <w:t>held, or (b) that is, as of such date, otherwise Controlled, by the parent or one or more subsidiaries of the parent or by the parent and one or more subsidiaries of the parent.</w:t>
      </w:r>
    </w:p>
    <w:p>
      <w:pPr>
        <w:spacing w:after="0" w:line="200" w:lineRule="exact"/>
        <w:rPr>
          <w:sz w:val="20"/>
          <w:szCs w:val="20"/>
          <w:color w:val="auto"/>
        </w:rPr>
      </w:pPr>
    </w:p>
    <w:p>
      <w:pPr>
        <w:spacing w:after="0" w:line="301"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direct or indirect subsidiary of the Borrower or of any other Loan Party, as applicable.</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assigned to it in Section 9.22.</w:t>
      </w:r>
    </w:p>
    <w:p>
      <w:pPr>
        <w:spacing w:after="0" w:line="200" w:lineRule="exact"/>
        <w:rPr>
          <w:sz w:val="20"/>
          <w:szCs w:val="20"/>
          <w:color w:val="auto"/>
        </w:rPr>
      </w:pPr>
    </w:p>
    <w:p>
      <w:pPr>
        <w:spacing w:after="0" w:line="218"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w:t>
      </w:r>
      <w:r>
        <w:rPr>
          <w:rFonts w:ascii="Arial" w:cs="Arial" w:eastAsia="Arial" w:hAnsi="Arial"/>
          <w:sz w:val="19"/>
          <w:szCs w:val="19"/>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200" w:lineRule="exact"/>
        <w:rPr>
          <w:sz w:val="20"/>
          <w:szCs w:val="20"/>
          <w:color w:val="auto"/>
        </w:rPr>
      </w:pPr>
    </w:p>
    <w:p>
      <w:pPr>
        <w:spacing w:after="0" w:line="311"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Agreement Obligations</w:t>
      </w:r>
      <w:r>
        <w:rPr>
          <w:rFonts w:ascii="Arial" w:cs="Arial" w:eastAsia="Arial" w:hAnsi="Arial"/>
          <w:sz w:val="19"/>
          <w:szCs w:val="19"/>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spacing w:after="0" w:line="200" w:lineRule="exact"/>
        <w:rPr>
          <w:sz w:val="20"/>
          <w:szCs w:val="20"/>
          <w:color w:val="auto"/>
        </w:rPr>
      </w:pPr>
    </w:p>
    <w:p>
      <w:pPr>
        <w:spacing w:after="0" w:line="295"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8"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394"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be the sum of</w:t>
      </w:r>
    </w:p>
    <w:p>
      <w:pPr>
        <w:spacing w:after="0" w:line="1" w:lineRule="exact"/>
        <w:rPr>
          <w:sz w:val="20"/>
          <w:szCs w:val="20"/>
          <w:color w:val="auto"/>
        </w:rPr>
      </w:pPr>
    </w:p>
    <w:p>
      <w:pPr>
        <w:jc w:val="both"/>
        <w:ind w:left="200" w:right="219" w:firstLine="9"/>
        <w:spacing w:after="0" w:line="308" w:lineRule="auto"/>
        <w:tabs>
          <w:tab w:leader="none" w:pos="4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2.19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41" w:name="page142"/>
    <w:bookmarkEnd w:id="141"/>
    <w:p>
      <w:pPr>
        <w:jc w:val="both"/>
        <w:ind w:left="200" w:right="219"/>
        <w:spacing w:after="0" w:line="270" w:lineRule="auto"/>
        <w:rPr>
          <w:sz w:val="20"/>
          <w:szCs w:val="20"/>
          <w:color w:val="auto"/>
        </w:rPr>
      </w:pPr>
      <w:r>
        <w:rPr>
          <w:rFonts w:ascii="Arial" w:cs="Arial" w:eastAsia="Arial" w:hAnsi="Arial"/>
          <w:sz w:val="20"/>
          <w:szCs w:val="20"/>
          <w:color w:val="auto"/>
        </w:rPr>
        <w:t>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w:t>
      </w:r>
    </w:p>
    <w:p>
      <w:pPr>
        <w:spacing w:after="0" w:line="200" w:lineRule="exact"/>
        <w:rPr>
          <w:sz w:val="20"/>
          <w:szCs w:val="20"/>
          <w:color w:val="auto"/>
        </w:rPr>
      </w:pPr>
    </w:p>
    <w:p>
      <w:pPr>
        <w:spacing w:after="0" w:line="31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 as well.</w:t>
      </w:r>
    </w:p>
    <w:p>
      <w:pPr>
        <w:spacing w:after="0" w:line="200" w:lineRule="exact"/>
        <w:rPr>
          <w:sz w:val="20"/>
          <w:szCs w:val="20"/>
          <w:color w:val="auto"/>
        </w:rPr>
      </w:pPr>
    </w:p>
    <w:p>
      <w:pPr>
        <w:spacing w:after="0" w:line="32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Loan made pursuant to Section 2.04.</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38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Debt</w:t>
      </w:r>
      <w:r>
        <w:rPr>
          <w:rFonts w:ascii="Arial" w:cs="Arial" w:eastAsia="Arial" w:hAnsi="Arial"/>
          <w:sz w:val="20"/>
          <w:szCs w:val="20"/>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“Indebtedness” or as a liability on the consolidated balance sheet of such Person and its Subsidiaries in accordance with GAAP.</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0" w:lineRule="exact"/>
        <w:rPr>
          <w:sz w:val="20"/>
          <w:szCs w:val="20"/>
          <w:color w:val="auto"/>
        </w:rPr>
      </w:pPr>
    </w:p>
    <w:p>
      <w:pPr>
        <w:spacing w:after="0" w:line="276" w:lineRule="exact"/>
        <w:rPr>
          <w:sz w:val="20"/>
          <w:szCs w:val="20"/>
          <w:color w:val="auto"/>
        </w:rPr>
      </w:pPr>
    </w:p>
    <w:p>
      <w:pPr>
        <w:jc w:val="both"/>
        <w:ind w:left="200" w:right="23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means the Person, business or division of any Person or substantially all of the assets of a Person, acquired in an Acquisition.</w:t>
      </w:r>
    </w:p>
    <w:p>
      <w:pPr>
        <w:spacing w:after="0" w:line="200" w:lineRule="exact"/>
        <w:rPr>
          <w:sz w:val="20"/>
          <w:szCs w:val="20"/>
          <w:color w:val="auto"/>
        </w:rPr>
      </w:pPr>
    </w:p>
    <w:p>
      <w:pPr>
        <w:spacing w:after="0" w:line="28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Benchmark</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Term SOFR Rate.</w:t>
      </w:r>
    </w:p>
    <w:p>
      <w:pPr>
        <w:spacing w:after="0" w:line="206"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Determination Day</w:t>
      </w:r>
      <w:r>
        <w:rPr>
          <w:rFonts w:ascii="Arial" w:cs="Arial" w:eastAsia="Arial" w:hAnsi="Arial"/>
          <w:sz w:val="20"/>
          <w:szCs w:val="20"/>
          <w:color w:val="auto"/>
        </w:rPr>
        <w:t>” has the meaning assigned to it under the definition of Term SOFR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483235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42" w:name="page143"/>
    <w:bookmarkEnd w:id="142"/>
    <w:p>
      <w:pPr>
        <w:jc w:val="both"/>
        <w:ind w:left="200" w:right="219"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Rate</w:t>
      </w:r>
      <w:r>
        <w:rPr>
          <w:rFonts w:ascii="Arial" w:cs="Arial" w:eastAsia="Arial" w:hAnsi="Arial"/>
          <w:sz w:val="20"/>
          <w:szCs w:val="20"/>
          <w:color w:val="auto"/>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spacing w:after="0" w:line="211"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for any day and time (such day, the “</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 Day</w:t>
      </w:r>
      <w:r>
        <w:rPr>
          <w:rFonts w:ascii="Arial" w:cs="Arial" w:eastAsia="Arial" w:hAnsi="Arial"/>
          <w:sz w:val="18"/>
          <w:szCs w:val="18"/>
          <w:color w:val="auto"/>
        </w:rPr>
        <w:t>”),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3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w:t>
      </w:r>
      <w:r>
        <w:rPr>
          <w:rFonts w:ascii="Arial" w:cs="Arial" w:eastAsia="Arial" w:hAnsi="Arial"/>
          <w:sz w:val="18"/>
          <w:szCs w:val="18"/>
          <w:color w:val="auto"/>
        </w:rPr>
        <w:t>” means the Third Amendment to Credit Agreement dated as of December 19,</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2022.</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means the effective date of the Third Amendment.</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$2,500,000.</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Time Brokerage Agreement</w:t>
      </w:r>
      <w:r>
        <w:rPr>
          <w:rFonts w:ascii="Arial" w:cs="Arial" w:eastAsia="Arial" w:hAnsi="Arial"/>
          <w:sz w:val="20"/>
          <w:szCs w:val="20"/>
          <w:color w:val="auto"/>
        </w:rPr>
        <w:t>” means, with respect to a Broadcasting Station operated by a Person, an agreement that results in the sale by a licensee of a Broadcasting Station of discrete blocks of time to a “broker” that supplies the programming to fill such time block and sells the commercial spot announcements in such time block.</w:t>
      </w:r>
    </w:p>
    <w:p>
      <w:pPr>
        <w:spacing w:after="0" w:line="200" w:lineRule="exact"/>
        <w:rPr>
          <w:sz w:val="20"/>
          <w:szCs w:val="20"/>
          <w:color w:val="auto"/>
        </w:rPr>
      </w:pPr>
    </w:p>
    <w:p>
      <w:pPr>
        <w:spacing w:after="0" w:line="31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200" w:lineRule="exact"/>
        <w:rPr>
          <w:sz w:val="20"/>
          <w:szCs w:val="20"/>
          <w:color w:val="auto"/>
        </w:rPr>
      </w:pPr>
    </w:p>
    <w:p>
      <w:pPr>
        <w:spacing w:after="0" w:line="317" w:lineRule="exact"/>
        <w:rPr>
          <w:sz w:val="20"/>
          <w:szCs w:val="20"/>
          <w:color w:val="auto"/>
        </w:rPr>
      </w:pPr>
    </w:p>
    <w:p>
      <w:pPr>
        <w:jc w:val="both"/>
        <w:ind w:left="200" w:right="239"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Term SOFR Rate, the Adjusted Daily Simple SOFR or the Alternate Base Rate.</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Michigan or in any other state, the laws of which are required to be applied in connection with the issue of perfection of security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jc w:val="both"/>
        <w:ind w:left="200" w:right="219" w:firstLine="64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204"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366"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Unliquidated Obligations</w:t>
      </w:r>
      <w:r>
        <w:rPr>
          <w:rFonts w:ascii="Arial" w:cs="Arial" w:eastAsia="Arial" w:hAnsi="Arial"/>
          <w:sz w:val="19"/>
          <w:szCs w:val="19"/>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200" w:lineRule="exact"/>
        <w:rPr>
          <w:sz w:val="20"/>
          <w:szCs w:val="20"/>
          <w:color w:val="auto"/>
        </w:rPr>
      </w:pPr>
    </w:p>
    <w:p>
      <w:pPr>
        <w:spacing w:after="0" w:line="294" w:lineRule="exact"/>
        <w:rPr>
          <w:sz w:val="20"/>
          <w:szCs w:val="20"/>
          <w:color w:val="auto"/>
        </w:rPr>
      </w:pPr>
    </w:p>
    <w:p>
      <w:pPr>
        <w:jc w:val="both"/>
        <w:ind w:left="200" w:right="219" w:firstLine="64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at any date, the unrestricted cash owned by the Borrower and its Domestic Subsidiaries that are Loan Parties in which the Administrative Agent has a first priority, perfected security interest pursuant to the Collateral Documents. Without limiting the other exclusions in this definition, “Unrestricted Cash” shall not include any cash held by the Borrower or any of its Subsidiaries in escrow, trust or other fiduciary capacity for or on behalf of any Person or subject to any other restriction.</w:t>
      </w:r>
    </w:p>
    <w:p>
      <w:pPr>
        <w:spacing w:after="0" w:line="200" w:lineRule="exact"/>
        <w:rPr>
          <w:sz w:val="20"/>
          <w:szCs w:val="20"/>
          <w:color w:val="auto"/>
        </w:rPr>
      </w:pPr>
    </w:p>
    <w:p>
      <w:pPr>
        <w:spacing w:after="0" w:line="28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388"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Loan Party</w:t>
      </w:r>
      <w:r>
        <w:rPr>
          <w:rFonts w:ascii="Arial" w:cs="Arial" w:eastAsia="Arial" w:hAnsi="Arial"/>
          <w:sz w:val="20"/>
          <w:szCs w:val="20"/>
          <w:color w:val="auto"/>
        </w:rPr>
        <w:t>” means any Loan Party that is organized under the laws of one of the states of the United States of America and that is not a CFC.</w:t>
      </w: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Code.</w:t>
      </w:r>
    </w:p>
    <w:p>
      <w:pPr>
        <w:spacing w:after="0" w:line="200" w:lineRule="exact"/>
        <w:rPr>
          <w:sz w:val="20"/>
          <w:szCs w:val="20"/>
          <w:color w:val="auto"/>
        </w:rPr>
      </w:pPr>
    </w:p>
    <w:p>
      <w:pPr>
        <w:spacing w:after="0" w:line="3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w:t>
      </w:r>
      <w:r>
        <w:rPr>
          <w:rFonts w:ascii="Arial" w:cs="Arial" w:eastAsia="Arial" w:hAnsi="Arial"/>
          <w:sz w:val="20"/>
          <w:szCs w:val="20"/>
          <w:color w:val="auto"/>
        </w:rPr>
        <w:t>” has the meaning assigned to it in Section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524510</wp:posOffset>
            </wp:positionV>
            <wp:extent cx="54521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144" w:name="page145"/>
    <w:bookmarkEnd w:id="144"/>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2.16(f)(ii)(B)</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w:t>
      </w:r>
    </w:p>
    <w:p>
      <w:pPr>
        <w:spacing w:after="0" w:line="177"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97" w:lineRule="exact"/>
        <w:rPr>
          <w:sz w:val="20"/>
          <w:szCs w:val="20"/>
          <w:color w:val="auto"/>
        </w:rPr>
      </w:pPr>
    </w:p>
    <w:p>
      <w:pPr>
        <w:jc w:val="both"/>
        <w:ind w:left="200" w:right="219"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37"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spacing w:after="0" w:line="200" w:lineRule="exact"/>
        <w:rPr>
          <w:sz w:val="20"/>
          <w:szCs w:val="20"/>
          <w:color w:val="auto"/>
        </w:rPr>
      </w:pPr>
    </w:p>
    <w:p>
      <w:pPr>
        <w:spacing w:after="0" w:line="309"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315595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jc w:val="both"/>
        <w:ind w:left="200" w:right="219"/>
        <w:spacing w:after="0" w:line="303" w:lineRule="auto"/>
        <w:rPr>
          <w:sz w:val="20"/>
          <w:szCs w:val="20"/>
          <w:color w:val="auto"/>
        </w:rPr>
      </w:pPr>
      <w:r>
        <w:rPr>
          <w:rFonts w:ascii="Arial" w:cs="Arial" w:eastAsia="Arial" w:hAnsi="Arial"/>
          <w:sz w:val="18"/>
          <w:szCs w:val="18"/>
          <w:color w:val="auto"/>
        </w:rPr>
        <w:t>“hereunder”,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79"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00" w:lineRule="exact"/>
        <w:rPr>
          <w:sz w:val="20"/>
          <w:szCs w:val="20"/>
          <w:color w:val="auto"/>
        </w:rPr>
      </w:pPr>
    </w:p>
    <w:p>
      <w:pPr>
        <w:spacing w:after="0" w:line="298" w:lineRule="exact"/>
        <w:rPr>
          <w:sz w:val="20"/>
          <w:szCs w:val="20"/>
          <w:color w:val="auto"/>
        </w:rPr>
      </w:pPr>
    </w:p>
    <w:p>
      <w:pPr>
        <w:jc w:val="both"/>
        <w:ind w:left="200" w:right="219" w:firstLine="657"/>
        <w:spacing w:after="0" w:line="300" w:lineRule="auto"/>
        <w:tabs>
          <w:tab w:leader="none" w:pos="14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200" w:lineRule="exact"/>
        <w:rPr>
          <w:sz w:val="20"/>
          <w:szCs w:val="20"/>
          <w:color w:val="auto"/>
        </w:rPr>
      </w:pPr>
    </w:p>
    <w:p>
      <w:pPr>
        <w:spacing w:after="0" w:line="295" w:lineRule="exact"/>
        <w:rPr>
          <w:sz w:val="20"/>
          <w:szCs w:val="20"/>
          <w:color w:val="auto"/>
        </w:rPr>
      </w:pPr>
    </w:p>
    <w:p>
      <w:pPr>
        <w:jc w:val="both"/>
        <w:ind w:left="200" w:right="219" w:firstLine="648"/>
        <w:spacing w:after="0" w:line="30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Interest Rates; Benchmark Notifications</w:t>
      </w:r>
      <w:r>
        <w:rPr>
          <w:rFonts w:ascii="Arial" w:cs="Arial" w:eastAsia="Arial" w:hAnsi="Arial"/>
          <w:sz w:val="18"/>
          <w:szCs w:val="18"/>
          <w:color w:val="auto"/>
        </w:rPr>
        <w:t>. The interest rate on a Loan denominated in dollars may be derived from an interest rate benchmark that may be discontinued or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 have any liability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46" w:name="page147"/>
    <w:bookmarkEnd w:id="146"/>
    <w:p>
      <w:pPr>
        <w:jc w:val="both"/>
        <w:ind w:left="200" w:right="219"/>
        <w:spacing w:after="0" w:line="296" w:lineRule="auto"/>
        <w:rPr>
          <w:sz w:val="20"/>
          <w:szCs w:val="20"/>
          <w:color w:val="auto"/>
        </w:rPr>
      </w:pPr>
      <w:r>
        <w:rPr>
          <w:rFonts w:ascii="Arial" w:cs="Arial" w:eastAsia="Arial" w:hAnsi="Arial"/>
          <w:sz w:val="18"/>
          <w:szCs w:val="18"/>
          <w:color w:val="auto"/>
        </w:rPr>
        <w:t>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306"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Pro Forma Adjustments for Acquisitions and Dispositions</w:t>
      </w:r>
      <w:r>
        <w:rPr>
          <w:rFonts w:ascii="Arial" w:cs="Arial" w:eastAsia="Arial" w:hAnsi="Arial"/>
          <w:sz w:val="19"/>
          <w:szCs w:val="19"/>
          <w:color w:val="auto"/>
        </w:rPr>
        <w:t>. To the extent the Borrower or any Subsidiary makes any Permitted Acquisition or disposition of assets outside the ordinary course of business permitted by Section 6.05 during the period of four fiscal quarters of the Borrower most recently ended, the Consolidated Net Leverage Ratio and Consolidated Fixed Charge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or such disposition (and any related incurrence, repayment or assumption of Indebtedness) had occurred in the first day of such four-quarter period; provided that calculation of Adjusted Consolidated EBITDA shall be determined on a pro forma basis as described in the definition thereof.</w:t>
      </w:r>
    </w:p>
    <w:p>
      <w:pPr>
        <w:spacing w:after="0" w:line="200" w:lineRule="exact"/>
        <w:rPr>
          <w:sz w:val="20"/>
          <w:szCs w:val="20"/>
          <w:color w:val="auto"/>
        </w:rPr>
      </w:pPr>
    </w:p>
    <w:p>
      <w:pPr>
        <w:spacing w:after="0" w:line="319"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Status of Obligations</w:t>
      </w:r>
      <w:r>
        <w:rPr>
          <w:rFonts w:ascii="Arial" w:cs="Arial" w:eastAsia="Arial" w:hAnsi="Arial"/>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561975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47" w:name="page148"/>
    <w:bookmarkEnd w:id="147"/>
    <w:p>
      <w:pPr>
        <w:jc w:val="both"/>
        <w:ind w:left="1500" w:right="219" w:firstLine="716"/>
        <w:spacing w:after="0" w:line="271" w:lineRule="auto"/>
        <w:rPr>
          <w:sz w:val="20"/>
          <w:szCs w:val="20"/>
          <w:color w:val="auto"/>
        </w:rPr>
      </w:pPr>
      <w:r>
        <w:rPr>
          <w:rFonts w:ascii="Arial" w:cs="Arial" w:eastAsia="Arial" w:hAnsi="Arial"/>
          <w:sz w:val="21"/>
          <w:szCs w:val="21"/>
          <w:u w:val="single" w:color="auto"/>
          <w:color w:val="auto"/>
        </w:rPr>
        <w:t>Letters Of Credit.</w:t>
      </w:r>
      <w:r>
        <w:rPr>
          <w:rFonts w:ascii="Arial" w:cs="Arial" w:eastAsia="Arial" w:hAnsi="Arial"/>
          <w:sz w:val="21"/>
          <w:szCs w:val="21"/>
          <w:color w:val="auto"/>
        </w:rPr>
        <w:t xml:space="preserve"> </w:t>
      </w:r>
      <w:r>
        <w:rPr>
          <w:rFonts w:ascii="Arial" w:cs="Arial" w:eastAsia="Arial" w:hAnsi="Arial"/>
          <w:sz w:val="18"/>
          <w:szCs w:val="18"/>
          <w:color w:val="auto"/>
        </w:rPr>
        <w:t>Unless otherwise specified herein, the amount of a Letter of</w:t>
      </w:r>
      <w:r>
        <w:rPr>
          <w:rFonts w:ascii="Arial" w:cs="Arial" w:eastAsia="Arial" w:hAnsi="Arial"/>
          <w:sz w:val="21"/>
          <w:szCs w:val="21"/>
          <w:color w:val="auto"/>
        </w:rPr>
        <w:t xml:space="preserve"> </w:t>
      </w:r>
      <w:r>
        <w:rPr>
          <w:rFonts w:ascii="Arial" w:cs="Arial" w:eastAsia="Arial" w:hAnsi="Arial"/>
          <w:sz w:val="18"/>
          <w:szCs w:val="18"/>
          <w:color w:val="auto"/>
        </w:rPr>
        <w:t>Credit at any time shall be deemed to be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207" w:lineRule="exact"/>
        <w:rPr>
          <w:sz w:val="20"/>
          <w:szCs w:val="20"/>
          <w:color w:val="auto"/>
        </w:rPr>
      </w:pPr>
    </w:p>
    <w:p>
      <w:pPr>
        <w:jc w:val="both"/>
        <w:ind w:left="1500" w:right="219" w:firstLine="711"/>
        <w:spacing w:after="0" w:line="282" w:lineRule="auto"/>
        <w:rPr>
          <w:sz w:val="20"/>
          <w:szCs w:val="20"/>
          <w:color w:val="auto"/>
        </w:rPr>
      </w:pP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Credits</w:t>
      </w:r>
    </w:p>
    <w:p>
      <w:pPr>
        <w:spacing w:after="0" w:line="200" w:lineRule="exact"/>
        <w:rPr>
          <w:sz w:val="20"/>
          <w:szCs w:val="20"/>
          <w:color w:val="auto"/>
        </w:rPr>
      </w:pPr>
    </w:p>
    <w:p>
      <w:pPr>
        <w:spacing w:after="0" w:line="205"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2.09(a))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w:t>
      </w:r>
    </w:p>
    <w:p>
      <w:pPr>
        <w:spacing w:after="0" w:line="3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Loans and Borrowings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8" w:name="page149"/>
    <w:bookmarkEnd w:id="148"/>
    <w:p>
      <w:pPr>
        <w:jc w:val="both"/>
        <w:ind w:left="200" w:right="219" w:firstLine="1305"/>
        <w:spacing w:after="0" w:line="268" w:lineRule="auto"/>
        <w:tabs>
          <w:tab w:leader="none" w:pos="1906"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Loan (other than a Swingline Loan) shall be made as part of a Borrowing consisting of Loans of the same Class and Type made by the Lenders ratably in accordance with their respective Revolving Commitments of the applicable Class. The failure of any Lender to make any Loan required to be made by it shall not relieve any other Lender of its obligations hereunder; provided that the Revolving Commitments of the Lenders are several and no Lender shall be responsible for any other Lender’s failure to make Loans as required. Any Swingline Loan shall be made in accordance with the procedures set forth in Section 2.04.</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jc w:val="both"/>
        <w:ind w:left="200" w:right="219" w:firstLine="1305"/>
        <w:spacing w:after="0" w:line="280" w:lineRule="auto"/>
        <w:tabs>
          <w:tab w:leader="none" w:pos="183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Subject to Section 2.13, each Revolving Borrowing shall be comprised entirely of ABR Loans, Term Benchmark Loans or RFR Loans as the Borrower may request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all Revolving Borrowings made on the Effective Date must be made as ABR Borrowings but may be converted into Term Benchmark Borrowings in accordance with Section 2.07 and (ii) RFR Loans are only available under this Agreement as a result of the application on Section 2.13. Each Swingline Loan shall be an ABR Loan. Each Lender at its option may make any Loan by causing any domestic or foreign branch or Affiliate of such Lender to make such Loan (and in the case of an Affiliate, the provisions of Sections 2.13, 2.14, 2.15 and 2.16 shall apply to such Affiliate to the same extent as to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jc w:val="both"/>
        <w:ind w:left="200" w:right="219" w:firstLine="1305"/>
        <w:spacing w:after="0" w:line="299" w:lineRule="auto"/>
        <w:tabs>
          <w:tab w:leader="none" w:pos="18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Term Benchmark Revolving Borrowing, such Borrowing shall be in an aggregate amount that is an integral multiple of $500,000 and not less than $1,000,000. At the time that each ABR Revolving Borrowing is made, such Borrowing shall be in an aggregate amount that is an integral multiple of $100,000 and not less than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2.05(e). Each Swingline Loan shall be in an amount that is an integral multiple of $25,000 and not less than $50,000 or other amount acceptable to the Swingline Lender.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four Term Benchmark Borrowings outstanding.</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both"/>
        <w:ind w:left="200" w:right="239" w:firstLine="1305"/>
        <w:spacing w:after="0" w:line="271" w:lineRule="auto"/>
        <w:tabs>
          <w:tab w:leader="none" w:pos="1896"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left="200" w:right="219" w:firstLine="1305"/>
        <w:spacing w:after="0" w:line="303" w:lineRule="auto"/>
        <w:tabs>
          <w:tab w:leader="none" w:pos="17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all “Eurodollar Loans” (as defined in this Agreement immediately prior to giving effect to the Third Amendment (the “Existing Credit Agreement”) outstanding as of the Third Amendment Effective Date shall remain as Eurodollar Loans until the end of the current Interest Period applicable thereto and, upon the expiration of such current Interest Period, shall be converted to Term Benchmark Loans with an Interest Period of one (1) month (the “SOFR Conversion'”). Subject to the SOFR Conversion, all other terms and conditions set forth in this Agreement with respect to Term Benchmark Loans shall apply to such Eurodollar Loans, mutatis mutandis.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49" w:name="page150"/>
    <w:bookmarkEnd w:id="149"/>
    <w:p>
      <w:pPr>
        <w:jc w:val="both"/>
        <w:ind w:left="200" w:right="219" w:firstLine="1296"/>
        <w:spacing w:after="0" w:line="29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Borrower shall notify the Administrative Agent of such request either in writing (delivered by hand or fax) by delivering a Borrowing Request signed by a Responsible Officer of the Borrower or through Electronic System, if arrangements for doing so have been approved by the Administrative Agent (a) (i) in the case of a Term Benchmark Borrowing, not later than 10:00 a.m., Chicago time, three Business Days before the date of the proposed Borrowing or (ii) in the case of an RFR Borrowing, not later than 10:00 a.m., Chicago time, five Business Days before the date of the proposed Borrowing (b) in the case of an ABR Borrowing, not later than 10:00 a.m., Chicago time, on the date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an ABR Revolving Borrowing to finance the reimbursement of an LC Disbursement as contemplated by Section 2.05(e) may be given not later than 9:00 a.m., Chicago time, on the date of the proposed Borrowing. Each such Borrowing Request shall be irrevocable. Each such and written Borrowing Request shall specify the following information in compliance with Section 2.01:</w:t>
      </w:r>
    </w:p>
    <w:p>
      <w:pPr>
        <w:spacing w:after="0" w:line="200" w:lineRule="exact"/>
        <w:rPr>
          <w:sz w:val="20"/>
          <w:szCs w:val="20"/>
          <w:color w:val="auto"/>
        </w:rPr>
      </w:pPr>
    </w:p>
    <w:p>
      <w:pPr>
        <w:spacing w:after="0" w:line="283" w:lineRule="exact"/>
        <w:rPr>
          <w:sz w:val="20"/>
          <w:szCs w:val="20"/>
          <w:color w:val="auto"/>
        </w:rPr>
      </w:pPr>
    </w:p>
    <w:p>
      <w:pPr>
        <w:ind w:left="2160" w:right="239" w:hanging="655"/>
        <w:spacing w:after="0" w:line="288" w:lineRule="auto"/>
        <w:tabs>
          <w:tab w:leader="none" w:pos="2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Type of Borrowing, the aggregate amount of the requested Borrowing, and a breakdown of the separate wires comprising such Borrowing;</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left="2160" w:hanging="655"/>
        <w:spacing w:after="0"/>
        <w:tabs>
          <w:tab w:leader="none" w:pos="2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jc w:val="both"/>
        <w:ind w:left="2160" w:right="219" w:hanging="655"/>
        <w:spacing w:after="0" w:line="299" w:lineRule="auto"/>
        <w:tabs>
          <w:tab w:leader="none" w:pos="21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whether such Borrowing is to be an ABR Borrowing or a Term Benchmark Borrowing or an RFR Borrowing, provided that RFR loans are only available under this Agreement as the result of the application of Section 2.13; and</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jc w:val="both"/>
        <w:ind w:left="2160" w:right="219" w:hanging="655"/>
        <w:spacing w:after="0" w:line="271" w:lineRule="auto"/>
        <w:tabs>
          <w:tab w:leader="none" w:pos="2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 the case of a Term Benchmark Borrowing, the initial Interest Period to be applicable thereto, which shall be a period contemplated by the definition of the term “Interest Period.”</w:t>
      </w:r>
    </w:p>
    <w:p>
      <w:pPr>
        <w:spacing w:after="0" w:line="200" w:lineRule="exact"/>
        <w:rPr>
          <w:sz w:val="20"/>
          <w:szCs w:val="20"/>
          <w:color w:val="auto"/>
        </w:rPr>
      </w:pPr>
    </w:p>
    <w:p>
      <w:pPr>
        <w:spacing w:after="0" w:line="317"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If no election as to the Type of Revolving Borrowing is specified, then the requested Revolving Borrowing shall be an ABR Borrowing.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Swingline Loans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ind w:left="200" w:right="239" w:firstLine="1305"/>
        <w:spacing w:after="0" w:line="316" w:lineRule="auto"/>
        <w:tabs>
          <w:tab w:leader="none" w:pos="21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from time to time during the Availability Period, the Swingline Lender may, in its sole discretion, make Swingline Loans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50" w:name="page151"/>
    <w:bookmarkEnd w:id="150"/>
    <w:p>
      <w:pPr>
        <w:jc w:val="both"/>
        <w:ind w:left="200" w:right="219"/>
        <w:spacing w:after="0" w:line="297" w:lineRule="auto"/>
        <w:rPr>
          <w:sz w:val="20"/>
          <w:szCs w:val="20"/>
          <w:color w:val="auto"/>
        </w:rPr>
      </w:pPr>
      <w:r>
        <w:rPr>
          <w:rFonts w:ascii="Arial" w:cs="Arial" w:eastAsia="Arial" w:hAnsi="Arial"/>
          <w:sz w:val="18"/>
          <w:szCs w:val="18"/>
          <w:color w:val="auto"/>
        </w:rPr>
        <w:t>Borrower, in an aggregate principal amount at any time outstanding that will not result in (i) the aggregate principal amount of outstanding Swingline Loans exceeding $5,000,000, (ii) the Swingline Lender’s Revolving Exposure exceeding its Revolving Commitment, or (iii) the Aggregate Revolving Exposure exceeding the aggregate Revolving Commitments. Within the foregoing limits and subject to the terms and conditions set forth herein, the Borrower may borrow, prepay and reborrow Swingline Loans. To request a Swingline Loan, the Borrower shall notify the Administrative Agent of such request by telephone (confirmed by fax), not later than 10:00 a.m., Chicago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may, in its sole discretion, make each Swingline Loan available to the Borrower by means of a credit to the Funding Account(s) (or, in the case of a Swingline Loan made to finance the reimbursement of an LC Disbursement as provided in Section 2.05(e), by remittance to the Issuing Bank, and in the case of repayment of another Loan or fees or expenses as provided by Section 2.17(c), by remittance to the Administrative Agent to be distributed to the Lenders) by 2:00 p.m., Chicago time, on the requested date of such Swingline Loan.</w:t>
      </w:r>
    </w:p>
    <w:p>
      <w:pPr>
        <w:spacing w:after="0" w:line="200" w:lineRule="exact"/>
        <w:rPr>
          <w:sz w:val="20"/>
          <w:szCs w:val="20"/>
          <w:color w:val="auto"/>
        </w:rPr>
      </w:pPr>
    </w:p>
    <w:p>
      <w:pPr>
        <w:spacing w:after="0" w:line="291" w:lineRule="exact"/>
        <w:rPr>
          <w:sz w:val="20"/>
          <w:szCs w:val="20"/>
          <w:color w:val="auto"/>
        </w:rPr>
      </w:pPr>
    </w:p>
    <w:p>
      <w:pPr>
        <w:jc w:val="both"/>
        <w:ind w:left="200" w:right="219" w:firstLine="1305"/>
        <w:spacing w:after="0" w:line="295" w:lineRule="auto"/>
        <w:tabs>
          <w:tab w:leader="none" w:pos="21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Chicago time, on a Business Day no later than 4:00 p.m., Chicago time on such Business Day and if received after 11:00 a.m., Chicago time, “on a Business Day” shall mean no later than 9:00 a.m. Chicago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(and Section 2.06 shall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to the payment obligations of the Lenders), and the Administrative Agent shall promptly pay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1" w:name="page152"/>
    <w:bookmarkEnd w:id="151"/>
    <w:p>
      <w:pPr>
        <w:ind w:left="200" w:right="219"/>
        <w:spacing w:after="0" w:line="316" w:lineRule="auto"/>
        <w:rPr>
          <w:sz w:val="20"/>
          <w:szCs w:val="20"/>
          <w:color w:val="auto"/>
        </w:rPr>
      </w:pPr>
      <w:r>
        <w:rPr>
          <w:rFonts w:ascii="Arial" w:cs="Arial" w:eastAsia="Arial" w:hAnsi="Arial"/>
          <w:sz w:val="19"/>
          <w:szCs w:val="19"/>
          <w:color w:val="auto"/>
        </w:rPr>
        <w:t>required to be refunded to the Borrower for any reason.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Letters of Credit</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ind w:left="200" w:right="219" w:firstLine="1305"/>
        <w:spacing w:after="0" w:line="294" w:lineRule="auto"/>
        <w:tabs>
          <w:tab w:leader="none" w:pos="21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Borrower may request the issuance of Letters of Credit denominated in dollars as the applicant thereof for the support of its or its Subsidiaries’ obligations, in a form reasonably acceptable to the Administrative Agent and the Issuing Bank, at any time and from time to time during the Availability Period and the Issuing Bank may, but shall have no obligation, to issue such requested Letters of Credit pursuant to this Agreement.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paragraph, the Borrower will be fully responsible for the reimbursement of LC Disbursements in accordance with the terms hereof, the payment of interest thereon and the payment of fees due under Section 2.11(b)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594360</wp:posOffset>
            </wp:positionV>
            <wp:extent cx="545211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2" w:name="page153"/>
    <w:bookmarkEnd w:id="152"/>
    <w:p>
      <w:pPr>
        <w:jc w:val="both"/>
        <w:ind w:left="200" w:right="219" w:firstLine="1305"/>
        <w:spacing w:after="0" w:line="293"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To request the issuance of a Letter of Credit (or the amendment, renewal or extension of an outstanding Letter of Credit), the Borrower shall hand deliver or fax (or transmit through Electronic System, if arrangements for doing so have been approved by the Issuing Bank) to the Issuing Bank and the Administrative Agent (reasonably in advance of the requested date of issuance, amendment, renewal or extension, but in any event no less than three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bank’s standard form (each, a “Letter of Credit Agreement”).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shall not exceed $10,000,000, (ii) no Revolving Lender’s Revolving Exposure shall exceed its Revolving Commitment and</w:t>
      </w:r>
    </w:p>
    <w:p>
      <w:pPr>
        <w:spacing w:after="0" w:line="14" w:lineRule="exact"/>
        <w:rPr>
          <w:rFonts w:ascii="Arial" w:cs="Arial" w:eastAsia="Arial" w:hAnsi="Arial"/>
          <w:sz w:val="18"/>
          <w:szCs w:val="18"/>
          <w:color w:val="auto"/>
        </w:rPr>
      </w:pPr>
    </w:p>
    <w:p>
      <w:pPr>
        <w:jc w:val="both"/>
        <w:ind w:left="300" w:right="219" w:hanging="91"/>
        <w:spacing w:after="0" w:line="274" w:lineRule="auto"/>
        <w:tabs>
          <w:tab w:leader="none" w:pos="642"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Aggregate Revolving Exposure shall not exceed the aggregate Revolving Commitments. Notwithstanding the foregoing or anything to the contrary contained herein, no Issuing Bank shall be</w:t>
      </w:r>
    </w:p>
    <w:p>
      <w:pPr>
        <w:spacing w:after="0" w:line="1"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9"/>
          <w:szCs w:val="19"/>
          <w:color w:val="auto"/>
        </w:rPr>
        <w:t>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2.05(b).</w:t>
      </w:r>
    </w:p>
    <w:p>
      <w:pPr>
        <w:spacing w:after="0" w:line="200" w:lineRule="exact"/>
        <w:rPr>
          <w:sz w:val="20"/>
          <w:szCs w:val="20"/>
          <w:color w:val="auto"/>
        </w:rPr>
      </w:pPr>
    </w:p>
    <w:p>
      <w:pPr>
        <w:spacing w:after="0" w:line="311" w:lineRule="exact"/>
        <w:rPr>
          <w:sz w:val="20"/>
          <w:szCs w:val="20"/>
          <w:color w:val="auto"/>
        </w:rPr>
      </w:pPr>
    </w:p>
    <w:p>
      <w:pPr>
        <w:jc w:val="both"/>
        <w:ind w:left="200" w:right="219" w:firstLine="1305"/>
        <w:spacing w:after="0" w:line="266" w:lineRule="auto"/>
        <w:tabs>
          <w:tab w:leader="none" w:pos="2144"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expire (or be subject to termination or non-renewal by notice from the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Revolving Credit Maturity Date.</w:t>
      </w:r>
    </w:p>
    <w:p>
      <w:pPr>
        <w:spacing w:after="0" w:line="200" w:lineRule="exact"/>
        <w:rPr>
          <w:rFonts w:ascii="Arial" w:cs="Arial" w:eastAsia="Arial" w:hAnsi="Arial"/>
          <w:sz w:val="20"/>
          <w:szCs w:val="20"/>
          <w:color w:val="auto"/>
        </w:rPr>
      </w:pPr>
    </w:p>
    <w:p>
      <w:pPr>
        <w:spacing w:after="0" w:line="322" w:lineRule="exact"/>
        <w:rPr>
          <w:rFonts w:ascii="Arial" w:cs="Arial" w:eastAsia="Arial" w:hAnsi="Arial"/>
          <w:sz w:val="20"/>
          <w:szCs w:val="20"/>
          <w:color w:val="auto"/>
        </w:rPr>
      </w:pPr>
    </w:p>
    <w:p>
      <w:pPr>
        <w:ind w:left="200" w:right="219" w:firstLine="1305"/>
        <w:spacing w:after="0" w:line="303" w:lineRule="auto"/>
        <w:tabs>
          <w:tab w:leader="none" w:pos="214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306705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3" w:name="page154"/>
    <w:bookmarkEnd w:id="153"/>
    <w:p>
      <w:pPr>
        <w:jc w:val="both"/>
        <w:ind w:left="200" w:right="219"/>
        <w:spacing w:after="0" w:line="300" w:lineRule="auto"/>
        <w:rPr>
          <w:sz w:val="20"/>
          <w:szCs w:val="20"/>
          <w:color w:val="auto"/>
        </w:rPr>
      </w:pPr>
      <w:r>
        <w:rPr>
          <w:rFonts w:ascii="Arial" w:cs="Arial" w:eastAsia="Arial" w:hAnsi="Arial"/>
          <w:sz w:val="18"/>
          <w:szCs w:val="18"/>
          <w:color w:val="auto"/>
        </w:rPr>
        <w:t>Lender’s Applicable Percentage of each LC Disbursement made by the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200" w:lineRule="exact"/>
        <w:rPr>
          <w:sz w:val="20"/>
          <w:szCs w:val="20"/>
          <w:color w:val="auto"/>
        </w:rPr>
      </w:pPr>
    </w:p>
    <w:p>
      <w:pPr>
        <w:spacing w:after="0" w:line="295" w:lineRule="exact"/>
        <w:rPr>
          <w:sz w:val="20"/>
          <w:szCs w:val="20"/>
          <w:color w:val="auto"/>
        </w:rPr>
      </w:pPr>
    </w:p>
    <w:p>
      <w:pPr>
        <w:jc w:val="both"/>
        <w:ind w:left="200" w:right="219" w:firstLine="1305"/>
        <w:spacing w:after="0" w:line="295" w:lineRule="auto"/>
        <w:tabs>
          <w:tab w:leader="none" w:pos="21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Borrower shall reimburse such LC Disbursement by paying to the Administrative Agent an amount equal to such LC Disbursement not later than 11:00 a.m., Chicago time, on (i) the Business Day that the Borrower receives notice of such LC Disbursement, if such notice is received prior to 9:00 a.m., Chicago time, on the day of receipt, or (ii) the Business Day immediately following the day that the Borrower receives such notice, if such notice is received after 9:00 a.m., Chicago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subject to the conditions to borrowing set forth herein, request in accordance with Section 2.03 or 2.04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2.06 with respect to Loans made by such Lender (and Section 2.06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Borrower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w:t>
      </w: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both"/>
        <w:ind w:left="200" w:right="219" w:firstLine="1305"/>
        <w:spacing w:after="0" w:line="299" w:lineRule="auto"/>
        <w:tabs>
          <w:tab w:leader="none" w:pos="21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4" w:name="page155"/>
    <w:bookmarkEnd w:id="154"/>
    <w:p>
      <w:pPr>
        <w:jc w:val="both"/>
        <w:ind w:left="200" w:right="219"/>
        <w:spacing w:after="0" w:line="296" w:lineRule="auto"/>
        <w:rPr>
          <w:sz w:val="20"/>
          <w:szCs w:val="20"/>
          <w:color w:val="auto"/>
        </w:rPr>
      </w:pPr>
      <w:r>
        <w:rPr>
          <w:rFonts w:ascii="Arial" w:cs="Arial" w:eastAsia="Arial" w:hAnsi="Arial"/>
          <w:sz w:val="18"/>
          <w:szCs w:val="18"/>
          <w:color w:val="auto"/>
        </w:rPr>
        <w:t xml:space="preserve">or provide a right of setoff against, the Borrower’s obligations hereunder. None of the Administrative Agent, the Revolving Lenders or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98" w:lineRule="exact"/>
        <w:rPr>
          <w:sz w:val="20"/>
          <w:szCs w:val="20"/>
          <w:color w:val="auto"/>
        </w:rPr>
      </w:pPr>
    </w:p>
    <w:p>
      <w:pPr>
        <w:jc w:val="both"/>
        <w:ind w:left="200" w:right="219" w:firstLine="1305"/>
        <w:spacing w:after="0" w:line="282" w:lineRule="auto"/>
        <w:tabs>
          <w:tab w:leader="none" w:pos="214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fax or through Electronic Systems) of such demand for payment and whether the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the Issuing Bank and the Revolving Lenders with respect to any such LC Disbursement.</w:t>
      </w:r>
    </w:p>
    <w:p>
      <w:pPr>
        <w:spacing w:after="0" w:line="200" w:lineRule="exact"/>
        <w:rPr>
          <w:rFonts w:ascii="Arial" w:cs="Arial" w:eastAsia="Arial" w:hAnsi="Arial"/>
          <w:sz w:val="19"/>
          <w:szCs w:val="19"/>
          <w:color w:val="auto"/>
        </w:rPr>
      </w:pPr>
    </w:p>
    <w:p>
      <w:pPr>
        <w:spacing w:after="0" w:line="311" w:lineRule="exact"/>
        <w:rPr>
          <w:rFonts w:ascii="Arial" w:cs="Arial" w:eastAsia="Arial" w:hAnsi="Arial"/>
          <w:sz w:val="19"/>
          <w:szCs w:val="19"/>
          <w:color w:val="auto"/>
        </w:rPr>
      </w:pPr>
    </w:p>
    <w:p>
      <w:pPr>
        <w:jc w:val="both"/>
        <w:ind w:left="200" w:right="219" w:firstLine="1305"/>
        <w:spacing w:after="0" w:line="299" w:lineRule="auto"/>
        <w:tabs>
          <w:tab w:leader="none" w:pos="214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paragraph (e) of this Section, then Section 2.12(c)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both"/>
        <w:ind w:left="200" w:right="219" w:firstLine="1305"/>
        <w:spacing w:after="0" w:line="314" w:lineRule="auto"/>
        <w:tabs>
          <w:tab w:leader="none" w:pos="214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(i) The Issuing Bank may be replaced at any time by written agreement among the Borrower, the Administrative Agent, the replaced Issuing Bank and the successor Issuing Bank. The Administrative Agent shall notify the Revolving Lenders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309245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5" w:name="page156"/>
    <w:bookmarkEnd w:id="155"/>
    <w:p>
      <w:pPr>
        <w:jc w:val="both"/>
        <w:ind w:left="200" w:right="219"/>
        <w:spacing w:after="0" w:line="299" w:lineRule="auto"/>
        <w:rPr>
          <w:sz w:val="20"/>
          <w:szCs w:val="20"/>
          <w:color w:val="auto"/>
        </w:rPr>
      </w:pPr>
      <w:r>
        <w:rPr>
          <w:rFonts w:ascii="Arial" w:cs="Arial" w:eastAsia="Arial" w:hAnsi="Arial"/>
          <w:sz w:val="18"/>
          <w:szCs w:val="18"/>
          <w:color w:val="auto"/>
        </w:rPr>
        <w:t>replacement of the Issuing Bank. At the time any such replacement shall become effective, the Borrower shall pay all unpaid fees accrued for the account of the replaced Issuing Bank pursuant to Section 2.11(b).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200" w:lineRule="exact"/>
        <w:rPr>
          <w:sz w:val="20"/>
          <w:szCs w:val="20"/>
          <w:color w:val="auto"/>
        </w:rPr>
      </w:pPr>
    </w:p>
    <w:p>
      <w:pPr>
        <w:spacing w:after="0" w:line="299" w:lineRule="exact"/>
        <w:rPr>
          <w:sz w:val="20"/>
          <w:szCs w:val="20"/>
          <w:color w:val="auto"/>
        </w:rPr>
      </w:pPr>
    </w:p>
    <w:p>
      <w:pPr>
        <w:jc w:val="both"/>
        <w:ind w:left="200" w:right="219" w:firstLine="1305"/>
        <w:spacing w:after="0" w:line="270" w:lineRule="auto"/>
        <w:tabs>
          <w:tab w:leader="none" w:pos="1818"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Subject to the appointment and acceptance of a successor Issuing Bank, the Issuing Bank may resign as an Issuing Bank at any time upon thirty days’ prior written notice to the Administrative Agent, the Borrower and the Lenders, in which case, such Issuing Bank shall be replaced in accordance with Section 2.06(i) above.</w:t>
      </w:r>
    </w:p>
    <w:p>
      <w:pPr>
        <w:spacing w:after="0" w:line="200" w:lineRule="exact"/>
        <w:rPr>
          <w:sz w:val="20"/>
          <w:szCs w:val="20"/>
          <w:color w:val="auto"/>
        </w:rPr>
      </w:pPr>
    </w:p>
    <w:p>
      <w:pPr>
        <w:spacing w:after="0" w:line="318" w:lineRule="exact"/>
        <w:rPr>
          <w:sz w:val="20"/>
          <w:szCs w:val="20"/>
          <w:color w:val="auto"/>
        </w:rPr>
      </w:pPr>
    </w:p>
    <w:p>
      <w:pPr>
        <w:jc w:val="both"/>
        <w:ind w:left="200" w:right="219" w:firstLine="1305"/>
        <w:spacing w:after="0" w:line="295" w:lineRule="auto"/>
        <w:tabs>
          <w:tab w:leader="none" w:pos="214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105% of the amount of the LC Exposure as of such date plus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2.10(b) or 2.19. Each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6" w:name="page157"/>
    <w:bookmarkEnd w:id="156"/>
    <w:p>
      <w:pPr>
        <w:jc w:val="both"/>
        <w:ind w:left="200" w:right="219" w:firstLine="1305"/>
        <w:spacing w:after="0" w:line="297" w:lineRule="auto"/>
        <w:tabs>
          <w:tab w:leader="none" w:pos="21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Issuing Bank Reports to the Administrative Agent</w:t>
      </w:r>
      <w:r>
        <w:rPr>
          <w:rFonts w:ascii="Arial" w:cs="Arial" w:eastAsia="Arial" w:hAnsi="Arial"/>
          <w:sz w:val="18"/>
          <w:szCs w:val="18"/>
          <w:color w:val="auto"/>
        </w:rPr>
        <w:t>. Unless otherwise agreed by the Administrative Agent or unless JPMCB is the only Issuing Bank,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jc w:val="both"/>
        <w:ind w:left="200" w:right="219" w:firstLine="1305"/>
        <w:spacing w:after="0" w:line="269" w:lineRule="auto"/>
        <w:tabs>
          <w:tab w:leader="none" w:pos="214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LC Exposure Determination</w:t>
      </w:r>
      <w:r>
        <w:rPr>
          <w:rFonts w:ascii="Arial" w:cs="Arial" w:eastAsia="Arial" w:hAnsi="Arial"/>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200" w:lineRule="exact"/>
        <w:rPr>
          <w:rFonts w:ascii="Arial" w:cs="Arial" w:eastAsia="Arial" w:hAnsi="Arial"/>
          <w:sz w:val="20"/>
          <w:szCs w:val="20"/>
          <w:color w:val="auto"/>
        </w:rPr>
      </w:pPr>
    </w:p>
    <w:p>
      <w:pPr>
        <w:spacing w:after="0" w:line="320" w:lineRule="exact"/>
        <w:rPr>
          <w:rFonts w:ascii="Arial" w:cs="Arial" w:eastAsia="Arial" w:hAnsi="Arial"/>
          <w:sz w:val="20"/>
          <w:szCs w:val="20"/>
          <w:color w:val="auto"/>
        </w:rPr>
      </w:pPr>
    </w:p>
    <w:p>
      <w:pPr>
        <w:jc w:val="both"/>
        <w:ind w:left="200" w:right="219" w:firstLine="1305"/>
        <w:spacing w:after="0" w:line="297" w:lineRule="auto"/>
        <w:tabs>
          <w:tab w:leader="none" w:pos="21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30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Funding of Borrowings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1305"/>
        <w:spacing w:after="0" w:line="314" w:lineRule="auto"/>
        <w:tabs>
          <w:tab w:leader="none" w:pos="214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such Lender hereunder on the proposed date thereof by wire transfer of immediately available funds by 1:00 p.m., Chicago time, to the account of the Administrative Agent most recently designated by it for such purpose by notice to the Lenders in an amount equal to such Lender’s Applicable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and Swingline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57" w:name="page158"/>
    <w:bookmarkEnd w:id="157"/>
    <w:p>
      <w:pPr>
        <w:jc w:val="both"/>
        <w:ind w:left="200" w:right="219"/>
        <w:spacing w:after="0" w:line="308" w:lineRule="auto"/>
        <w:rPr>
          <w:sz w:val="20"/>
          <w:szCs w:val="20"/>
          <w:color w:val="auto"/>
        </w:rPr>
      </w:pPr>
      <w:r>
        <w:rPr>
          <w:rFonts w:ascii="Arial" w:cs="Arial" w:eastAsia="Arial" w:hAnsi="Arial"/>
          <w:sz w:val="18"/>
          <w:szCs w:val="18"/>
          <w:color w:val="auto"/>
        </w:rPr>
        <w:t xml:space="preserve">shall be made as provided in Section 2.04. The Administrative Agent will make such Loans available to the Borrower by promptly crediting the amounts so received, in like funds, to the Funding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Revolving Loans made to finance the reimbursement of an LC Disbursement as provided in Section 2.05(e) shall be remitted by the Administrative Agent to the Issuing Bank.</w:t>
      </w:r>
    </w:p>
    <w:p>
      <w:pPr>
        <w:spacing w:after="0" w:line="200" w:lineRule="exact"/>
        <w:rPr>
          <w:sz w:val="20"/>
          <w:szCs w:val="20"/>
          <w:color w:val="auto"/>
        </w:rPr>
      </w:pPr>
    </w:p>
    <w:p>
      <w:pPr>
        <w:spacing w:after="0" w:line="276" w:lineRule="exact"/>
        <w:rPr>
          <w:sz w:val="20"/>
          <w:szCs w:val="20"/>
          <w:color w:val="auto"/>
        </w:rPr>
      </w:pPr>
    </w:p>
    <w:p>
      <w:pPr>
        <w:jc w:val="both"/>
        <w:ind w:left="200" w:right="219" w:firstLine="1305"/>
        <w:spacing w:after="0" w:line="276" w:lineRule="auto"/>
        <w:tabs>
          <w:tab w:leader="none" w:pos="21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Revolving Loans. If such Lender pays such amount to the Administrative Agent, then such amount shall constitute such Lender’s Loan included in such Borrowing; provided,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36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Interest Elections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82" w:lineRule="auto"/>
        <w:tabs>
          <w:tab w:leader="none" w:pos="1867" w:val="left"/>
        </w:tabs>
        <w:numPr>
          <w:ilvl w:val="0"/>
          <w:numId w:val="85"/>
        </w:numPr>
        <w:rPr>
          <w:rFonts w:ascii="Arial" w:cs="Arial" w:eastAsia="Arial" w:hAnsi="Arial"/>
          <w:sz w:val="19"/>
          <w:szCs w:val="19"/>
          <w:color w:val="auto"/>
        </w:rPr>
      </w:pPr>
      <w:r>
        <w:rPr>
          <w:rFonts w:ascii="Arial" w:cs="Arial" w:eastAsia="Arial" w:hAnsi="Arial"/>
          <w:sz w:val="19"/>
          <w:szCs w:val="19"/>
          <w:color w:val="auto"/>
        </w:rPr>
        <w:t>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00" w:lineRule="exact"/>
        <w:rPr>
          <w:rFonts w:ascii="Arial" w:cs="Arial" w:eastAsia="Arial" w:hAnsi="Arial"/>
          <w:sz w:val="19"/>
          <w:szCs w:val="19"/>
          <w:color w:val="auto"/>
        </w:rPr>
      </w:pPr>
    </w:p>
    <w:p>
      <w:pPr>
        <w:spacing w:after="0" w:line="311" w:lineRule="exact"/>
        <w:rPr>
          <w:rFonts w:ascii="Arial" w:cs="Arial" w:eastAsia="Arial" w:hAnsi="Arial"/>
          <w:sz w:val="19"/>
          <w:szCs w:val="19"/>
          <w:color w:val="auto"/>
        </w:rPr>
      </w:pPr>
    </w:p>
    <w:p>
      <w:pPr>
        <w:jc w:val="both"/>
        <w:ind w:left="200" w:right="219" w:firstLine="1305"/>
        <w:spacing w:after="0" w:line="268" w:lineRule="auto"/>
        <w:tabs>
          <w:tab w:leader="none" w:pos="1974" w:val="left"/>
        </w:tabs>
        <w:numPr>
          <w:ilvl w:val="0"/>
          <w:numId w:val="85"/>
        </w:numPr>
        <w:rPr>
          <w:rFonts w:ascii="Arial" w:cs="Arial" w:eastAsia="Arial" w:hAnsi="Arial"/>
          <w:sz w:val="20"/>
          <w:szCs w:val="20"/>
          <w:color w:val="auto"/>
        </w:rPr>
      </w:pPr>
      <w:r>
        <w:rPr>
          <w:rFonts w:ascii="Arial" w:cs="Arial" w:eastAsia="Arial" w:hAnsi="Arial"/>
          <w:sz w:val="20"/>
          <w:szCs w:val="20"/>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Interest Election Request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583565</wp:posOffset>
            </wp:positionV>
            <wp:extent cx="5452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8" w:name="page159"/>
    <w:bookmarkEnd w:id="158"/>
    <w:p>
      <w:pPr>
        <w:ind w:left="200" w:right="219" w:firstLine="1305"/>
        <w:spacing w:after="0" w:line="288" w:lineRule="auto"/>
        <w:tabs>
          <w:tab w:leader="none" w:pos="1939" w:val="left"/>
        </w:tabs>
        <w:numPr>
          <w:ilvl w:val="0"/>
          <w:numId w:val="86"/>
        </w:numPr>
        <w:rPr>
          <w:rFonts w:ascii="Arial" w:cs="Arial" w:eastAsia="Arial" w:hAnsi="Arial"/>
          <w:sz w:val="20"/>
          <w:szCs w:val="20"/>
          <w:color w:val="auto"/>
        </w:rPr>
      </w:pPr>
      <w:r>
        <w:rPr>
          <w:rFonts w:ascii="Arial" w:cs="Arial" w:eastAsia="Arial" w:hAnsi="Arial"/>
          <w:sz w:val="20"/>
          <w:szCs w:val="20"/>
          <w:color w:val="auto"/>
        </w:rPr>
        <w:t>Each Interest Election Request (including requests submitted through Electronic System) shall specify the following information in compliance with Section 2.02:</w:t>
      </w:r>
    </w:p>
    <w:p>
      <w:pPr>
        <w:spacing w:after="0" w:line="200" w:lineRule="exact"/>
        <w:rPr>
          <w:sz w:val="20"/>
          <w:szCs w:val="20"/>
          <w:color w:val="auto"/>
        </w:rPr>
      </w:pPr>
    </w:p>
    <w:p>
      <w:pPr>
        <w:spacing w:after="0" w:line="301" w:lineRule="exact"/>
        <w:rPr>
          <w:sz w:val="20"/>
          <w:szCs w:val="20"/>
          <w:color w:val="auto"/>
        </w:rPr>
      </w:pPr>
    </w:p>
    <w:p>
      <w:pPr>
        <w:jc w:val="both"/>
        <w:ind w:left="860" w:right="219" w:firstLine="645"/>
        <w:spacing w:after="0" w:line="292" w:lineRule="auto"/>
        <w:tabs>
          <w:tab w:leader="none" w:pos="18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1200" w:hanging="343"/>
        <w:spacing w:after="0"/>
        <w:tabs>
          <w:tab w:leader="none" w:pos="12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below shall be specified for each resulting Borrowing);</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860" w:right="219" w:firstLine="645"/>
        <w:spacing w:after="0" w:line="274" w:lineRule="auto"/>
        <w:tabs>
          <w:tab w:leader="none" w:pos="19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effective date of the election made pursuant to such Interest Election Request, which shall be a Business Day;</w:t>
      </w:r>
    </w:p>
    <w:p>
      <w:pPr>
        <w:spacing w:after="0" w:line="200" w:lineRule="exact"/>
        <w:rPr>
          <w:rFonts w:ascii="Arial" w:cs="Arial" w:eastAsia="Arial" w:hAnsi="Arial"/>
          <w:sz w:val="20"/>
          <w:szCs w:val="20"/>
          <w:color w:val="auto"/>
        </w:rPr>
      </w:pPr>
    </w:p>
    <w:p>
      <w:pPr>
        <w:spacing w:after="0" w:line="314" w:lineRule="exact"/>
        <w:rPr>
          <w:rFonts w:ascii="Arial" w:cs="Arial" w:eastAsia="Arial" w:hAnsi="Arial"/>
          <w:sz w:val="20"/>
          <w:szCs w:val="20"/>
          <w:color w:val="auto"/>
        </w:rPr>
      </w:pPr>
    </w:p>
    <w:p>
      <w:pPr>
        <w:jc w:val="both"/>
        <w:ind w:left="860" w:right="219" w:firstLine="645"/>
        <w:spacing w:after="0" w:line="278" w:lineRule="auto"/>
        <w:tabs>
          <w:tab w:leader="none" w:pos="1947" w:val="left"/>
        </w:tabs>
        <w:numPr>
          <w:ilvl w:val="1"/>
          <w:numId w:val="88"/>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Term Benchmark Borrowing or an RFR Borrowing, provided that RFR Loans are only available under this Agreement as a result of the application of Section 2.13; and</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jc w:val="both"/>
        <w:ind w:left="860" w:right="219" w:firstLine="645"/>
        <w:spacing w:after="0" w:line="271" w:lineRule="auto"/>
        <w:tabs>
          <w:tab w:leader="none" w:pos="19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200" w:lineRule="exact"/>
        <w:rPr>
          <w:sz w:val="20"/>
          <w:szCs w:val="20"/>
          <w:color w:val="auto"/>
        </w:rPr>
      </w:pPr>
    </w:p>
    <w:p>
      <w:pPr>
        <w:spacing w:after="0" w:line="317"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color w:val="auto"/>
        </w:rPr>
        <w:t>If any such Interest Election Request requests a Term Benchamrk Borrowing but does not specify an Interest Period, then the Borrower shall be deemed to have selected an Interest Period of one month’s duration.</w:t>
      </w:r>
    </w:p>
    <w:p>
      <w:pPr>
        <w:spacing w:after="0" w:line="200" w:lineRule="exact"/>
        <w:rPr>
          <w:sz w:val="20"/>
          <w:szCs w:val="20"/>
          <w:color w:val="auto"/>
        </w:rPr>
      </w:pPr>
    </w:p>
    <w:p>
      <w:pPr>
        <w:spacing w:after="0" w:line="317" w:lineRule="exact"/>
        <w:rPr>
          <w:sz w:val="20"/>
          <w:szCs w:val="20"/>
          <w:color w:val="auto"/>
        </w:rPr>
      </w:pPr>
    </w:p>
    <w:p>
      <w:pPr>
        <w:jc w:val="both"/>
        <w:ind w:left="200" w:right="219" w:firstLine="1305"/>
        <w:spacing w:after="0" w:line="278" w:lineRule="auto"/>
        <w:tabs>
          <w:tab w:leader="none" w:pos="1862"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applicable Class of the details thereof and of such Lender’s portion of each resulting Borrowing.</w:t>
      </w:r>
    </w:p>
    <w:p>
      <w:pPr>
        <w:spacing w:after="0" w:line="200" w:lineRule="exact"/>
        <w:rPr>
          <w:rFonts w:ascii="Arial" w:cs="Arial" w:eastAsia="Arial" w:hAnsi="Arial"/>
          <w:sz w:val="20"/>
          <w:szCs w:val="20"/>
          <w:color w:val="auto"/>
        </w:rPr>
      </w:pPr>
    </w:p>
    <w:p>
      <w:pPr>
        <w:spacing w:after="0" w:line="283" w:lineRule="exact"/>
        <w:rPr>
          <w:rFonts w:ascii="Arial" w:cs="Arial" w:eastAsia="Arial" w:hAnsi="Arial"/>
          <w:sz w:val="20"/>
          <w:szCs w:val="20"/>
          <w:color w:val="auto"/>
        </w:rPr>
      </w:pPr>
    </w:p>
    <w:p>
      <w:pPr>
        <w:jc w:val="both"/>
        <w:ind w:left="200" w:right="219" w:firstLine="1305"/>
        <w:spacing w:after="0" w:line="249" w:lineRule="auto"/>
        <w:tabs>
          <w:tab w:leader="none" w:pos="1815"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and each RFR Borrowing shall be converted to an ABR Borrowing at the end of the Interest Period applicable thereto.</w:t>
      </w:r>
    </w:p>
    <w:p>
      <w:pPr>
        <w:spacing w:after="0" w:line="391" w:lineRule="exact"/>
        <w:rPr>
          <w:sz w:val="20"/>
          <w:szCs w:val="20"/>
          <w:color w:val="auto"/>
        </w:rPr>
      </w:pPr>
    </w:p>
    <w:p>
      <w:pPr>
        <w:ind w:left="200" w:right="219" w:firstLine="1296"/>
        <w:spacing w:after="0" w:line="288"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Termination and Reduction of Revolving Commitments; Increase in</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59" w:name="page160"/>
    <w:bookmarkEnd w:id="159"/>
    <w:p>
      <w:pPr>
        <w:ind w:left="200" w:right="239" w:firstLine="1305"/>
        <w:spacing w:after="0" w:line="288" w:lineRule="auto"/>
        <w:tabs>
          <w:tab w:leader="none" w:pos="1857" w:val="left"/>
        </w:tabs>
        <w:numPr>
          <w:ilvl w:val="0"/>
          <w:numId w:val="90"/>
        </w:numPr>
        <w:rPr>
          <w:rFonts w:ascii="Arial" w:cs="Arial" w:eastAsia="Arial" w:hAnsi="Arial"/>
          <w:sz w:val="20"/>
          <w:szCs w:val="20"/>
          <w:color w:val="auto"/>
        </w:rPr>
      </w:pPr>
      <w:r>
        <w:rPr>
          <w:rFonts w:ascii="Arial" w:cs="Arial" w:eastAsia="Arial" w:hAnsi="Arial"/>
          <w:sz w:val="20"/>
          <w:szCs w:val="20"/>
          <w:color w:val="auto"/>
        </w:rPr>
        <w:t>Unless previously terminated, all the Revolving Commitments shall terminate­ on the Revolving Credit Maturity Date.</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left="200" w:right="219" w:firstLine="1305"/>
        <w:spacing w:after="0" w:line="260" w:lineRule="auto"/>
        <w:tabs>
          <w:tab w:leader="none" w:pos="1924"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Borrower may at any time terminate the Revolving Commitments upon the Payment in Full of the Secured Obligations.</w:t>
      </w:r>
    </w:p>
    <w:p>
      <w:pPr>
        <w:spacing w:after="0" w:line="365" w:lineRule="exact"/>
        <w:rPr>
          <w:rFonts w:ascii="Arial" w:cs="Arial" w:eastAsia="Arial" w:hAnsi="Arial"/>
          <w:sz w:val="20"/>
          <w:szCs w:val="20"/>
          <w:color w:val="auto"/>
        </w:rPr>
      </w:pPr>
    </w:p>
    <w:p>
      <w:pPr>
        <w:jc w:val="both"/>
        <w:ind w:left="200" w:right="219" w:firstLine="1305"/>
        <w:spacing w:after="0" w:line="249" w:lineRule="auto"/>
        <w:tabs>
          <w:tab w:leader="none" w:pos="1859"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reduce the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the Revolving Commitments shall be in an amount that is an integral multiple of $10,000,000 and not less than $10,000,000 and (ii) the Borrower shall not terminate or reduce the Revolving Commitments if, after giving effect to any concurrent prepayment of the Revolving Loans in accordance with Section 2.10, the Aggregate Revolving Exposure would exceed the aggregate Revolving Commitments.</w:t>
      </w:r>
    </w:p>
    <w:p>
      <w:pPr>
        <w:spacing w:after="0" w:line="390" w:lineRule="exact"/>
        <w:rPr>
          <w:rFonts w:ascii="Arial" w:cs="Arial" w:eastAsia="Arial" w:hAnsi="Arial"/>
          <w:sz w:val="20"/>
          <w:szCs w:val="20"/>
          <w:color w:val="auto"/>
        </w:rPr>
      </w:pPr>
    </w:p>
    <w:p>
      <w:pPr>
        <w:jc w:val="both"/>
        <w:ind w:left="200" w:right="219" w:firstLine="1305"/>
        <w:spacing w:after="0" w:line="297" w:lineRule="auto"/>
        <w:tabs>
          <w:tab w:leader="none" w:pos="1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left="200" w:right="219" w:firstLine="1305"/>
        <w:spacing w:after="0" w:line="299" w:lineRule="auto"/>
        <w:tabs>
          <w:tab w:leader="none" w:pos="17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 shall have the right to increase the Revolving Commitments by obtaining additional Revolving Commitments, either from one or more of the Lenders or another lending institution, provided that (i) any such request for an increase shall be in a minimum amount of $10,000,000, (ii) the Borrower may make a maximum of three such requests, (iii) after giving effect thereto, the sum of the total of the additional Revolving Commitments does not exceed $50,000,000, (iv) the Administrative Agent , the Swingline Lender and the Issuing Bank have approved the identity of any such new Lender, such approvals not to be unreasonably withheld, (v) any such new Lender assumes all of the rights and obligations of a “Lender” hereunder, and (vi) the procedures described in Section 2.08(f) below have been satisfied. Nothing contained in this Section 2.08 shall constitute, or otherwise be deemed to be, a commitment on the part of any Lender to increase its Revolving Commitment hereunder at any time.</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both"/>
        <w:ind w:left="200" w:right="219" w:firstLine="1305"/>
        <w:spacing w:after="0" w:line="300" w:lineRule="auto"/>
        <w:tabs>
          <w:tab w:leader="none" w:pos="17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amendment hereto for such an increase or addition shall be in form and substance satisfactory to the Administrative Agent and shall only require the written signatures of the Administrative Agent, the Borrower and each Lender being added or increasing its Revolving Commitment, subject only to the approval of all Lenders if any such increase or addition would cause the Revolving Commitments to exceed $100,000,000 in the aggregate. As a condition precedent to such an increase or addition, the Borrower shall deliver to the Administrative Agent (i) a certificate of each Loan Party signed by an authorized officer of such Loan Party (A) certifying and attaching the resolutions adopted by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0" w:name="page161"/>
    <w:bookmarkEnd w:id="160"/>
    <w:p>
      <w:pPr>
        <w:jc w:val="both"/>
        <w:ind w:left="200" w:right="219"/>
        <w:spacing w:after="0" w:line="303" w:lineRule="auto"/>
        <w:rPr>
          <w:sz w:val="20"/>
          <w:szCs w:val="20"/>
          <w:color w:val="auto"/>
        </w:rPr>
      </w:pPr>
      <w:r>
        <w:rPr>
          <w:rFonts w:ascii="Arial" w:cs="Arial" w:eastAsia="Arial" w:hAnsi="Arial"/>
          <w:sz w:val="18"/>
          <w:szCs w:val="18"/>
          <w:color w:val="auto"/>
        </w:rPr>
        <w:t>Party approving or consenting to such increase, and (B) in the case of the Borrower,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 is in compliance (on a pro forma basis) with the covenants contained in Section 6.11 and (ii) legal opinions and documents consistent with those delivered on the Effective Date, to the extent requested by the Administrative Agent.</w:t>
      </w:r>
    </w:p>
    <w:p>
      <w:pPr>
        <w:spacing w:after="0" w:line="200" w:lineRule="exact"/>
        <w:rPr>
          <w:sz w:val="20"/>
          <w:szCs w:val="20"/>
          <w:color w:val="auto"/>
        </w:rPr>
      </w:pPr>
    </w:p>
    <w:p>
      <w:pPr>
        <w:spacing w:after="0" w:line="279" w:lineRule="exact"/>
        <w:rPr>
          <w:sz w:val="20"/>
          <w:szCs w:val="20"/>
          <w:color w:val="auto"/>
        </w:rPr>
      </w:pPr>
    </w:p>
    <w:p>
      <w:pPr>
        <w:jc w:val="both"/>
        <w:ind w:left="200" w:right="219" w:firstLine="1305"/>
        <w:spacing w:after="0" w:line="296" w:lineRule="auto"/>
        <w:tabs>
          <w:tab w:leader="none" w:pos="21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2.15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whereupon such revised Commitment Schedule shall replace the old Commitment Schedule and become part of this Agreement.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Repayment and Amortization of Loans; Evidence of Debt</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1305"/>
        <w:spacing w:after="0" w:line="263" w:lineRule="auto"/>
        <w:tabs>
          <w:tab w:leader="none" w:pos="214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Borrower hereby unconditionally promises to pay (i) to the Administrative Agent for the account of each Revolving Lender the then unpaid principal amount of each Revolving Loan on the Revolving Credit Maturity Date, and (ii) to the Swingline Lender the then unpaid principal amount of each Swingline Loan on the earlier of the Revolving Credit Maturity Date and the Business Day after such Swingline Loan is made if required by the Swingline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not required by the Swingline Lender, on each date that a Revolving Loan is made, the Borrower shall repay all Swingline Loans then outstanding and the proceeds of any such Revolving Loan shall be applied by the Administrative Agent to repay any Swingline Loans outstanding.</w:t>
      </w:r>
    </w:p>
    <w:p>
      <w:pPr>
        <w:spacing w:after="0" w:line="379" w:lineRule="exact"/>
        <w:rPr>
          <w:rFonts w:ascii="Arial" w:cs="Arial" w:eastAsia="Arial" w:hAnsi="Arial"/>
          <w:sz w:val="19"/>
          <w:szCs w:val="19"/>
          <w:color w:val="auto"/>
        </w:rPr>
      </w:pPr>
    </w:p>
    <w:p>
      <w:pPr>
        <w:ind w:left="200" w:right="219" w:firstLine="1305"/>
        <w:spacing w:after="0" w:line="403" w:lineRule="auto"/>
        <w:tabs>
          <w:tab w:leader="none" w:pos="1828"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 to such Lender resulting from each Loan made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269875</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1" w:name="page162"/>
    <w:bookmarkEnd w:id="161"/>
    <w:p>
      <w:pPr>
        <w:ind w:left="200" w:right="219"/>
        <w:spacing w:after="0" w:line="288" w:lineRule="auto"/>
        <w:rPr>
          <w:sz w:val="20"/>
          <w:szCs w:val="20"/>
          <w:color w:val="auto"/>
        </w:rPr>
      </w:pPr>
      <w:r>
        <w:rPr>
          <w:rFonts w:ascii="Arial" w:cs="Arial" w:eastAsia="Arial" w:hAnsi="Arial"/>
          <w:sz w:val="20"/>
          <w:szCs w:val="20"/>
          <w:color w:val="auto"/>
        </w:rPr>
        <w:t>Lender, including the amounts of principal and interest payable and paid to such Lender from time to time hereunder.</w:t>
      </w:r>
    </w:p>
    <w:p>
      <w:pPr>
        <w:spacing w:after="0" w:line="200" w:lineRule="exact"/>
        <w:rPr>
          <w:sz w:val="20"/>
          <w:szCs w:val="20"/>
          <w:color w:val="auto"/>
        </w:rPr>
      </w:pPr>
    </w:p>
    <w:p>
      <w:pPr>
        <w:spacing w:after="0" w:line="301" w:lineRule="exact"/>
        <w:rPr>
          <w:sz w:val="20"/>
          <w:szCs w:val="20"/>
          <w:color w:val="auto"/>
        </w:rPr>
      </w:pPr>
    </w:p>
    <w:p>
      <w:pPr>
        <w:jc w:val="both"/>
        <w:ind w:left="200" w:right="219" w:firstLine="1305"/>
        <w:spacing w:after="0" w:line="286" w:lineRule="auto"/>
        <w:tabs>
          <w:tab w:leader="none" w:pos="1896"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jc w:val="both"/>
        <w:ind w:left="200" w:right="219" w:firstLine="1305"/>
        <w:spacing w:after="0" w:line="269" w:lineRule="auto"/>
        <w:tabs>
          <w:tab w:leader="none" w:pos="1866"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200" w:lineRule="exact"/>
        <w:rPr>
          <w:rFonts w:ascii="Arial" w:cs="Arial" w:eastAsia="Arial" w:hAnsi="Arial"/>
          <w:sz w:val="20"/>
          <w:szCs w:val="20"/>
          <w:color w:val="auto"/>
        </w:rPr>
      </w:pPr>
    </w:p>
    <w:p>
      <w:pPr>
        <w:spacing w:after="0" w:line="306" w:lineRule="exact"/>
        <w:rPr>
          <w:rFonts w:ascii="Arial" w:cs="Arial" w:eastAsia="Arial" w:hAnsi="Arial"/>
          <w:sz w:val="20"/>
          <w:szCs w:val="20"/>
          <w:color w:val="auto"/>
        </w:rPr>
      </w:pPr>
    </w:p>
    <w:p>
      <w:pPr>
        <w:jc w:val="both"/>
        <w:ind w:left="200" w:right="219" w:firstLine="1305"/>
        <w:spacing w:after="0" w:line="282" w:lineRule="auto"/>
        <w:tabs>
          <w:tab w:leader="none" w:pos="18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Prepayment of Loans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71" w:lineRule="auto"/>
        <w:tabs>
          <w:tab w:leader="none" w:pos="1864"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Borrower shall have the right at any time and from time to time to prepay any Borrowing in whole or in part, subject to prior notice in accordance with paragraph (c) of this Section and, if applicable, payment of any break funding expenses under Section 2.15.</w:t>
      </w:r>
    </w:p>
    <w:p>
      <w:pPr>
        <w:spacing w:after="0" w:line="200" w:lineRule="exact"/>
        <w:rPr>
          <w:rFonts w:ascii="Arial" w:cs="Arial" w:eastAsia="Arial" w:hAnsi="Arial"/>
          <w:sz w:val="20"/>
          <w:szCs w:val="20"/>
          <w:color w:val="auto"/>
        </w:rPr>
      </w:pPr>
    </w:p>
    <w:p>
      <w:pPr>
        <w:spacing w:after="0" w:line="303" w:lineRule="exact"/>
        <w:rPr>
          <w:rFonts w:ascii="Arial" w:cs="Arial" w:eastAsia="Arial" w:hAnsi="Arial"/>
          <w:sz w:val="20"/>
          <w:szCs w:val="20"/>
          <w:color w:val="auto"/>
        </w:rPr>
      </w:pPr>
    </w:p>
    <w:p>
      <w:pPr>
        <w:jc w:val="both"/>
        <w:ind w:left="200" w:right="219" w:firstLine="1305"/>
        <w:spacing w:after="0" w:line="288" w:lineRule="auto"/>
        <w:tabs>
          <w:tab w:leader="none" w:pos="1844"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event and on such occasion that the Aggregate Revolving Exposure exceeds the aggregate Revolving Commitments, the Borrower shall prepay the Revolving Loans, and/or LC Exposure and/or Swingline Loans (or, if no such Borrowings are outstanding, deposit cash collateral in the LC Collateral Account in an aggregate amount equal to such excess, in accordance with Section 2.05(j)).</w:t>
      </w:r>
    </w:p>
    <w:p>
      <w:pPr>
        <w:spacing w:after="0" w:line="180" w:lineRule="exact"/>
        <w:rPr>
          <w:rFonts w:ascii="Arial" w:cs="Arial" w:eastAsia="Arial" w:hAnsi="Arial"/>
          <w:sz w:val="18"/>
          <w:szCs w:val="18"/>
          <w:color w:val="auto"/>
        </w:rPr>
      </w:pPr>
    </w:p>
    <w:p>
      <w:pPr>
        <w:jc w:val="both"/>
        <w:ind w:left="200" w:right="219" w:firstLine="1305"/>
        <w:spacing w:after="0" w:line="292" w:lineRule="auto"/>
        <w:tabs>
          <w:tab w:leader="none" w:pos="1825"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(and, in the case of prepayment of a Swingline Loan, the Swingline Lender) by telephone (confirmed by fax) or through Electronic System, if arrangements for doing so have been approved by the Administrative Agent, of any prepayment under this Section: (i) in the case of prepayment of a Term Benchmark Borrowing, not later than 10:00 a.m., Chicago time, three (3) Business Days before the date of prepayment, (ii) in the case of prepayment of an RFR Revolving Borrowing not later than five (5) Business Days before the date of prepayment, (iii) in the case of prepayment of an ABR Borrowing, not later than 10:00 a.m., Chicago time, on the date of prepayment or</w:t>
      </w:r>
    </w:p>
    <w:p>
      <w:pPr>
        <w:spacing w:after="0" w:line="5" w:lineRule="exact"/>
        <w:rPr>
          <w:rFonts w:ascii="Arial" w:cs="Arial" w:eastAsia="Arial" w:hAnsi="Arial"/>
          <w:sz w:val="18"/>
          <w:szCs w:val="18"/>
          <w:color w:val="auto"/>
        </w:rPr>
      </w:pPr>
    </w:p>
    <w:p>
      <w:pPr>
        <w:ind w:left="540" w:hanging="331"/>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prepayment of a Swingline Loan, not later than 11:00 a.m., Chicago time,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54521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2" w:name="page163"/>
    <w:bookmarkEnd w:id="162"/>
    <w:p>
      <w:pPr>
        <w:jc w:val="both"/>
        <w:ind w:left="200" w:right="219"/>
        <w:spacing w:after="0" w:line="299" w:lineRule="auto"/>
        <w:rPr>
          <w:sz w:val="20"/>
          <w:szCs w:val="20"/>
          <w:color w:val="auto"/>
        </w:rPr>
      </w:pPr>
      <w:r>
        <w:rPr>
          <w:rFonts w:ascii="Arial" w:cs="Arial" w:eastAsia="Arial" w:hAnsi="Arial"/>
          <w:sz w:val="18"/>
          <w:szCs w:val="18"/>
          <w:color w:val="auto"/>
        </w:rPr>
        <w:t xml:space="preserve">of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Revolving Commitments as contemplated by Section 2.08, then such notice of prepayment may be revoked if such notice of termination is revoked in accordance with Section 2.08. Promptly following receipt of any such notice, the Administrative Agent shall advise the Lenders of the contents thereof. Each partial prepayment of any Revolving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2.12 and (ii) break funding payments pursuant to Section 2.15.</w:t>
      </w:r>
    </w:p>
    <w:p>
      <w:pPr>
        <w:spacing w:after="0" w:line="200" w:lineRule="exact"/>
        <w:rPr>
          <w:sz w:val="20"/>
          <w:szCs w:val="20"/>
          <w:color w:val="auto"/>
        </w:rPr>
      </w:pPr>
    </w:p>
    <w:p>
      <w:pPr>
        <w:spacing w:after="0" w:line="2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Fees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82" w:lineRule="auto"/>
        <w:tabs>
          <w:tab w:leader="none" w:pos="180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Accrued commitment fees shall be payable in arrears on the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jc w:val="both"/>
        <w:ind w:left="200" w:right="219" w:firstLine="1305"/>
        <w:spacing w:after="0" w:line="296" w:lineRule="auto"/>
        <w:tabs>
          <w:tab w:leader="none" w:pos="18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Term Benchmark Revolving Loans on the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of 0.25% per annum on the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3" w:name="page164"/>
    <w:bookmarkEnd w:id="163"/>
    <w:p>
      <w:pPr>
        <w:jc w:val="both"/>
        <w:ind w:left="200" w:right="219"/>
        <w:spacing w:after="0" w:line="270" w:lineRule="auto"/>
        <w:rPr>
          <w:sz w:val="20"/>
          <w:szCs w:val="20"/>
          <w:color w:val="auto"/>
        </w:rPr>
      </w:pPr>
      <w:r>
        <w:rPr>
          <w:rFonts w:ascii="Arial" w:cs="Arial" w:eastAsia="Arial" w:hAnsi="Arial"/>
          <w:sz w:val="20"/>
          <w:szCs w:val="20"/>
          <w:color w:val="auto"/>
        </w:rPr>
        <w:t>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318" w:lineRule="exact"/>
        <w:rPr>
          <w:sz w:val="20"/>
          <w:szCs w:val="20"/>
          <w:color w:val="auto"/>
        </w:rPr>
      </w:pPr>
    </w:p>
    <w:p>
      <w:pPr>
        <w:jc w:val="both"/>
        <w:ind w:left="200" w:right="239" w:firstLine="1305"/>
        <w:spacing w:after="0" w:line="278" w:lineRule="auto"/>
        <w:tabs>
          <w:tab w:leader="none" w:pos="1872"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its own account, fees payable in the amounts and at the times separately agreed upon between the Borrower and the Administrative Agent.</w:t>
      </w:r>
    </w:p>
    <w:p>
      <w:pPr>
        <w:spacing w:after="0" w:line="200" w:lineRule="exact"/>
        <w:rPr>
          <w:rFonts w:ascii="Arial" w:cs="Arial" w:eastAsia="Arial" w:hAnsi="Arial"/>
          <w:sz w:val="20"/>
          <w:szCs w:val="20"/>
          <w:color w:val="auto"/>
        </w:rPr>
      </w:pPr>
    </w:p>
    <w:p>
      <w:pPr>
        <w:spacing w:after="0" w:line="283" w:lineRule="exact"/>
        <w:rPr>
          <w:rFonts w:ascii="Arial" w:cs="Arial" w:eastAsia="Arial" w:hAnsi="Arial"/>
          <w:sz w:val="20"/>
          <w:szCs w:val="20"/>
          <w:color w:val="auto"/>
        </w:rPr>
      </w:pPr>
    </w:p>
    <w:p>
      <w:pPr>
        <w:jc w:val="both"/>
        <w:ind w:left="200" w:right="219" w:firstLine="1305"/>
        <w:spacing w:after="0" w:line="255" w:lineRule="auto"/>
        <w:tabs>
          <w:tab w:leader="none" w:pos="1869" w:val="left"/>
        </w:tabs>
        <w:numPr>
          <w:ilvl w:val="0"/>
          <w:numId w:val="97"/>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3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ind w:left="200" w:right="219" w:firstLine="1305"/>
        <w:spacing w:after="0" w:line="288" w:lineRule="auto"/>
        <w:tabs>
          <w:tab w:leader="none" w:pos="187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Loans comprising each ABR Borrowing (including each Swingline Loan) shall bear interest at the Alternate Base Rate plus the Applicable Rate.</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200" w:right="219" w:firstLine="1305"/>
        <w:spacing w:after="0" w:line="270" w:lineRule="auto"/>
        <w:tabs>
          <w:tab w:leader="none" w:pos="1901"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Loans comprising each Term Benchmark Borrowing shall bear interest at the Adjusted Term SOFR Rate for the Interest Period in effect for such Borrowing plus the Applicable Rate. Each RFR Loan shall bear interest at a rate per annum equal to the Adjusted Daily Simple SOFR plus the Applicable Rate.</w:t>
      </w:r>
    </w:p>
    <w:p>
      <w:pPr>
        <w:spacing w:after="0" w:line="200" w:lineRule="exact"/>
        <w:rPr>
          <w:rFonts w:ascii="Arial" w:cs="Arial" w:eastAsia="Arial" w:hAnsi="Arial"/>
          <w:sz w:val="20"/>
          <w:szCs w:val="20"/>
          <w:color w:val="auto"/>
        </w:rPr>
      </w:pPr>
    </w:p>
    <w:p>
      <w:pPr>
        <w:spacing w:after="0" w:line="304" w:lineRule="exact"/>
        <w:rPr>
          <w:rFonts w:ascii="Arial" w:cs="Arial" w:eastAsia="Arial" w:hAnsi="Arial"/>
          <w:sz w:val="20"/>
          <w:szCs w:val="20"/>
          <w:color w:val="auto"/>
        </w:rPr>
      </w:pPr>
    </w:p>
    <w:p>
      <w:pPr>
        <w:jc w:val="both"/>
        <w:ind w:left="200" w:right="219" w:firstLine="1305"/>
        <w:spacing w:after="0" w:line="248" w:lineRule="auto"/>
        <w:tabs>
          <w:tab w:leader="none" w:pos="1787"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Notwithstanding the foregoing,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231" w:lineRule="exact"/>
        <w:rPr>
          <w:rFonts w:ascii="Arial" w:cs="Arial" w:eastAsia="Arial" w:hAnsi="Arial"/>
          <w:sz w:val="20"/>
          <w:szCs w:val="20"/>
          <w:color w:val="auto"/>
        </w:rPr>
      </w:pPr>
    </w:p>
    <w:p>
      <w:pPr>
        <w:jc w:val="both"/>
        <w:ind w:left="200" w:right="219" w:firstLine="1305"/>
        <w:spacing w:after="0" w:line="282" w:lineRule="auto"/>
        <w:tabs>
          <w:tab w:leader="none" w:pos="186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Accrued interest on each Loan (for ABR Loans, accrued through the last day of the prior calendar month) shall be payable in arrears on each Interest Payment Date for such Loan and, in the case of Revolving Loans, upon termination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4" w:name="page165"/>
    <w:bookmarkEnd w:id="164"/>
    <w:p>
      <w:pPr>
        <w:jc w:val="both"/>
        <w:ind w:left="200" w:right="219" w:firstLine="1305"/>
        <w:spacing w:after="0" w:line="299" w:lineRule="auto"/>
        <w:tabs>
          <w:tab w:leader="none" w:pos="19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Interest computed by reference to the Term SOFR Rate or Daily Simple SOFR hereunder shall be computed on the basis of a year of 360 days. Interest computed by reference to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Daily Simple SOFR, Daily Simple SOFR, Adjusted Term SOFR Rate or Term SOFR Rate shall be determined by the Administrative Agent, and such determination shall be conclusive absent manifest error.</w:t>
      </w:r>
    </w:p>
    <w:p>
      <w:pPr>
        <w:spacing w:after="0" w:line="200" w:lineRule="exact"/>
        <w:rPr>
          <w:sz w:val="20"/>
          <w:szCs w:val="20"/>
          <w:color w:val="auto"/>
        </w:rPr>
      </w:pPr>
    </w:p>
    <w:p>
      <w:pPr>
        <w:spacing w:after="0" w:line="3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Alternate Rate of Interest; Illegality.</w:t>
      </w:r>
    </w:p>
    <w:p>
      <w:pPr>
        <w:spacing w:after="0" w:line="200" w:lineRule="exact"/>
        <w:rPr>
          <w:sz w:val="20"/>
          <w:szCs w:val="20"/>
          <w:color w:val="auto"/>
        </w:rPr>
      </w:pPr>
    </w:p>
    <w:p>
      <w:pPr>
        <w:spacing w:after="0" w:line="377" w:lineRule="exact"/>
        <w:rPr>
          <w:sz w:val="20"/>
          <w:szCs w:val="20"/>
          <w:color w:val="auto"/>
        </w:rPr>
      </w:pPr>
    </w:p>
    <w:p>
      <w:pPr>
        <w:ind w:left="1500" w:hanging="643"/>
        <w:spacing w:after="0"/>
        <w:tabs>
          <w:tab w:leader="none" w:pos="1500" w:val="left"/>
        </w:tabs>
        <w:numPr>
          <w:ilvl w:val="0"/>
          <w:numId w:val="100"/>
        </w:numPr>
        <w:rPr>
          <w:rFonts w:ascii="Arial" w:cs="Arial" w:eastAsia="Arial" w:hAnsi="Arial"/>
          <w:sz w:val="22"/>
          <w:szCs w:val="22"/>
          <w:color w:val="auto"/>
        </w:rPr>
      </w:pPr>
      <w:r>
        <w:rPr>
          <w:rFonts w:ascii="Arial" w:cs="Arial" w:eastAsia="Arial" w:hAnsi="Arial"/>
          <w:sz w:val="20"/>
          <w:szCs w:val="20"/>
          <w:color w:val="auto"/>
        </w:rPr>
        <w:t>Subject to clauses (b), (c), (d), (e) and (f) of this Section 2.13, if :</w:t>
      </w:r>
    </w:p>
    <w:p>
      <w:pPr>
        <w:spacing w:after="0" w:line="222" w:lineRule="exact"/>
        <w:rPr>
          <w:rFonts w:ascii="Arial" w:cs="Arial" w:eastAsia="Arial" w:hAnsi="Arial"/>
          <w:sz w:val="22"/>
          <w:szCs w:val="22"/>
          <w:color w:val="auto"/>
        </w:rPr>
      </w:pPr>
    </w:p>
    <w:p>
      <w:pPr>
        <w:jc w:val="both"/>
        <w:ind w:left="860" w:right="219" w:firstLine="645"/>
        <w:spacing w:after="0" w:line="274" w:lineRule="auto"/>
        <w:tabs>
          <w:tab w:leader="none" w:pos="2156" w:val="left"/>
        </w:tabs>
        <w:numPr>
          <w:ilvl w:val="1"/>
          <w:numId w:val="100"/>
        </w:numPr>
        <w:rPr>
          <w:rFonts w:ascii="Arial" w:cs="Arial" w:eastAsia="Arial" w:hAnsi="Arial"/>
          <w:sz w:val="19"/>
          <w:szCs w:val="19"/>
          <w:color w:val="auto"/>
        </w:rPr>
      </w:pPr>
      <w:r>
        <w:rPr>
          <w:rFonts w:ascii="Arial" w:cs="Arial" w:eastAsia="Arial" w:hAnsi="Arial"/>
          <w:sz w:val="18"/>
          <w:szCs w:val="18"/>
          <w:color w:val="auto"/>
        </w:rPr>
        <w:t>the Administrative Agent determines (which determination shall be conclusive and binding absent manifest error) (A) prior to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ind w:left="860" w:right="219"/>
        <w:spacing w:after="0" w:line="253" w:lineRule="auto"/>
        <w:rPr>
          <w:rFonts w:ascii="Arial" w:cs="Arial" w:eastAsia="Arial" w:hAnsi="Arial"/>
          <w:sz w:val="19"/>
          <w:szCs w:val="19"/>
          <w:color w:val="auto"/>
        </w:rPr>
      </w:pPr>
      <w:r>
        <w:rPr>
          <w:rFonts w:ascii="Arial" w:cs="Arial" w:eastAsia="Arial" w:hAnsi="Arial"/>
          <w:sz w:val="20"/>
          <w:szCs w:val="20"/>
          <w:color w:val="auto"/>
        </w:rPr>
        <w:t>(B) at any time, that adequate and reasonable means do not exist for ascertaining the applicable Adjusted Daily Simple SOFR or Daily Simple SOFR; or</w:t>
      </w:r>
    </w:p>
    <w:p>
      <w:pPr>
        <w:spacing w:after="0" w:line="223" w:lineRule="exact"/>
        <w:rPr>
          <w:rFonts w:ascii="Arial" w:cs="Arial" w:eastAsia="Arial" w:hAnsi="Arial"/>
          <w:sz w:val="19"/>
          <w:szCs w:val="19"/>
          <w:color w:val="auto"/>
        </w:rPr>
      </w:pPr>
    </w:p>
    <w:p>
      <w:pPr>
        <w:jc w:val="both"/>
        <w:ind w:left="860" w:right="219" w:firstLine="645"/>
        <w:spacing w:after="0" w:line="243" w:lineRule="auto"/>
        <w:tabs>
          <w:tab w:leader="none" w:pos="2156" w:val="left"/>
        </w:tabs>
        <w:numPr>
          <w:ilvl w:val="1"/>
          <w:numId w:val="100"/>
        </w:numPr>
        <w:rPr>
          <w:rFonts w:ascii="Arial" w:cs="Arial" w:eastAsia="Arial" w:hAnsi="Arial"/>
          <w:sz w:val="22"/>
          <w:szCs w:val="22"/>
          <w:color w:val="auto"/>
        </w:rPr>
      </w:pPr>
      <w:r>
        <w:rPr>
          <w:rFonts w:ascii="Arial" w:cs="Arial" w:eastAsia="Arial" w:hAnsi="Arial"/>
          <w:sz w:val="20"/>
          <w:szCs w:val="20"/>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Loan) included in such Borrowing for such Interest Period or (B) at any time, the Adjusted Daily Simple SOFR will not adequately and fairly reflect the cost to such Lenders (or Lender) of making or maintaining their Loans (or Loan) included in such Borrowing;</w:t>
      </w:r>
    </w:p>
    <w:p>
      <w:pPr>
        <w:spacing w:after="0" w:line="219"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9"/>
          <w:szCs w:val="19"/>
          <w:color w:val="auto"/>
        </w:rPr>
        <w:t xml:space="preserve">then </w:t>
      </w:r>
      <w:r>
        <w:rPr>
          <w:rFonts w:ascii="Arial" w:cs="Arial" w:eastAsia="Arial" w:hAnsi="Arial"/>
          <w:sz w:val="20"/>
          <w:szCs w:val="20"/>
          <w:color w:val="auto"/>
        </w:rPr>
        <w:t>the Administrative Agent shall give notice thereof to the Borrower and the Lenders through</w:t>
      </w:r>
      <w:r>
        <w:rPr>
          <w:rFonts w:ascii="Arial" w:cs="Arial" w:eastAsia="Arial" w:hAnsi="Arial"/>
          <w:sz w:val="19"/>
          <w:szCs w:val="19"/>
          <w:color w:val="auto"/>
        </w:rPr>
        <w:t xml:space="preserve"> </w:t>
      </w:r>
      <w:r>
        <w:rPr>
          <w:rFonts w:ascii="Arial" w:cs="Arial" w:eastAsia="Arial" w:hAnsi="Arial"/>
          <w:sz w:val="20"/>
          <w:szCs w:val="20"/>
          <w:color w:val="auto"/>
        </w:rPr>
        <w:t xml:space="preserve">Electronic System as provided in </w:t>
      </w: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2.07 or a new Borrowing Request in accordance with the terms of Section 2.03,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2.13(a)(i) or (ii) above or (y) be repaid or converted into an ABR Borrowing if the Adjusted Daily Simple SOFR also is the subject of Section 2.13(a)(i) or (ii) above and (2) any Borrowing Request that requests an RFR Borrowing shall instead be deemed to be a Borrowing Request, as applicable, for an ABR Borrowing provided that if the circumstances giving rise to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65" w:name="page166"/>
    <w:bookmarkEnd w:id="165"/>
    <w:p>
      <w:pPr>
        <w:jc w:val="right"/>
        <w:ind w:left="200" w:right="219"/>
        <w:spacing w:after="0" w:line="286" w:lineRule="auto"/>
        <w:rPr>
          <w:sz w:val="20"/>
          <w:szCs w:val="20"/>
          <w:color w:val="auto"/>
        </w:rPr>
      </w:pPr>
      <w:r>
        <w:rPr>
          <w:rFonts w:ascii="Arial" w:cs="Arial" w:eastAsia="Arial" w:hAnsi="Arial"/>
          <w:sz w:val="19"/>
          <w:szCs w:val="19"/>
          <w:color w:val="auto"/>
        </w:rPr>
        <w:t>affect only one Type of Borrowings, then all other Types of Borrowings shall be permitted. Furthermore, if any Term Benchmark Loan or RFR Loan is outstanding on the date of the Borrower’s receipt of the notice from the Administrative Agent referred to in this ‎Section 2.13(a) with respect to a Relevant Rate applicable to such Term Benchmark Loan or RFR Loan, then until</w:t>
      </w:r>
    </w:p>
    <w:p>
      <w:pPr>
        <w:spacing w:after="0" w:line="3" w:lineRule="exact"/>
        <w:rPr>
          <w:sz w:val="20"/>
          <w:szCs w:val="20"/>
          <w:color w:val="auto"/>
        </w:rPr>
      </w:pPr>
    </w:p>
    <w:p>
      <w:pPr>
        <w:jc w:val="both"/>
        <w:ind w:left="200" w:right="219" w:firstLine="9"/>
        <w:spacing w:after="0" w:line="286" w:lineRule="auto"/>
        <w:tabs>
          <w:tab w:leader="none" w:pos="51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Administrative Agent notifies the Borrower and the Lenders that the circumstances giving rise to such notice no longer exist with respect to the relevant Benchmark and (y) the Borrower delivers a new Interest Election Request in accordance with the terms of Section 2.07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2.13(a)(i) or (ii) above or (y) an ABR Loan if the Adjusted Daily Simple SOFR also is the subject of Section 2.13(a)(i) or (ii) above, on such day, and (2) any RFR Loan shall on and from such day be converted by the Administrative Agent to, and shall constitute an ABR Loan.</w:t>
      </w:r>
    </w:p>
    <w:p>
      <w:pPr>
        <w:spacing w:after="0" w:line="200" w:lineRule="exact"/>
        <w:rPr>
          <w:rFonts w:ascii="Arial" w:cs="Arial" w:eastAsia="Arial" w:hAnsi="Arial"/>
          <w:sz w:val="19"/>
          <w:szCs w:val="19"/>
          <w:color w:val="auto"/>
        </w:rPr>
      </w:pPr>
    </w:p>
    <w:p>
      <w:pPr>
        <w:spacing w:after="0" w:line="369" w:lineRule="exact"/>
        <w:rPr>
          <w:rFonts w:ascii="Arial" w:cs="Arial" w:eastAsia="Arial" w:hAnsi="Arial"/>
          <w:sz w:val="19"/>
          <w:szCs w:val="19"/>
          <w:color w:val="auto"/>
        </w:rPr>
      </w:pPr>
    </w:p>
    <w:p>
      <w:pPr>
        <w:jc w:val="both"/>
        <w:ind w:left="200" w:right="219" w:firstLine="1305"/>
        <w:spacing w:after="0" w:line="296" w:lineRule="auto"/>
        <w:tabs>
          <w:tab w:leader="none" w:pos="18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any Swap Agreement shall be deemed not to be a “Loan Document” for purposes of this Section 2.13),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rFonts w:ascii="Arial" w:cs="Arial" w:eastAsia="Arial" w:hAnsi="Arial"/>
          <w:sz w:val="18"/>
          <w:szCs w:val="18"/>
          <w:color w:val="auto"/>
        </w:rPr>
      </w:pPr>
    </w:p>
    <w:p>
      <w:pPr>
        <w:jc w:val="both"/>
        <w:ind w:left="200" w:right="219" w:firstLine="1305"/>
        <w:spacing w:after="0" w:line="306" w:lineRule="auto"/>
        <w:tabs>
          <w:tab w:leader="none" w:pos="185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5" w:lineRule="exact"/>
        <w:rPr>
          <w:rFonts w:ascii="Arial" w:cs="Arial" w:eastAsia="Arial" w:hAnsi="Arial"/>
          <w:sz w:val="18"/>
          <w:szCs w:val="18"/>
          <w:color w:val="auto"/>
        </w:rPr>
      </w:pPr>
    </w:p>
    <w:p>
      <w:pPr>
        <w:jc w:val="both"/>
        <w:ind w:left="200" w:right="219" w:firstLine="1305"/>
        <w:spacing w:after="0" w:line="300" w:lineRule="auto"/>
        <w:tabs>
          <w:tab w:leader="none" w:pos="182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316230</wp:posOffset>
            </wp:positionV>
            <wp:extent cx="54521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66" w:name="page167"/>
    <w:bookmarkEnd w:id="166"/>
    <w:p>
      <w:pPr>
        <w:jc w:val="both"/>
        <w:ind w:left="200" w:right="239"/>
        <w:spacing w:after="0" w:line="278" w:lineRule="auto"/>
        <w:rPr>
          <w:sz w:val="20"/>
          <w:szCs w:val="20"/>
          <w:color w:val="auto"/>
        </w:rPr>
      </w:pPr>
      <w:r>
        <w:rPr>
          <w:rFonts w:ascii="Arial" w:cs="Arial" w:eastAsia="Arial" w:hAnsi="Arial"/>
          <w:sz w:val="20"/>
          <w:szCs w:val="20"/>
          <w:color w:val="auto"/>
        </w:rPr>
        <w:t>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spacing w:after="0" w:line="173" w:lineRule="exact"/>
        <w:rPr>
          <w:sz w:val="20"/>
          <w:szCs w:val="20"/>
          <w:color w:val="auto"/>
        </w:rPr>
      </w:pPr>
    </w:p>
    <w:p>
      <w:pPr>
        <w:jc w:val="both"/>
        <w:ind w:left="200" w:right="219" w:firstLine="1305"/>
        <w:spacing w:after="0" w:line="297" w:lineRule="auto"/>
        <w:tabs>
          <w:tab w:leader="none" w:pos="18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6" w:lineRule="exact"/>
        <w:rPr>
          <w:rFonts w:ascii="Arial" w:cs="Arial" w:eastAsia="Arial" w:hAnsi="Arial"/>
          <w:sz w:val="18"/>
          <w:szCs w:val="18"/>
          <w:color w:val="auto"/>
        </w:rPr>
      </w:pPr>
    </w:p>
    <w:p>
      <w:pPr>
        <w:jc w:val="both"/>
        <w:ind w:left="200" w:right="219" w:firstLine="657"/>
        <w:spacing w:after="0" w:line="273" w:lineRule="auto"/>
        <w:tabs>
          <w:tab w:leader="none" w:pos="14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(1) any request for a Term Benchmark Borrowing into a request for a Borrowing of or conversion to (A) an RFR Borrowing so long as the Adjusted Daily Simple SOFR is not the subject of a Benchmark Transition Event or (B) an ABR Borrowing if the Adjusted Daily Simple SOFR is the subject of a Benchmark Transition Event or (2) any such request for an RFR Borrowing into a request for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w:t>
      </w:r>
    </w:p>
    <w:p>
      <w:pPr>
        <w:spacing w:after="0" w:line="5" w:lineRule="exact"/>
        <w:rPr>
          <w:rFonts w:ascii="Arial" w:cs="Arial" w:eastAsia="Arial" w:hAnsi="Arial"/>
          <w:sz w:val="18"/>
          <w:szCs w:val="18"/>
          <w:color w:val="auto"/>
        </w:rPr>
      </w:pPr>
    </w:p>
    <w:p>
      <w:pPr>
        <w:jc w:val="both"/>
        <w:ind w:left="200" w:right="219"/>
        <w:spacing w:after="0" w:line="248" w:lineRule="auto"/>
        <w:rPr>
          <w:rFonts w:ascii="Arial" w:cs="Arial" w:eastAsia="Arial" w:hAnsi="Arial"/>
          <w:sz w:val="18"/>
          <w:szCs w:val="18"/>
          <w:color w:val="auto"/>
        </w:rPr>
      </w:pPr>
      <w:r>
        <w:rPr>
          <w:rFonts w:ascii="Arial" w:cs="Arial" w:eastAsia="Arial" w:hAnsi="Arial"/>
          <w:sz w:val="20"/>
          <w:szCs w:val="20"/>
          <w:color w:val="auto"/>
        </w:rPr>
        <w:t>implemented pursuant to this Section‎ 2.13, (1) any Term Benchmark Loan shall on the last day of the Interest Period applicable to such Loan (or the next succeeding Business Day if such day is not a Business Day), be converted by the Administrative Agent to, and shall constitute, (x) an RFR Loan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Increased Costs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 If any Change in Law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7" w:name="page168"/>
    <w:bookmarkEnd w:id="167"/>
    <w:p>
      <w:pPr>
        <w:jc w:val="both"/>
        <w:ind w:left="860" w:right="219" w:firstLine="645"/>
        <w:spacing w:after="0" w:line="288" w:lineRule="auto"/>
        <w:tabs>
          <w:tab w:leader="none" w:pos="18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or the Issuing Bank; or</w:t>
      </w:r>
    </w:p>
    <w:p>
      <w:pPr>
        <w:spacing w:after="0" w:line="168" w:lineRule="exact"/>
        <w:rPr>
          <w:rFonts w:ascii="Arial" w:cs="Arial" w:eastAsia="Arial" w:hAnsi="Arial"/>
          <w:sz w:val="18"/>
          <w:szCs w:val="18"/>
          <w:color w:val="auto"/>
        </w:rPr>
      </w:pPr>
    </w:p>
    <w:p>
      <w:pPr>
        <w:jc w:val="both"/>
        <w:ind w:left="860" w:right="219" w:firstLine="645"/>
        <w:spacing w:after="0" w:line="257" w:lineRule="auto"/>
        <w:tabs>
          <w:tab w:leader="none" w:pos="186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impose on any Lender or the Issuing Bank or the applicable offshore interbank market any other condition, cost or expense (other than Taxes) affecting this Agreement or Loans made by such Lender or any Letter of Credit or participation therein; or</w:t>
      </w:r>
    </w:p>
    <w:p>
      <w:pPr>
        <w:spacing w:after="0" w:line="179" w:lineRule="exact"/>
        <w:rPr>
          <w:rFonts w:ascii="Arial" w:cs="Arial" w:eastAsia="Arial" w:hAnsi="Arial"/>
          <w:sz w:val="20"/>
          <w:szCs w:val="20"/>
          <w:color w:val="auto"/>
        </w:rPr>
      </w:pPr>
    </w:p>
    <w:p>
      <w:pPr>
        <w:jc w:val="both"/>
        <w:ind w:left="860" w:right="219" w:firstLine="645"/>
        <w:spacing w:after="0" w:line="251" w:lineRule="auto"/>
        <w:tabs>
          <w:tab w:leader="none" w:pos="197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212" w:lineRule="exact"/>
        <w:rPr>
          <w:sz w:val="20"/>
          <w:szCs w:val="20"/>
          <w:color w:val="auto"/>
        </w:rPr>
      </w:pPr>
    </w:p>
    <w:p>
      <w:pPr>
        <w:jc w:val="both"/>
        <w:ind w:left="200" w:right="219"/>
        <w:spacing w:after="0" w:line="300"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200" w:lineRule="exact"/>
        <w:rPr>
          <w:sz w:val="20"/>
          <w:szCs w:val="20"/>
          <w:color w:val="auto"/>
        </w:rPr>
      </w:pPr>
    </w:p>
    <w:p>
      <w:pPr>
        <w:spacing w:after="0" w:line="295" w:lineRule="exact"/>
        <w:rPr>
          <w:sz w:val="20"/>
          <w:szCs w:val="20"/>
          <w:color w:val="auto"/>
        </w:rPr>
      </w:pPr>
    </w:p>
    <w:p>
      <w:pPr>
        <w:jc w:val="both"/>
        <w:ind w:left="200" w:right="219" w:firstLine="1305"/>
        <w:spacing w:after="0" w:line="297" w:lineRule="auto"/>
        <w:tabs>
          <w:tab w:leader="none" w:pos="18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left="200" w:right="219" w:firstLine="1305"/>
        <w:spacing w:after="0" w:line="306" w:lineRule="auto"/>
        <w:tabs>
          <w:tab w:leader="none" w:pos="18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days after receipt thereof.</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both"/>
        <w:ind w:left="200" w:right="219" w:firstLine="1305"/>
        <w:spacing w:after="0" w:line="322" w:lineRule="auto"/>
        <w:tabs>
          <w:tab w:leader="none" w:pos="18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the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295910</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8" w:name="page169"/>
    <w:bookmarkEnd w:id="168"/>
    <w:p>
      <w:pPr>
        <w:jc w:val="both"/>
        <w:ind w:left="200" w:right="219"/>
        <w:spacing w:after="0" w:line="269" w:lineRule="auto"/>
        <w:rPr>
          <w:sz w:val="20"/>
          <w:szCs w:val="20"/>
          <w:color w:val="auto"/>
        </w:rPr>
      </w:pPr>
      <w:r>
        <w:rPr>
          <w:rFonts w:ascii="Arial" w:cs="Arial" w:eastAsia="Arial" w:hAnsi="Arial"/>
          <w:sz w:val="20"/>
          <w:szCs w:val="20"/>
          <w:color w:val="auto"/>
        </w:rPr>
        <w:t xml:space="preserve">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00" w:lineRule="exact"/>
        <w:rPr>
          <w:sz w:val="20"/>
          <w:szCs w:val="20"/>
          <w:color w:val="auto"/>
        </w:rPr>
      </w:pPr>
    </w:p>
    <w:p>
      <w:pPr>
        <w:spacing w:after="0" w:line="319" w:lineRule="exact"/>
        <w:rPr>
          <w:sz w:val="20"/>
          <w:szCs w:val="20"/>
          <w:color w:val="auto"/>
        </w:rPr>
      </w:pPr>
    </w:p>
    <w:p>
      <w:pPr>
        <w:jc w:val="both"/>
        <w:ind w:left="200" w:right="179" w:firstLine="1296"/>
        <w:spacing w:after="0" w:line="253" w:lineRule="exact"/>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(a) With respect to Loans that are not RFR Loans, in the event of (a) the payment of any principal of any Term Benchmark Loan other than on the last day of an Interest Period applicable thereto (including as a result of an Event of Default or as a result of any prepayment pursuant to Section 2.10),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Section 2.08(d) and is revoked in accordance therewith), or (d) the assignment of any Term Benchmark Loan other than on the last day of the Interest Period applicable thereto as a result of a request by the Borrower pursuant to Section 2.18 or 9.02(d), then, in any such event, the Borrower shall compensate each Lender for the loss, cost and expense attributable to such event. A certifi</w:t>
      </w:r>
      <w:r>
        <w:rPr>
          <w:rFonts w:ascii="MS PGothic" w:cs="MS PGothic" w:eastAsia="MS PGothic" w:hAnsi="MS PGothic"/>
          <w:sz w:val="19"/>
          <w:szCs w:val="19"/>
          <w:color w:val="auto"/>
        </w:rPr>
        <w:t>‐</w:t>
      </w:r>
      <w:r>
        <w:rPr>
          <w:rFonts w:ascii="Arial" w:cs="Arial" w:eastAsia="Arial" w:hAnsi="Arial"/>
          <w:sz w:val="19"/>
          <w:szCs w:val="19"/>
          <w:color w:val="auto"/>
        </w:rPr>
        <w:t>­ 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200" w:lineRule="exact"/>
        <w:rPr>
          <w:sz w:val="20"/>
          <w:szCs w:val="20"/>
          <w:color w:val="auto"/>
        </w:rPr>
      </w:pPr>
    </w:p>
    <w:p>
      <w:pPr>
        <w:spacing w:after="0" w:line="333" w:lineRule="exact"/>
        <w:rPr>
          <w:sz w:val="20"/>
          <w:szCs w:val="20"/>
          <w:color w:val="auto"/>
        </w:rPr>
      </w:pPr>
    </w:p>
    <w:p>
      <w:pPr>
        <w:jc w:val="both"/>
        <w:ind w:left="200" w:right="219" w:firstLine="1305"/>
        <w:spacing w:after="0" w:line="276" w:lineRule="auto"/>
        <w:tabs>
          <w:tab w:leader="none" w:pos="21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w:t>
      </w:r>
    </w:p>
    <w:p>
      <w:pPr>
        <w:jc w:val="both"/>
        <w:ind w:left="200" w:right="219"/>
        <w:spacing w:after="0" w:line="263" w:lineRule="auto"/>
        <w:rPr>
          <w:rFonts w:ascii="Arial" w:cs="Arial" w:eastAsia="Arial" w:hAnsi="Arial"/>
          <w:sz w:val="18"/>
          <w:szCs w:val="18"/>
          <w:color w:val="auto"/>
        </w:rPr>
      </w:pPr>
      <w:r>
        <w:rPr>
          <w:rFonts w:ascii="Arial" w:cs="Arial" w:eastAsia="Arial" w:hAnsi="Arial"/>
          <w:sz w:val="19"/>
          <w:szCs w:val="19"/>
          <w:color w:val="auto"/>
        </w:rPr>
        <w:t>be revoked under Section‎ 2.10 and is revoked in accordance therewith) or (iii) the assignment of any RFR Loan other than on the Interest Payment Date applicable thereto as a result of a request by the Borrower pursuant to Section 2.17,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Withholding of Taxes; Gross-Up</w:t>
      </w:r>
      <w:r>
        <w:rPr>
          <w:rFonts w:ascii="Arial" w:cs="Arial" w:eastAsia="Arial" w:hAnsi="Arial"/>
          <w:sz w:val="20"/>
          <w:szCs w:val="20"/>
          <w:color w:val="auto"/>
        </w:rPr>
        <w:t>.</w:t>
      </w:r>
    </w:p>
    <w:p>
      <w:pPr>
        <w:spacing w:after="0" w:line="216" w:lineRule="exact"/>
        <w:rPr>
          <w:sz w:val="20"/>
          <w:szCs w:val="20"/>
          <w:color w:val="auto"/>
        </w:rPr>
      </w:pPr>
    </w:p>
    <w:p>
      <w:pPr>
        <w:jc w:val="both"/>
        <w:ind w:left="200" w:right="219" w:firstLine="1305"/>
        <w:spacing w:after="0" w:line="279" w:lineRule="auto"/>
        <w:tabs>
          <w:tab w:leader="none" w:pos="182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69" w:name="page170"/>
    <w:bookmarkEnd w:id="169"/>
    <w:p>
      <w:pPr>
        <w:jc w:val="both"/>
        <w:ind w:left="200" w:right="219"/>
        <w:spacing w:after="0" w:line="257" w:lineRule="auto"/>
        <w:rPr>
          <w:sz w:val="20"/>
          <w:szCs w:val="20"/>
          <w:color w:val="auto"/>
        </w:rPr>
      </w:pPr>
      <w:r>
        <w:rPr>
          <w:rFonts w:ascii="Arial" w:cs="Arial" w:eastAsia="Arial" w:hAnsi="Arial"/>
          <w:sz w:val="20"/>
          <w:szCs w:val="20"/>
          <w:color w:val="auto"/>
        </w:rPr>
        <w:t>been made (including such deductions and withholdings applicable to additional sums payable under this Section 2.16), the applicable Recipient receives an amount equal to the sum it would have received had no such deduction or withholding been made.</w:t>
      </w:r>
    </w:p>
    <w:p>
      <w:pPr>
        <w:spacing w:after="0" w:line="180" w:lineRule="exact"/>
        <w:rPr>
          <w:sz w:val="20"/>
          <w:szCs w:val="20"/>
          <w:color w:val="auto"/>
        </w:rPr>
      </w:pPr>
    </w:p>
    <w:p>
      <w:pPr>
        <w:jc w:val="both"/>
        <w:ind w:left="200" w:right="219" w:firstLine="1305"/>
        <w:spacing w:after="0" w:line="257" w:lineRule="auto"/>
        <w:tabs>
          <w:tab w:leader="none" w:pos="186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Loan Parties</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Other Taxes.</w:t>
      </w:r>
    </w:p>
    <w:p>
      <w:pPr>
        <w:spacing w:after="0" w:line="192" w:lineRule="exact"/>
        <w:rPr>
          <w:rFonts w:ascii="Arial" w:cs="Arial" w:eastAsia="Arial" w:hAnsi="Arial"/>
          <w:sz w:val="20"/>
          <w:szCs w:val="20"/>
          <w:color w:val="auto"/>
        </w:rPr>
      </w:pPr>
    </w:p>
    <w:p>
      <w:pPr>
        <w:jc w:val="both"/>
        <w:ind w:left="200" w:right="219" w:firstLine="1305"/>
        <w:spacing w:after="0" w:line="248" w:lineRule="auto"/>
        <w:tabs>
          <w:tab w:leader="none" w:pos="1828"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Evidence of Payment</w:t>
      </w:r>
      <w:r>
        <w:rPr>
          <w:rFonts w:ascii="Arial" w:cs="Arial" w:eastAsia="Arial" w:hAnsi="Arial"/>
          <w:sz w:val="20"/>
          <w:szCs w:val="20"/>
          <w:color w:val="auto"/>
        </w:rPr>
        <w:t>. As soon as practicable after any payment of Taxes by any Loan Party to a Governmental Authority pursuant to this Section 2.16,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2" w:lineRule="exact"/>
        <w:rPr>
          <w:rFonts w:ascii="Arial" w:cs="Arial" w:eastAsia="Arial" w:hAnsi="Arial"/>
          <w:sz w:val="20"/>
          <w:szCs w:val="20"/>
          <w:color w:val="auto"/>
        </w:rPr>
      </w:pPr>
    </w:p>
    <w:p>
      <w:pPr>
        <w:jc w:val="both"/>
        <w:ind w:left="200" w:right="219" w:firstLine="1305"/>
        <w:spacing w:after="0" w:line="262" w:lineRule="auto"/>
        <w:tabs>
          <w:tab w:leader="none" w:pos="1893"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8" w:lineRule="exact"/>
        <w:rPr>
          <w:rFonts w:ascii="Arial" w:cs="Arial" w:eastAsia="Arial" w:hAnsi="Arial"/>
          <w:sz w:val="19"/>
          <w:szCs w:val="19"/>
          <w:color w:val="auto"/>
        </w:rPr>
      </w:pPr>
    </w:p>
    <w:p>
      <w:pPr>
        <w:jc w:val="both"/>
        <w:ind w:left="200" w:right="219" w:firstLine="1305"/>
        <w:spacing w:after="0" w:line="260" w:lineRule="auto"/>
        <w:tabs>
          <w:tab w:leader="none" w:pos="197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6" w:lineRule="exact"/>
        <w:rPr>
          <w:rFonts w:ascii="Arial" w:cs="Arial" w:eastAsia="Arial" w:hAnsi="Arial"/>
          <w:sz w:val="19"/>
          <w:szCs w:val="19"/>
          <w:color w:val="auto"/>
        </w:rPr>
      </w:pPr>
    </w:p>
    <w:p>
      <w:pPr>
        <w:ind w:left="1800" w:hanging="295"/>
        <w:spacing w:after="0"/>
        <w:tabs>
          <w:tab w:leader="none" w:pos="18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6" w:lineRule="exact"/>
        <w:rPr>
          <w:sz w:val="20"/>
          <w:szCs w:val="20"/>
          <w:color w:val="auto"/>
        </w:rPr>
      </w:pPr>
    </w:p>
    <w:p>
      <w:pPr>
        <w:jc w:val="both"/>
        <w:ind w:left="200" w:right="219" w:firstLine="1305"/>
        <w:spacing w:after="0" w:line="278" w:lineRule="auto"/>
        <w:tabs>
          <w:tab w:leader="none" w:pos="17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0" w:name="page171"/>
    <w:bookmarkEnd w:id="170"/>
    <w:p>
      <w:pPr>
        <w:jc w:val="both"/>
        <w:ind w:left="200" w:right="219"/>
        <w:spacing w:after="0" w:line="269" w:lineRule="auto"/>
        <w:rPr>
          <w:sz w:val="20"/>
          <w:szCs w:val="20"/>
          <w:color w:val="auto"/>
        </w:rPr>
      </w:pPr>
      <w:r>
        <w:rPr>
          <w:rFonts w:ascii="Arial" w:cs="Arial" w:eastAsia="Arial" w:hAnsi="Arial"/>
          <w:sz w:val="19"/>
          <w:szCs w:val="19"/>
          <w:color w:val="auto"/>
        </w:rPr>
        <w:t>submission of such documentation (other than such documentation set forth in Section 2.16(f)(ii)(A),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Without limiting the generality of the foregoing, in the event that the Borrower is a U.S.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Person,</w:t>
      </w:r>
    </w:p>
    <w:p>
      <w:pPr>
        <w:spacing w:after="0" w:line="200" w:lineRule="exact"/>
        <w:rPr>
          <w:sz w:val="20"/>
          <w:szCs w:val="20"/>
          <w:color w:val="auto"/>
        </w:rPr>
      </w:pPr>
    </w:p>
    <w:p>
      <w:pPr>
        <w:spacing w:after="0" w:line="324" w:lineRule="exact"/>
        <w:rPr>
          <w:sz w:val="20"/>
          <w:szCs w:val="20"/>
          <w:color w:val="auto"/>
        </w:rPr>
      </w:pPr>
    </w:p>
    <w:p>
      <w:pPr>
        <w:jc w:val="both"/>
        <w:ind w:left="200" w:right="219" w:firstLine="1305"/>
        <w:spacing w:after="0" w:line="282" w:lineRule="auto"/>
        <w:tabs>
          <w:tab w:leader="none" w:pos="18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both"/>
        <w:ind w:left="200" w:right="219" w:firstLine="1305"/>
        <w:spacing w:after="0" w:line="244" w:lineRule="auto"/>
        <w:tabs>
          <w:tab w:leader="none" w:pos="18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jc w:val="both"/>
        <w:ind w:left="1500" w:right="219" w:firstLine="653"/>
        <w:spacing w:after="0" w:line="242" w:lineRule="auto"/>
        <w:tabs>
          <w:tab w:leader="none" w:pos="243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ind w:left="1500" w:right="239" w:firstLine="653"/>
        <w:spacing w:after="0" w:line="287" w:lineRule="auto"/>
        <w:tabs>
          <w:tab w:leader="none" w:pos="247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 the case of a Foreign Lender claiming that its extension of credit will generate U.S. effectively connected income, an executed copy of IRS Form W-8ECI;</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jc w:val="both"/>
        <w:ind w:left="1500" w:right="219" w:firstLine="653"/>
        <w:spacing w:after="0" w:line="269" w:lineRule="auto"/>
        <w:tabs>
          <w:tab w:leader="none" w:pos="246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9"/>
          <w:szCs w:val="19"/>
          <w:color w:val="auto"/>
        </w:rPr>
        <w:t>(y) an executed copy of IRS Form W-8BEN or IRS Form W-8BEN-E, as applicable; or</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1500" w:right="219" w:firstLine="653"/>
        <w:spacing w:after="0" w:line="291" w:lineRule="auto"/>
        <w:tabs>
          <w:tab w:leader="none" w:pos="243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an executed copy of IRS Form W-8IMY, accompanied by IRS Form W-8ECI, IRS Form W-8BEN or IRS Form W-8BEN-E, as applicable, a U.S. Tax Compliance Certificate substantially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1" w:name="page172"/>
    <w:bookmarkEnd w:id="171"/>
    <w:p>
      <w:pPr>
        <w:jc w:val="both"/>
        <w:ind w:left="1500" w:right="219"/>
        <w:spacing w:after="0" w:line="279" w:lineRule="auto"/>
        <w:rPr>
          <w:sz w:val="20"/>
          <w:szCs w:val="20"/>
          <w:color w:val="auto"/>
        </w:rPr>
      </w:pPr>
      <w:r>
        <w:rPr>
          <w:rFonts w:ascii="Arial" w:cs="Arial" w:eastAsia="Arial" w:hAnsi="Arial"/>
          <w:sz w:val="18"/>
          <w:szCs w:val="18"/>
          <w:color w:val="auto"/>
        </w:rPr>
        <w:t xml:space="preserve">Exhibit B-2 or Exhibit B-3,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w:t>
      </w:r>
    </w:p>
    <w:p>
      <w:pPr>
        <w:spacing w:after="0" w:line="200" w:lineRule="exact"/>
        <w:rPr>
          <w:sz w:val="20"/>
          <w:szCs w:val="20"/>
          <w:color w:val="auto"/>
        </w:rPr>
      </w:pPr>
    </w:p>
    <w:p>
      <w:pPr>
        <w:spacing w:after="0" w:line="286" w:lineRule="exact"/>
        <w:rPr>
          <w:sz w:val="20"/>
          <w:szCs w:val="20"/>
          <w:color w:val="auto"/>
        </w:rPr>
      </w:pPr>
    </w:p>
    <w:p>
      <w:pPr>
        <w:jc w:val="both"/>
        <w:ind w:left="200" w:right="219" w:firstLine="1305"/>
        <w:spacing w:after="0" w:line="257" w:lineRule="auto"/>
        <w:tabs>
          <w:tab w:leader="none" w:pos="1911"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rFonts w:ascii="Arial" w:cs="Arial" w:eastAsia="Arial" w:hAnsi="Arial"/>
          <w:sz w:val="19"/>
          <w:szCs w:val="19"/>
          <w:color w:val="auto"/>
        </w:rPr>
      </w:pPr>
    </w:p>
    <w:p>
      <w:pPr>
        <w:spacing w:after="0" w:line="304" w:lineRule="exact"/>
        <w:rPr>
          <w:rFonts w:ascii="Arial" w:cs="Arial" w:eastAsia="Arial" w:hAnsi="Arial"/>
          <w:sz w:val="19"/>
          <w:szCs w:val="19"/>
          <w:color w:val="auto"/>
        </w:rPr>
      </w:pPr>
    </w:p>
    <w:p>
      <w:pPr>
        <w:jc w:val="both"/>
        <w:ind w:left="200" w:right="219" w:firstLine="1305"/>
        <w:spacing w:after="0" w:line="269" w:lineRule="auto"/>
        <w:tabs>
          <w:tab w:leader="none" w:pos="18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1" w:lineRule="exact"/>
        <w:rPr>
          <w:rFonts w:ascii="Arial" w:cs="Arial" w:eastAsia="Arial" w:hAnsi="Arial"/>
          <w:sz w:val="18"/>
          <w:szCs w:val="18"/>
          <w:color w:val="auto"/>
        </w:rPr>
      </w:pPr>
    </w:p>
    <w:p>
      <w:pPr>
        <w:jc w:val="both"/>
        <w:ind w:left="200" w:right="219" w:firstLine="9"/>
        <w:spacing w:after="0"/>
        <w:tabs>
          <w:tab w:leader="none" w:pos="50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32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348" w:lineRule="exact"/>
        <w:rPr>
          <w:sz w:val="20"/>
          <w:szCs w:val="20"/>
          <w:color w:val="auto"/>
        </w:rPr>
      </w:pPr>
    </w:p>
    <w:p>
      <w:pPr>
        <w:jc w:val="both"/>
        <w:ind w:left="200" w:right="219" w:firstLine="1305"/>
        <w:spacing w:after="0" w:line="277" w:lineRule="auto"/>
        <w:tabs>
          <w:tab w:leader="none" w:pos="183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2" w:name="page173"/>
    <w:bookmarkEnd w:id="172"/>
    <w:p>
      <w:pPr>
        <w:jc w:val="both"/>
        <w:ind w:left="200" w:right="219"/>
        <w:spacing w:after="0" w:line="269" w:lineRule="auto"/>
        <w:rPr>
          <w:sz w:val="20"/>
          <w:szCs w:val="20"/>
          <w:color w:val="auto"/>
        </w:rPr>
      </w:pPr>
      <w:r>
        <w:rPr>
          <w:rFonts w:ascii="Arial" w:cs="Arial" w:eastAsia="Arial" w:hAnsi="Arial"/>
          <w:sz w:val="19"/>
          <w:szCs w:val="19"/>
          <w:color w:val="auto"/>
        </w:rPr>
        <w:t>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3" w:lineRule="exact"/>
        <w:rPr>
          <w:sz w:val="20"/>
          <w:szCs w:val="20"/>
          <w:color w:val="auto"/>
        </w:rPr>
      </w:pPr>
    </w:p>
    <w:p>
      <w:pPr>
        <w:jc w:val="both"/>
        <w:ind w:left="200" w:right="219" w:firstLine="1305"/>
        <w:spacing w:after="0" w:line="288" w:lineRule="auto"/>
        <w:tabs>
          <w:tab w:leader="none" w:pos="182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2.16 shall survive the resignation or replacement of the Administrative Agent or any assignment of rights by, or the replacement of, a Lender, the termination of the Revolving Commitments and the repayment, satisfaction or discharge of all obligations under any Loan Document (including Payment in Full of the Secured Obligations).</w:t>
      </w:r>
    </w:p>
    <w:p>
      <w:pPr>
        <w:spacing w:after="0" w:line="167" w:lineRule="exact"/>
        <w:rPr>
          <w:rFonts w:ascii="Arial" w:cs="Arial" w:eastAsia="Arial" w:hAnsi="Arial"/>
          <w:sz w:val="18"/>
          <w:szCs w:val="18"/>
          <w:color w:val="auto"/>
        </w:rPr>
      </w:pPr>
    </w:p>
    <w:p>
      <w:pPr>
        <w:ind w:left="200" w:right="699" w:firstLine="1305"/>
        <w:spacing w:after="0" w:line="260" w:lineRule="auto"/>
        <w:tabs>
          <w:tab w:leader="none" w:pos="1782"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Defined Term</w:t>
      </w:r>
      <w:r>
        <w:rPr>
          <w:rFonts w:ascii="Arial" w:cs="Arial" w:eastAsia="Arial" w:hAnsi="Arial"/>
          <w:sz w:val="20"/>
          <w:szCs w:val="20"/>
          <w:color w:val="auto"/>
        </w:rPr>
        <w:t>s. For purposes of this Section 2.16, the term “Lender” includes any Issuing Bank and the term “applicable law” includes FATCA.</w:t>
      </w:r>
    </w:p>
    <w:p>
      <w:pPr>
        <w:spacing w:after="0" w:line="20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Payments Generally; Allocation of Proceeds; Sharing of Set-offs</w:t>
      </w:r>
      <w:r>
        <w:rPr>
          <w:rFonts w:ascii="Arial" w:cs="Arial" w:eastAsia="Arial" w:hAnsi="Arial"/>
          <w:sz w:val="20"/>
          <w:szCs w:val="20"/>
          <w:color w:val="auto"/>
        </w:rPr>
        <w:t>.</w:t>
      </w:r>
    </w:p>
    <w:p>
      <w:pPr>
        <w:spacing w:after="0" w:line="229" w:lineRule="exact"/>
        <w:rPr>
          <w:sz w:val="20"/>
          <w:szCs w:val="20"/>
          <w:color w:val="auto"/>
        </w:rPr>
      </w:pPr>
    </w:p>
    <w:p>
      <w:pPr>
        <w:jc w:val="both"/>
        <w:ind w:left="200" w:right="219" w:firstLine="1305"/>
        <w:spacing w:after="0" w:line="297" w:lineRule="auto"/>
        <w:tabs>
          <w:tab w:leader="none" w:pos="21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make each payment required to be made by it hereunder (whether of principal, interest, fees or reimbursement of LC Disbursements, or of amounts payable under Sections 2.14, 2.15 or 2.16, or otherwise) prior to 2:00 p.m., Chicago time,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designated by the Administrative Agent to the Borrower except payments to be made directly to the Issuing Bank or Swingline Lender as expressly provided herein and except that payments pursuant to Sections 2.14, 2.15, 2.16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jc w:val="both"/>
        <w:ind w:left="200" w:right="219" w:firstLine="1305"/>
        <w:spacing w:after="0" w:line="276" w:lineRule="auto"/>
        <w:tabs>
          <w:tab w:leader="none" w:pos="18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2.10) or (ii) after an Event of Default has occurred and is continuing and the Administrative Agent so elects or the Required Lenders so direct, shall be applied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the Swingline Lender and the Issuing Bank from the Borrower (other than in connection with Banking Services Obligations or Swap Agreement Obligations),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or expense reimbursements then due to the Lenders from the Borrower (other than in connection with Banking Services Obligations or Swap Agreement Obligations),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then due and payable on the Loans ratably,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prepay principal on the Loans and unreimbursed LC Disbursements and to pay any amounts owing with respect to Swap Agreement Obligations up to and including the amount most recently provided to the Administrative Agent pursuant to Section 2.21, ratably),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 an amount to the Administrative Agent equal to one hundred five percent (105%) of the aggregate LC Exposure, to be held as cash collateral for such Obligations, and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in respect of Banking Services Obligations up to and including the amount most recently provided to the Administrative Agent pursuant to Section 2.21, and </w:t>
      </w:r>
      <w:r>
        <w:rPr>
          <w:rFonts w:ascii="Arial" w:cs="Arial" w:eastAsia="Arial" w:hAnsi="Arial"/>
          <w:sz w:val="18"/>
          <w:szCs w:val="18"/>
          <w:u w:val="single" w:color="auto"/>
          <w:color w:val="auto"/>
        </w:rPr>
        <w:t>seventh</w:t>
      </w:r>
      <w:r>
        <w:rPr>
          <w:rFonts w:ascii="Arial" w:cs="Arial" w:eastAsia="Arial" w:hAnsi="Arial"/>
          <w:sz w:val="18"/>
          <w:szCs w:val="18"/>
          <w:color w:val="auto"/>
        </w:rPr>
        <w:t>, to the payment of any other Secured Obligation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3" w:name="page174"/>
    <w:bookmarkEnd w:id="173"/>
    <w:p>
      <w:pPr>
        <w:jc w:val="both"/>
        <w:ind w:left="200" w:right="219"/>
        <w:spacing w:after="0" w:line="249" w:lineRule="auto"/>
        <w:rPr>
          <w:sz w:val="20"/>
          <w:szCs w:val="20"/>
          <w:color w:val="auto"/>
        </w:rPr>
      </w:pPr>
      <w:r>
        <w:rPr>
          <w:rFonts w:ascii="Arial" w:cs="Arial" w:eastAsia="Arial" w:hAnsi="Arial"/>
          <w:sz w:val="20"/>
          <w:szCs w:val="20"/>
          <w:color w:val="auto"/>
        </w:rPr>
        <w:t>Administrative Agent or any Lender from the Borrower or any other Loan Party</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anything to the contrary contained in this Agreement, unless so directed by the Borrower, or unless a Default is in existence, neither the Administrative Agent nor any Lender shall apply any payment which it receives to any Term Benchmark Loan of a Class, except (i) on the expiration date of the Interest Period applicable thereto, or (ii) in the event, and only to the extent, that there are no outstanding ABR Loans of the same Class and, in any such event, the Borrower shall pay the break funding payment required in accordance with Section 2.15. The Administrative Agent and the Lenders shall have the continuing and exclusive right to apply and reverse and reapply any and all such proceeds and payments to any portion of the Secured Obligations.</w:t>
      </w:r>
    </w:p>
    <w:p>
      <w:pPr>
        <w:spacing w:after="0" w:line="378"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 xml:space="preserve">Notwithstanding the foregoing, Secured Obligations arising under Banking Services Obligations or Swap Agreement Obligations shall be excluded from the application described above and paid in clause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200" w:lineRule="exact"/>
        <w:rPr>
          <w:sz w:val="20"/>
          <w:szCs w:val="20"/>
          <w:color w:val="auto"/>
        </w:rPr>
      </w:pPr>
    </w:p>
    <w:p>
      <w:pPr>
        <w:spacing w:after="0" w:line="294" w:lineRule="exact"/>
        <w:rPr>
          <w:sz w:val="20"/>
          <w:szCs w:val="20"/>
          <w:color w:val="auto"/>
        </w:rPr>
      </w:pPr>
    </w:p>
    <w:p>
      <w:pPr>
        <w:jc w:val="both"/>
        <w:ind w:left="200" w:right="219" w:firstLine="1305"/>
        <w:spacing w:after="0" w:line="276" w:lineRule="auto"/>
        <w:tabs>
          <w:tab w:leader="none" w:pos="183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2.04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2.04,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375" w:lineRule="exact"/>
        <w:rPr>
          <w:rFonts w:ascii="Arial" w:cs="Arial" w:eastAsia="Arial" w:hAnsi="Arial"/>
          <w:sz w:val="18"/>
          <w:szCs w:val="18"/>
          <w:color w:val="auto"/>
        </w:rPr>
      </w:pPr>
    </w:p>
    <w:p>
      <w:pPr>
        <w:jc w:val="both"/>
        <w:ind w:left="200" w:right="219" w:firstLine="1305"/>
        <w:spacing w:after="0" w:line="297" w:lineRule="auto"/>
        <w:tabs>
          <w:tab w:leader="none" w:pos="21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4" w:name="page175"/>
    <w:bookmarkEnd w:id="174"/>
    <w:p>
      <w:pPr>
        <w:jc w:val="both"/>
        <w:ind w:left="200" w:right="219"/>
        <w:spacing w:after="0" w:line="286" w:lineRule="auto"/>
        <w:rPr>
          <w:sz w:val="20"/>
          <w:szCs w:val="20"/>
          <w:color w:val="auto"/>
        </w:rPr>
      </w:pPr>
      <w:r>
        <w:rPr>
          <w:rFonts w:ascii="Arial" w:cs="Arial" w:eastAsia="Arial" w:hAnsi="Arial"/>
          <w:sz w:val="19"/>
          <w:szCs w:val="19"/>
          <w:color w:val="auto"/>
        </w:rPr>
        <w:t>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307" w:lineRule="exact"/>
        <w:rPr>
          <w:sz w:val="20"/>
          <w:szCs w:val="20"/>
          <w:color w:val="auto"/>
        </w:rPr>
      </w:pPr>
    </w:p>
    <w:p>
      <w:pPr>
        <w:jc w:val="both"/>
        <w:ind w:left="200" w:right="219" w:firstLine="1305"/>
        <w:spacing w:after="0" w:line="282" w:lineRule="auto"/>
        <w:tabs>
          <w:tab w:leader="none" w:pos="214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NYFRB Rate.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jc w:val="both"/>
        <w:ind w:left="200" w:right="219" w:firstLine="1305"/>
        <w:spacing w:after="0" w:line="303" w:lineRule="auto"/>
        <w:tabs>
          <w:tab w:leader="none" w:pos="21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such order as may be determined by the Administrative Agent in its discretion.</w:t>
      </w: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jc w:val="both"/>
        <w:ind w:left="200" w:right="219" w:firstLine="1305"/>
        <w:spacing w:after="0" w:line="280" w:lineRule="auto"/>
        <w:tabs>
          <w:tab w:leader="none" w:pos="214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Administrative Agent may from time to time provide the Borrower with account statements or invoices with respect to any of the Secured Obligations (the “</w:t>
      </w:r>
      <w:r>
        <w:rPr>
          <w:rFonts w:ascii="Arial" w:cs="Arial" w:eastAsia="Arial" w:hAnsi="Arial"/>
          <w:sz w:val="19"/>
          <w:szCs w:val="19"/>
          <w:u w:val="single" w:color="auto"/>
          <w:color w:val="auto"/>
        </w:rPr>
        <w:t>Statements</w:t>
      </w:r>
      <w:r>
        <w:rPr>
          <w:rFonts w:ascii="Arial" w:cs="Arial" w:eastAsia="Arial" w:hAnsi="Arial"/>
          <w:sz w:val="19"/>
          <w:szCs w:val="19"/>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200" w:lineRule="exact"/>
        <w:rPr>
          <w:sz w:val="20"/>
          <w:szCs w:val="20"/>
          <w:color w:val="auto"/>
        </w:rPr>
      </w:pPr>
    </w:p>
    <w:p>
      <w:pPr>
        <w:spacing w:after="0" w:line="31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39" w:firstLine="1305"/>
        <w:spacing w:after="0" w:line="347" w:lineRule="auto"/>
        <w:tabs>
          <w:tab w:leader="none" w:pos="21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2.14, or if the Borrower is required to pay any Indemnified Taxes or additional amounts to any Lender or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281940</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75" w:name="page176"/>
    <w:bookmarkEnd w:id="175"/>
    <w:p>
      <w:pPr>
        <w:jc w:val="both"/>
        <w:ind w:left="200" w:right="219"/>
        <w:spacing w:after="0" w:line="266" w:lineRule="auto"/>
        <w:rPr>
          <w:sz w:val="20"/>
          <w:szCs w:val="20"/>
          <w:color w:val="auto"/>
        </w:rPr>
      </w:pPr>
      <w:r>
        <w:rPr>
          <w:rFonts w:ascii="Arial" w:cs="Arial" w:eastAsia="Arial" w:hAnsi="Arial"/>
          <w:sz w:val="20"/>
          <w:szCs w:val="20"/>
          <w:color w:val="auto"/>
        </w:rPr>
        <w:t>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2.14 or 2.16,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326" w:lineRule="exact"/>
        <w:rPr>
          <w:sz w:val="20"/>
          <w:szCs w:val="20"/>
          <w:color w:val="auto"/>
        </w:rPr>
      </w:pPr>
    </w:p>
    <w:p>
      <w:pPr>
        <w:jc w:val="both"/>
        <w:ind w:left="200" w:right="219" w:firstLine="1305"/>
        <w:spacing w:after="0" w:line="295" w:lineRule="auto"/>
        <w:tabs>
          <w:tab w:leader="none" w:pos="18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Section 2.14, or if the Borrower is required to pay any Indemnified Taxes or additional amounts to any Lender or any Governmental Authority for the account of any Lender pursuant to Section 2.16,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2.14 or 2.16) and obligations under this Agreement and other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2.14 or payments required to be made pursuant to Section 2.16,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0" w:lineRule="exact"/>
        <w:rPr>
          <w:sz w:val="20"/>
          <w:szCs w:val="20"/>
          <w:color w:val="auto"/>
        </w:rPr>
      </w:pPr>
    </w:p>
    <w:p>
      <w:pPr>
        <w:spacing w:after="0" w:line="292" w:lineRule="exact"/>
        <w:rPr>
          <w:sz w:val="20"/>
          <w:szCs w:val="20"/>
          <w:color w:val="auto"/>
        </w:rPr>
      </w:pPr>
    </w:p>
    <w:p>
      <w:pPr>
        <w:jc w:val="both"/>
        <w:ind w:left="200" w:right="239" w:firstLine="648"/>
        <w:spacing w:after="0" w:line="257" w:lineRule="auto"/>
        <w:rPr>
          <w:sz w:val="20"/>
          <w:szCs w:val="20"/>
          <w:color w:val="auto"/>
        </w:rPr>
      </w:pPr>
      <w:r>
        <w:rPr>
          <w:rFonts w:ascii="Arial" w:cs="Arial" w:eastAsia="Arial" w:hAnsi="Arial"/>
          <w:sz w:val="20"/>
          <w:szCs w:val="20"/>
          <w:color w:val="auto"/>
        </w:rPr>
        <w:t>SECTION 2.19. Defaulting Lenders. Notwithstanding any provision of this Agreement to the contrary, if any Lender becomes a Defaulting Lender, then the following provisions shall apply for so long as such Lender is a Defaulting Lender:</w:t>
      </w:r>
    </w:p>
    <w:p>
      <w:pPr>
        <w:spacing w:after="0" w:line="206" w:lineRule="exact"/>
        <w:rPr>
          <w:sz w:val="20"/>
          <w:szCs w:val="20"/>
          <w:color w:val="auto"/>
        </w:rPr>
      </w:pPr>
    </w:p>
    <w:p>
      <w:pPr>
        <w:ind w:left="200" w:right="219" w:firstLine="1305"/>
        <w:spacing w:after="0" w:line="260" w:lineRule="auto"/>
        <w:tabs>
          <w:tab w:leader="none" w:pos="214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fees shall cease to accrue on the unfunded portion of the Revolving Commitment of such Defaulting Lender pursuant to Section 2.11(a);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76" w:name="page177"/>
    <w:bookmarkEnd w:id="176"/>
    <w:p>
      <w:pPr>
        <w:jc w:val="both"/>
        <w:ind w:left="200" w:right="219" w:firstLine="1305"/>
        <w:spacing w:after="0" w:line="274" w:lineRule="auto"/>
        <w:tabs>
          <w:tab w:leader="none" w:pos="21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Banks’ LC Exposure with respect to such Defaulting Lender in accordance with this Section;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93" w:lineRule="exact"/>
        <w:rPr>
          <w:rFonts w:ascii="Arial" w:cs="Arial" w:eastAsia="Arial" w:hAnsi="Arial"/>
          <w:sz w:val="18"/>
          <w:szCs w:val="18"/>
          <w:color w:val="auto"/>
        </w:rPr>
      </w:pPr>
    </w:p>
    <w:p>
      <w:pPr>
        <w:jc w:val="both"/>
        <w:ind w:left="200" w:right="219" w:firstLine="1305"/>
        <w:spacing w:after="0" w:line="262" w:lineRule="auto"/>
        <w:tabs>
          <w:tab w:leader="none" w:pos="21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provided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93" w:lineRule="exact"/>
        <w:rPr>
          <w:rFonts w:ascii="Arial" w:cs="Arial" w:eastAsia="Arial" w:hAnsi="Arial"/>
          <w:sz w:val="19"/>
          <w:szCs w:val="19"/>
          <w:color w:val="auto"/>
        </w:rPr>
      </w:pPr>
    </w:p>
    <w:p>
      <w:pPr>
        <w:ind w:left="200" w:right="219" w:firstLine="1305"/>
        <w:spacing w:after="0" w:line="260" w:lineRule="auto"/>
        <w:tabs>
          <w:tab w:leader="none" w:pos="21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any Swingline Exposure or LC Exposure exists at the time such Lender becomes a Defaulting Lender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-1350645</wp:posOffset>
            </wp:positionV>
            <wp:extent cx="4114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-1367790</wp:posOffset>
            </wp:positionV>
            <wp:extent cx="407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184" w:lineRule="exact"/>
        <w:rPr>
          <w:sz w:val="20"/>
          <w:szCs w:val="20"/>
          <w:color w:val="auto"/>
        </w:rPr>
      </w:pPr>
    </w:p>
    <w:p>
      <w:pPr>
        <w:jc w:val="both"/>
        <w:ind w:left="860" w:right="219" w:firstLine="645"/>
        <w:spacing w:after="0" w:line="299" w:lineRule="auto"/>
        <w:tabs>
          <w:tab w:leader="none" w:pos="21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307975</wp:posOffset>
            </wp:positionV>
            <wp:extent cx="545211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77" w:name="page178"/>
    <w:bookmarkEnd w:id="177"/>
    <w:p>
      <w:pPr>
        <w:jc w:val="both"/>
        <w:ind w:left="860" w:right="219"/>
        <w:spacing w:after="0" w:line="299" w:lineRule="auto"/>
        <w:rPr>
          <w:sz w:val="20"/>
          <w:szCs w:val="20"/>
          <w:color w:val="auto"/>
        </w:rPr>
      </w:pPr>
      <w:r>
        <w:rPr>
          <w:rFonts w:ascii="Arial" w:cs="Arial" w:eastAsia="Arial" w:hAnsi="Arial"/>
          <w:sz w:val="18"/>
          <w:szCs w:val="18"/>
          <w:color w:val="auto"/>
        </w:rPr>
        <w:t>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3" w:lineRule="exact"/>
        <w:rPr>
          <w:sz w:val="20"/>
          <w:szCs w:val="20"/>
          <w:color w:val="auto"/>
        </w:rPr>
      </w:pPr>
    </w:p>
    <w:p>
      <w:pPr>
        <w:jc w:val="both"/>
        <w:ind w:left="860" w:right="219" w:firstLine="645"/>
        <w:spacing w:after="0" w:line="282" w:lineRule="auto"/>
        <w:tabs>
          <w:tab w:leader="none" w:pos="21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2.05(j) for so long as such LC Exposure is outstanding;</w:t>
      </w:r>
    </w:p>
    <w:p>
      <w:pPr>
        <w:spacing w:after="0" w:line="201" w:lineRule="exact"/>
        <w:rPr>
          <w:rFonts w:ascii="Arial" w:cs="Arial" w:eastAsia="Arial" w:hAnsi="Arial"/>
          <w:sz w:val="18"/>
          <w:szCs w:val="18"/>
          <w:color w:val="auto"/>
        </w:rPr>
      </w:pPr>
    </w:p>
    <w:p>
      <w:pPr>
        <w:jc w:val="both"/>
        <w:ind w:left="860" w:right="219" w:firstLine="645"/>
        <w:spacing w:after="0" w:line="273" w:lineRule="auto"/>
        <w:tabs>
          <w:tab w:leader="none" w:pos="215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if the Borrower cash collateralizes any portion of such Defaulting Lender’s LC Exposure pursuant to clause (ii) above, the Borrower shall not be required to pay any fees to such Defaulting Lender pursuant to Section 2.11(b) with respect to such Defaulting Lender’s LC Exposure during the period such Defaulting Lender’s LC Exposure is cash collateralized;</w:t>
      </w:r>
    </w:p>
    <w:p>
      <w:pPr>
        <w:spacing w:after="0" w:line="207" w:lineRule="exact"/>
        <w:rPr>
          <w:rFonts w:ascii="Arial" w:cs="Arial" w:eastAsia="Arial" w:hAnsi="Arial"/>
          <w:sz w:val="19"/>
          <w:szCs w:val="19"/>
          <w:color w:val="auto"/>
        </w:rPr>
      </w:pPr>
    </w:p>
    <w:p>
      <w:pPr>
        <w:ind w:left="2160" w:hanging="655"/>
        <w:spacing w:after="0"/>
        <w:tabs>
          <w:tab w:leader="none" w:pos="21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w:t>
      </w:r>
    </w:p>
    <w:p>
      <w:pPr>
        <w:spacing w:after="0" w:line="43" w:lineRule="exact"/>
        <w:rPr>
          <w:rFonts w:ascii="Arial" w:cs="Arial" w:eastAsia="Arial" w:hAnsi="Arial"/>
          <w:sz w:val="18"/>
          <w:szCs w:val="18"/>
          <w:color w:val="auto"/>
        </w:rPr>
      </w:pPr>
    </w:p>
    <w:p>
      <w:pPr>
        <w:ind w:left="860" w:right="219" w:hanging="3"/>
        <w:spacing w:after="0" w:line="279" w:lineRule="auto"/>
        <w:tabs>
          <w:tab w:leader="none" w:pos="112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above, then the fees payable to the Lenders pursuant to Sections 2.11(a) and 2.11(b) shall be adjusted in accordance with such non-Defaulting Lenders’ Applicable Percentages; and</w:t>
      </w:r>
    </w:p>
    <w:p>
      <w:pPr>
        <w:spacing w:after="0" w:line="213" w:lineRule="exact"/>
        <w:rPr>
          <w:rFonts w:ascii="Arial" w:cs="Arial" w:eastAsia="Arial" w:hAnsi="Arial"/>
          <w:sz w:val="19"/>
          <w:szCs w:val="19"/>
          <w:color w:val="auto"/>
        </w:rPr>
      </w:pPr>
    </w:p>
    <w:p>
      <w:pPr>
        <w:jc w:val="both"/>
        <w:ind w:left="860" w:right="219" w:firstLine="645"/>
        <w:spacing w:after="0" w:line="249" w:lineRule="auto"/>
        <w:tabs>
          <w:tab w:leader="none" w:pos="215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2.11(b) with respect to such Defaulting Lender’s LC Exposure shall be payable to the Issuing Bank until and to the extent that such LC Exposure is reallocated and/or cash collateralized; and</w:t>
      </w:r>
    </w:p>
    <w:p>
      <w:pPr>
        <w:spacing w:after="0" w:line="229" w:lineRule="exact"/>
        <w:rPr>
          <w:sz w:val="20"/>
          <w:szCs w:val="20"/>
          <w:color w:val="auto"/>
        </w:rPr>
      </w:pPr>
    </w:p>
    <w:p>
      <w:pPr>
        <w:jc w:val="both"/>
        <w:ind w:left="200" w:right="219" w:firstLine="1305"/>
        <w:spacing w:after="0" w:line="279" w:lineRule="auto"/>
        <w:tabs>
          <w:tab w:leader="none" w:pos="21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2.19(c), and Swingline Exposure related to any such newly made Swingline Loan or LC Exposure related to any newly issued or increased Letter of Credit shall be allocated among non-Defaulting Lenders in a manner consistent with Section 2.19(c)(i) (and such Defaulting Lender shall not participate therein).</w:t>
      </w:r>
    </w:p>
    <w:p>
      <w:pPr>
        <w:spacing w:after="0" w:line="195"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95" w:lineRule="exact"/>
        <w:rPr>
          <w:sz w:val="20"/>
          <w:szCs w:val="20"/>
          <w:color w:val="auto"/>
        </w:rPr>
      </w:pPr>
    </w:p>
    <w:p>
      <w:pPr>
        <w:jc w:val="both"/>
        <w:ind w:left="200" w:right="219" w:firstLine="648"/>
        <w:spacing w:after="0" w:line="329" w:lineRule="auto"/>
        <w:rPr>
          <w:sz w:val="20"/>
          <w:szCs w:val="20"/>
          <w:color w:val="auto"/>
        </w:rPr>
      </w:pPr>
      <w:r>
        <w:rPr>
          <w:rFonts w:ascii="Arial" w:cs="Arial" w:eastAsia="Arial" w:hAnsi="Arial"/>
          <w:sz w:val="16"/>
          <w:szCs w:val="16"/>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298450</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8" w:name="page179"/>
    <w:bookmarkEnd w:id="178"/>
    <w:p>
      <w:pPr>
        <w:jc w:val="both"/>
        <w:ind w:left="200" w:right="219"/>
        <w:spacing w:after="0" w:line="262" w:lineRule="auto"/>
        <w:rPr>
          <w:sz w:val="20"/>
          <w:szCs w:val="20"/>
          <w:color w:val="auto"/>
        </w:rPr>
      </w:pPr>
      <w:r>
        <w:rPr>
          <w:rFonts w:ascii="Arial" w:cs="Arial" w:eastAsia="Arial" w:hAnsi="Arial"/>
          <w:sz w:val="20"/>
          <w:szCs w:val="20"/>
          <w:color w:val="auto"/>
        </w:rPr>
        <w:t>Administrative Agent shall determine may be necessary in order for such Lender to hold such Loans in accordance with its Applicable Percentage.</w:t>
      </w:r>
    </w:p>
    <w:p>
      <w:pPr>
        <w:spacing w:after="0" w:line="215" w:lineRule="exact"/>
        <w:rPr>
          <w:sz w:val="20"/>
          <w:szCs w:val="20"/>
          <w:color w:val="auto"/>
        </w:rPr>
      </w:pPr>
    </w:p>
    <w:p>
      <w:pPr>
        <w:jc w:val="both"/>
        <w:ind w:left="200" w:right="219" w:firstLine="1296"/>
        <w:spacing w:after="0" w:line="299"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Returned Payments</w:t>
      </w:r>
      <w:r>
        <w:rPr>
          <w:rFonts w:ascii="Arial" w:cs="Arial" w:eastAsia="Arial" w:hAnsi="Arial"/>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Secured Obligations or the part thereof intended to be satisfied shall be revived and continued and this Agreement shall continue in full force as if such payment or proceeds had not been received by the Administrative Agent or such Lender. The provisions of this Section 2.20 shall be and remain effective notwithstanding any contrary action which may have been taken by the Administrative Agent or any Lender in reliance upon such payment or application of proceeds. The provisions of this Section 2.20 shall survive the termination of this Agreement.</w:t>
      </w:r>
    </w:p>
    <w:p>
      <w:pPr>
        <w:spacing w:after="0" w:line="200" w:lineRule="exact"/>
        <w:rPr>
          <w:sz w:val="20"/>
          <w:szCs w:val="20"/>
          <w:color w:val="auto"/>
        </w:rPr>
      </w:pPr>
    </w:p>
    <w:p>
      <w:pPr>
        <w:spacing w:after="0" w:line="283"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u w:val="single" w:color="auto"/>
          <w:color w:val="auto"/>
        </w:rPr>
        <w:t>Banking Services and Swap Agreements</w:t>
      </w:r>
      <w:r>
        <w:rPr>
          <w:rFonts w:ascii="Arial" w:cs="Arial" w:eastAsia="Arial" w:hAnsi="Arial"/>
          <w:sz w:val="19"/>
          <w:szCs w:val="19"/>
          <w:color w:val="auto"/>
        </w:rPr>
        <w:t>.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JPMCB and any Subsidiary or Affiliate thereof shall not be subject to foregoing requirements under this Section 2.21. The most recent information provided to the Administrative Agent shall be used in determining which tier of the waterfall, contained in Section 2.17(b), such Banking Services Obligations and/or Swap Agreement Obligations will be placed.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III</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Representations and Warranties</w:t>
      </w:r>
    </w:p>
    <w:p>
      <w:pPr>
        <w:spacing w:after="0" w:line="200" w:lineRule="exact"/>
        <w:rPr>
          <w:sz w:val="20"/>
          <w:szCs w:val="20"/>
          <w:color w:val="auto"/>
        </w:rPr>
      </w:pP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Each Loan Party represents and warrants to the Lenders that (and where applicable, agrees):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00" w:right="219" w:firstLine="1296"/>
        <w:spacing w:after="0" w:line="30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9" w:name="page180"/>
    <w:bookmarkEnd w:id="179"/>
    <w:p>
      <w:pPr>
        <w:jc w:val="both"/>
        <w:ind w:left="200" w:right="219"/>
        <w:spacing w:after="0" w:line="288" w:lineRule="auto"/>
        <w:rPr>
          <w:sz w:val="20"/>
          <w:szCs w:val="20"/>
          <w:color w:val="auto"/>
        </w:rPr>
      </w:pPr>
      <w:r>
        <w:rPr>
          <w:rFonts w:ascii="Arial" w:cs="Arial" w:eastAsia="Arial" w:hAnsi="Arial"/>
          <w:sz w:val="19"/>
          <w:szCs w:val="19"/>
          <w:color w:val="auto"/>
        </w:rPr>
        <w:t>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200" w:lineRule="exact"/>
        <w:rPr>
          <w:sz w:val="20"/>
          <w:szCs w:val="20"/>
          <w:color w:val="auto"/>
        </w:rPr>
      </w:pPr>
    </w:p>
    <w:p>
      <w:pPr>
        <w:spacing w:after="0" w:line="304" w:lineRule="exact"/>
        <w:rPr>
          <w:sz w:val="20"/>
          <w:szCs w:val="20"/>
          <w:color w:val="auto"/>
        </w:rPr>
      </w:pPr>
    </w:p>
    <w:p>
      <w:pPr>
        <w:jc w:val="both"/>
        <w:ind w:left="200" w:right="219" w:firstLine="1296"/>
        <w:spacing w:after="0" w:line="29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w:t>
      </w:r>
    </w:p>
    <w:p>
      <w:pPr>
        <w:spacing w:after="0" w:line="1" w:lineRule="exact"/>
        <w:rPr>
          <w:sz w:val="20"/>
          <w:szCs w:val="20"/>
          <w:color w:val="auto"/>
        </w:rPr>
      </w:pPr>
    </w:p>
    <w:p>
      <w:pPr>
        <w:jc w:val="both"/>
        <w:ind w:left="200" w:right="219" w:firstLine="9"/>
        <w:spacing w:after="0" w:line="293" w:lineRule="auto"/>
        <w:tabs>
          <w:tab w:leader="none" w:pos="4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Material Contract to which such Person is a party or affecting such Person or the properties of such Person or any of its Subsidiaries, (ii) any order, injunction, writ or decree of any Governmental Authority, or</w:t>
      </w:r>
    </w:p>
    <w:p>
      <w:pPr>
        <w:spacing w:after="0" w:line="1" w:lineRule="exact"/>
        <w:rPr>
          <w:rFonts w:ascii="Arial" w:cs="Arial" w:eastAsia="Arial" w:hAnsi="Arial"/>
          <w:sz w:val="18"/>
          <w:szCs w:val="18"/>
          <w:color w:val="auto"/>
        </w:rPr>
      </w:pPr>
    </w:p>
    <w:p>
      <w:pPr>
        <w:jc w:val="both"/>
        <w:ind w:left="200" w:right="219" w:firstLine="9"/>
        <w:spacing w:after="0" w:line="272" w:lineRule="auto"/>
        <w:tabs>
          <w:tab w:leader="none" w:pos="55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arbitral award to which such Person or its property is subject where such conflict could reasonably be expected to have a Material Adverse Effect; (c) violate any Law where such violation could reasonably be expected to have a Material Adverse Effect; or (d) cause any forfeiture or impairment of any of FCC License.</w:t>
      </w:r>
    </w:p>
    <w:p>
      <w:pPr>
        <w:spacing w:after="0" w:line="200" w:lineRule="exact"/>
        <w:rPr>
          <w:sz w:val="20"/>
          <w:szCs w:val="20"/>
          <w:color w:val="auto"/>
        </w:rPr>
      </w:pPr>
    </w:p>
    <w:p>
      <w:pPr>
        <w:spacing w:after="0" w:line="303" w:lineRule="exact"/>
        <w:rPr>
          <w:sz w:val="20"/>
          <w:szCs w:val="20"/>
          <w:color w:val="auto"/>
        </w:rPr>
      </w:pPr>
    </w:p>
    <w:p>
      <w:pPr>
        <w:jc w:val="both"/>
        <w:ind w:left="200" w:right="219" w:firstLine="1296"/>
        <w:spacing w:after="0" w:line="281"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Authorization; Other Consents</w:t>
      </w:r>
      <w:r>
        <w:rPr>
          <w:rFonts w:ascii="Arial" w:cs="Arial" w:eastAsia="Arial" w:hAnsi="Arial"/>
          <w:sz w:val="19"/>
          <w:szCs w:val="19"/>
          <w:color w:val="auto"/>
        </w:rPr>
        <w:t xml:space="preserve">. No approval, consent, exemption, authorization, or other action by, or notice to, or filing with, any Governmental Authority (including, without limitation, the FCC and the SEC)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such Liens as are permitted hereby) or (d) the exercise by the Administrative Agent or any Lender of its rights under the Loan Documents or the remedies in respect of the Collateral pursuant to the Collateral Documents, except for the authorizations, approvals, actions, notices and filings listed on </w:t>
      </w:r>
      <w:r>
        <w:rPr>
          <w:rFonts w:ascii="Arial" w:cs="Arial" w:eastAsia="Arial" w:hAnsi="Arial"/>
          <w:sz w:val="19"/>
          <w:szCs w:val="19"/>
          <w:u w:val="single" w:color="auto"/>
          <w:color w:val="auto"/>
        </w:rPr>
        <w:t>Schedule 3.03</w:t>
      </w:r>
      <w:r>
        <w:rPr>
          <w:rFonts w:ascii="Arial" w:cs="Arial" w:eastAsia="Arial" w:hAnsi="Arial"/>
          <w:sz w:val="19"/>
          <w:szCs w:val="19"/>
          <w:color w:val="auto"/>
        </w:rPr>
        <w:t>, all of which have been duly obtained, taken, given or made and are in full force and effect and the filing of a copy of this Agreement and the Collateral Documents with the FCC and the filing of a copy of this Agreement with the SEC in accordance with applicable law, which filings (or the failure to file) do not affect the validity or enforceability of the Loan or the Loan Documents.</w:t>
      </w:r>
    </w:p>
    <w:p>
      <w:pPr>
        <w:spacing w:after="0" w:line="200" w:lineRule="exact"/>
        <w:rPr>
          <w:sz w:val="20"/>
          <w:szCs w:val="20"/>
          <w:color w:val="auto"/>
        </w:rPr>
      </w:pPr>
    </w:p>
    <w:p>
      <w:pPr>
        <w:spacing w:after="0" w:line="309"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200" w:lineRule="exact"/>
        <w:rPr>
          <w:sz w:val="20"/>
          <w:szCs w:val="20"/>
          <w:color w:val="auto"/>
        </w:rPr>
      </w:pPr>
    </w:p>
    <w:p>
      <w:pPr>
        <w:spacing w:after="0" w:line="31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Financial Statements; No Material Adverse Effect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0" w:name="page181"/>
    <w:bookmarkEnd w:id="180"/>
    <w:p>
      <w:pPr>
        <w:jc w:val="both"/>
        <w:ind w:left="200" w:right="219" w:firstLine="1305"/>
        <w:spacing w:after="0" w:line="297" w:lineRule="auto"/>
        <w:tabs>
          <w:tab w:leader="none" w:pos="222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w:t>
      </w:r>
    </w:p>
    <w:p>
      <w:pPr>
        <w:jc w:val="both"/>
        <w:ind w:left="200" w:right="219" w:firstLine="9"/>
        <w:spacing w:after="0" w:line="306" w:lineRule="auto"/>
        <w:tabs>
          <w:tab w:leader="none" w:pos="4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jc w:val="both"/>
        <w:ind w:left="200" w:right="219" w:firstLine="1305"/>
        <w:spacing w:after="0" w:line="278" w:lineRule="auto"/>
        <w:tabs>
          <w:tab w:leader="none" w:pos="214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unaudited consolidated and consolidating balance sheet of the Borrower and its Subsidiaries dated March 31, 2015 and the related consolidated and consolidating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subject, in the case of clauses (i) and (ii), to the absence of footnotes and to normal year-end audit adjustments.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sets forth all material indebtedness and other liabilities, direct or contingent, of the Borrower and its consolidated Subsidiaries as of the date of such financial statements, including liabilities for taxes, material commitments and Indebtedness not disclosed in such financial statements.</w:t>
      </w:r>
    </w:p>
    <w:p>
      <w:pPr>
        <w:spacing w:after="0" w:line="167" w:lineRule="exact"/>
        <w:rPr>
          <w:rFonts w:ascii="Arial" w:cs="Arial" w:eastAsia="Arial" w:hAnsi="Arial"/>
          <w:sz w:val="18"/>
          <w:szCs w:val="18"/>
          <w:color w:val="auto"/>
        </w:rPr>
      </w:pPr>
    </w:p>
    <w:p>
      <w:pPr>
        <w:jc w:val="both"/>
        <w:ind w:left="200" w:right="219" w:firstLine="1305"/>
        <w:spacing w:after="0" w:line="257" w:lineRule="auto"/>
        <w:tabs>
          <w:tab w:leader="none" w:pos="2144"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9" w:lineRule="exact"/>
        <w:rPr>
          <w:rFonts w:ascii="Arial" w:cs="Arial" w:eastAsia="Arial" w:hAnsi="Arial"/>
          <w:sz w:val="20"/>
          <w:szCs w:val="20"/>
          <w:color w:val="auto"/>
        </w:rPr>
      </w:pPr>
    </w:p>
    <w:p>
      <w:pPr>
        <w:jc w:val="both"/>
        <w:ind w:left="200" w:right="219" w:firstLine="1305"/>
        <w:spacing w:after="0" w:line="252" w:lineRule="auto"/>
        <w:tabs>
          <w:tab w:leader="none" w:pos="2144"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The consolidated and consolidating forecasted balance sheet, statements of income and cash flows of the Borrower and its Subsidiaries delivered pursuant to </w:t>
      </w:r>
      <w:r>
        <w:rPr>
          <w:rFonts w:ascii="Arial" w:cs="Arial" w:eastAsia="Arial" w:hAnsi="Arial"/>
          <w:sz w:val="20"/>
          <w:szCs w:val="20"/>
          <w:u w:val="single" w:color="auto"/>
          <w:color w:val="auto"/>
        </w:rPr>
        <w:t>Section 4.01(b)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 and are not a guaranty of future performance.</w:t>
      </w:r>
    </w:p>
    <w:p>
      <w:pPr>
        <w:spacing w:after="0" w:line="184" w:lineRule="exact"/>
        <w:rPr>
          <w:rFonts w:ascii="Arial" w:cs="Arial" w:eastAsia="Arial" w:hAnsi="Arial"/>
          <w:sz w:val="20"/>
          <w:szCs w:val="20"/>
          <w:color w:val="auto"/>
        </w:rPr>
      </w:pPr>
    </w:p>
    <w:p>
      <w:pPr>
        <w:jc w:val="both"/>
        <w:ind w:left="200" w:right="219" w:firstLine="1305"/>
        <w:spacing w:after="0" w:line="249" w:lineRule="auto"/>
        <w:tabs>
          <w:tab w:leader="none" w:pos="2144"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The consolidated and consolidating forecasted balance sheet, statements of income and cash flows of the Borrower and its Subsidiaries delivered pursuant to </w:t>
      </w:r>
      <w:r>
        <w:rPr>
          <w:rFonts w:ascii="Arial" w:cs="Arial" w:eastAsia="Arial" w:hAnsi="Arial"/>
          <w:sz w:val="20"/>
          <w:szCs w:val="20"/>
          <w:u w:val="single" w:color="auto"/>
          <w:color w:val="auto"/>
        </w:rPr>
        <w:t>Section 4.01(b)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 and are not a guaranty of future performance.</w:t>
      </w:r>
    </w:p>
    <w:p>
      <w:pPr>
        <w:spacing w:after="0" w:line="215" w:lineRule="exact"/>
        <w:rPr>
          <w:sz w:val="20"/>
          <w:szCs w:val="20"/>
          <w:color w:val="auto"/>
        </w:rPr>
      </w:pPr>
    </w:p>
    <w:p>
      <w:pPr>
        <w:jc w:val="both"/>
        <w:ind w:left="200" w:right="219" w:firstLine="1296"/>
        <w:spacing w:after="0" w:line="266"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proceedings, claims or disputes pending or, to the knowledge of the Borrower after due and diligent investigation, threatened or contemplated, at law, in equity, in arbitration or before any Governmental Authority (including, without limitation, the FCC and the SEC), by or against the Borrower or any of its Subsidiaries or against any of their properties or revenues that (a) purport to affect or pertain to this Agreement or any other Loan Document or (b) either individually or in the aggregate, if determined adversely,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583565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181" w:name="page182"/>
    <w:bookmarkEnd w:id="181"/>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No Default</w:t>
      </w:r>
      <w:r>
        <w:rPr>
          <w:rFonts w:ascii="Arial" w:cs="Arial" w:eastAsia="Arial" w:hAnsi="Arial"/>
          <w:sz w:val="20"/>
          <w:szCs w:val="20"/>
          <w:color w:val="auto"/>
        </w:rPr>
        <w:t>. Neither the Borrower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00" w:lineRule="exact"/>
        <w:rPr>
          <w:sz w:val="20"/>
          <w:szCs w:val="20"/>
          <w:color w:val="auto"/>
        </w:rPr>
      </w:pPr>
    </w:p>
    <w:p>
      <w:pPr>
        <w:spacing w:after="0" w:line="32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Ownership of Property; Liens; Investments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70" w:lineRule="auto"/>
        <w:tabs>
          <w:tab w:leader="none" w:pos="17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Borrower and each of its Subsidiaries has good record and marketable title in fee simple to, or valid leasehold interests in, all real property necessary in the ordinary conduct of its business, except for such defects in title as could not, individually or in the aggregate, reasonably be expected to have a Material Adverse Effect.</w:t>
      </w:r>
    </w:p>
    <w:p>
      <w:pPr>
        <w:spacing w:after="0" w:line="200" w:lineRule="exact"/>
        <w:rPr>
          <w:rFonts w:ascii="Arial" w:cs="Arial" w:eastAsia="Arial" w:hAnsi="Arial"/>
          <w:sz w:val="20"/>
          <w:szCs w:val="20"/>
          <w:color w:val="auto"/>
        </w:rPr>
      </w:pPr>
    </w:p>
    <w:p>
      <w:pPr>
        <w:spacing w:after="0" w:line="304" w:lineRule="exact"/>
        <w:rPr>
          <w:rFonts w:ascii="Arial" w:cs="Arial" w:eastAsia="Arial" w:hAnsi="Arial"/>
          <w:sz w:val="20"/>
          <w:szCs w:val="20"/>
          <w:color w:val="auto"/>
        </w:rPr>
      </w:pPr>
    </w:p>
    <w:p>
      <w:pPr>
        <w:jc w:val="both"/>
        <w:ind w:left="200" w:right="219" w:firstLine="1305"/>
        <w:spacing w:after="0" w:line="282" w:lineRule="auto"/>
        <w:tabs>
          <w:tab w:leader="none" w:pos="214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Schedule 3.08(b)</w:t>
      </w:r>
      <w:r>
        <w:rPr>
          <w:rFonts w:ascii="Arial" w:cs="Arial" w:eastAsia="Arial" w:hAnsi="Arial"/>
          <w:sz w:val="18"/>
          <w:szCs w:val="18"/>
          <w:color w:val="auto"/>
        </w:rPr>
        <w:t xml:space="preserve"> sets forth, as of the Third Amendment Effective Date, a complete and accurate list of all Liens other than Liens created or permitted by the Loan Documents on the property or assets of the Borrower and each of its Subsidiaries, showing as of the date hereof the lienholder thereof, the principal amount of the obligations secured thereby and the property or assets of such Loan Party or such Subsidiary subject thereto. The property of the Borrower and each of its Subsidiaries is subject to no Liens, other than Liens set forth on </w:t>
      </w:r>
      <w:r>
        <w:rPr>
          <w:rFonts w:ascii="Arial" w:cs="Arial" w:eastAsia="Arial" w:hAnsi="Arial"/>
          <w:sz w:val="18"/>
          <w:szCs w:val="18"/>
          <w:u w:val="single" w:color="auto"/>
          <w:color w:val="auto"/>
        </w:rPr>
        <w:t>Schedule 3.08(b)</w:t>
      </w:r>
      <w:r>
        <w:rPr>
          <w:rFonts w:ascii="Arial" w:cs="Arial" w:eastAsia="Arial" w:hAnsi="Arial"/>
          <w:sz w:val="18"/>
          <w:szCs w:val="18"/>
          <w:color w:val="auto"/>
        </w:rPr>
        <w:t xml:space="preserve">, and as otherwise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jc w:val="both"/>
        <w:ind w:left="200" w:right="219" w:firstLine="1305"/>
        <w:spacing w:after="0" w:line="286" w:lineRule="auto"/>
        <w:tabs>
          <w:tab w:leader="none" w:pos="214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Schedule 3.08(c)</w:t>
      </w:r>
      <w:r>
        <w:rPr>
          <w:rFonts w:ascii="Arial" w:cs="Arial" w:eastAsia="Arial" w:hAnsi="Arial"/>
          <w:sz w:val="18"/>
          <w:szCs w:val="18"/>
          <w:color w:val="auto"/>
        </w:rPr>
        <w:t xml:space="preserve"> sets forth, as of the Third Amendment Effective Date, a complete and accurate list of all real property owned by the Borrower and each of its Subsidiaries, showing the street address or other relevant jurisdiction, state and record owner. The Borrower and each of its Subsidiaries has good, marketable and insurable fee simple title to the real property owned by such Loan Party or such Subsidiary, free and clear of all Liens, other than Liens created or permitted by the Loan Documents.</w:t>
      </w:r>
    </w:p>
    <w:p>
      <w:pPr>
        <w:spacing w:after="0" w:line="170" w:lineRule="exact"/>
        <w:rPr>
          <w:rFonts w:ascii="Arial" w:cs="Arial" w:eastAsia="Arial" w:hAnsi="Arial"/>
          <w:sz w:val="18"/>
          <w:szCs w:val="18"/>
          <w:color w:val="auto"/>
        </w:rPr>
      </w:pPr>
    </w:p>
    <w:p>
      <w:pPr>
        <w:jc w:val="both"/>
        <w:ind w:left="200" w:right="219" w:firstLine="1305"/>
        <w:spacing w:after="0" w:line="251" w:lineRule="auto"/>
        <w:tabs>
          <w:tab w:leader="none" w:pos="214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Schedule 3.08(d)(i)</w:t>
      </w:r>
      <w:r>
        <w:rPr>
          <w:rFonts w:ascii="Arial" w:cs="Arial" w:eastAsia="Arial" w:hAnsi="Arial"/>
          <w:sz w:val="20"/>
          <w:szCs w:val="20"/>
          <w:color w:val="auto"/>
        </w:rPr>
        <w:t xml:space="preserve"> sets forth, as of the Third Amendment Effective Date, a complete and accurate list of all leases of real property under which the Borrower or any of its Subsidiaries is the lessee, showing as of the date hereof the street address, county or other relevant jurisdiction, state, lessor and lessee.</w:t>
      </w:r>
    </w:p>
    <w:p>
      <w:pPr>
        <w:spacing w:after="0" w:line="185" w:lineRule="exact"/>
        <w:rPr>
          <w:rFonts w:ascii="Arial" w:cs="Arial" w:eastAsia="Arial" w:hAnsi="Arial"/>
          <w:sz w:val="20"/>
          <w:szCs w:val="20"/>
          <w:color w:val="auto"/>
        </w:rPr>
      </w:pPr>
    </w:p>
    <w:p>
      <w:pPr>
        <w:jc w:val="both"/>
        <w:ind w:left="860" w:right="219" w:firstLine="1293"/>
        <w:spacing w:after="0" w:line="251" w:lineRule="auto"/>
        <w:tabs>
          <w:tab w:leader="none" w:pos="2853"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Schedule 3.08(d)(ii)</w:t>
      </w:r>
      <w:r>
        <w:rPr>
          <w:rFonts w:ascii="Arial" w:cs="Arial" w:eastAsia="Arial" w:hAnsi="Arial"/>
          <w:sz w:val="20"/>
          <w:szCs w:val="20"/>
          <w:color w:val="auto"/>
        </w:rPr>
        <w:t xml:space="preserve"> sets forth, as of the Third Amendment Effective Date, a complete and accurate list of all leases of real property for which the annual rent payable under such lease exceeds $25,000, under which the Borrower or any of its Subsidiaries is the lessor, showing as of the date hereof the street address, county or other relevant jurisdiction, state, lessor, lessee and expiration date.</w:t>
      </w:r>
    </w:p>
    <w:p>
      <w:pPr>
        <w:spacing w:after="0" w:line="214" w:lineRule="exact"/>
        <w:rPr>
          <w:rFonts w:ascii="Arial" w:cs="Arial" w:eastAsia="Arial" w:hAnsi="Arial"/>
          <w:sz w:val="20"/>
          <w:szCs w:val="20"/>
          <w:color w:val="auto"/>
        </w:rPr>
      </w:pPr>
    </w:p>
    <w:p>
      <w:pPr>
        <w:jc w:val="both"/>
        <w:ind w:left="200" w:right="219" w:firstLine="1305"/>
        <w:spacing w:after="0" w:line="251" w:lineRule="auto"/>
        <w:tabs>
          <w:tab w:leader="none" w:pos="214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Schedule 3.08(e)</w:t>
      </w:r>
      <w:r>
        <w:rPr>
          <w:rFonts w:ascii="Arial" w:cs="Arial" w:eastAsia="Arial" w:hAnsi="Arial"/>
          <w:sz w:val="20"/>
          <w:szCs w:val="20"/>
          <w:color w:val="auto"/>
        </w:rPr>
        <w:t xml:space="preserve"> sets forth a complete and accurate list of all Investments held by any Loan Party or any Subsidiary of a Loan Party on the date hereof, other than Acquisitions and Investments held by one Loan Party in another Loan Party, showing as of the date hereof the amount, obligor or issuer and maturity, if any, thereof.</w:t>
      </w:r>
    </w:p>
    <w:p>
      <w:pPr>
        <w:spacing w:after="0" w:line="212" w:lineRule="exact"/>
        <w:rPr>
          <w:sz w:val="20"/>
          <w:szCs w:val="20"/>
          <w:color w:val="auto"/>
        </w:rPr>
      </w:pPr>
    </w:p>
    <w:p>
      <w:pPr>
        <w:jc w:val="both"/>
        <w:ind w:left="200" w:right="219" w:firstLine="1296"/>
        <w:spacing w:after="0" w:line="30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2" w:name="page183"/>
    <w:bookmarkEnd w:id="182"/>
    <w:p>
      <w:pPr>
        <w:jc w:val="both"/>
        <w:ind w:left="200" w:right="219"/>
        <w:spacing w:after="0" w:line="288" w:lineRule="auto"/>
        <w:rPr>
          <w:sz w:val="20"/>
          <w:szCs w:val="20"/>
          <w:color w:val="auto"/>
        </w:rPr>
      </w:pPr>
      <w:r>
        <w:rPr>
          <w:rFonts w:ascii="Arial" w:cs="Arial" w:eastAsia="Arial" w:hAnsi="Arial"/>
          <w:sz w:val="20"/>
          <w:szCs w:val="20"/>
          <w:color w:val="auto"/>
        </w:rPr>
        <w:t>concluded that such Environmental Laws and claims could not, individually or in the aggregate, reasonably be expected to have a Material Adverse Effect.</w:t>
      </w:r>
    </w:p>
    <w:p>
      <w:pPr>
        <w:spacing w:after="0" w:line="200" w:lineRule="exact"/>
        <w:rPr>
          <w:sz w:val="20"/>
          <w:szCs w:val="20"/>
          <w:color w:val="auto"/>
        </w:rPr>
      </w:pPr>
    </w:p>
    <w:p>
      <w:pPr>
        <w:spacing w:after="0" w:line="301"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200" w:lineRule="exact"/>
        <w:rPr>
          <w:sz w:val="20"/>
          <w:szCs w:val="20"/>
          <w:color w:val="auto"/>
        </w:rPr>
      </w:pPr>
    </w:p>
    <w:p>
      <w:pPr>
        <w:spacing w:after="0" w:line="307"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Taxes</w:t>
      </w:r>
      <w:r>
        <w:rPr>
          <w:rFonts w:ascii="Arial" w:cs="Arial" w:eastAsia="Arial" w:hAnsi="Arial"/>
          <w:sz w:val="19"/>
          <w:szCs w:val="19"/>
          <w:color w:val="auto"/>
        </w:rPr>
        <w:t>. The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w:t>
      </w:r>
    </w:p>
    <w:p>
      <w:pPr>
        <w:spacing w:after="0" w:line="200" w:lineRule="exact"/>
        <w:rPr>
          <w:sz w:val="20"/>
          <w:szCs w:val="20"/>
          <w:color w:val="auto"/>
        </w:rPr>
      </w:pPr>
    </w:p>
    <w:p>
      <w:pPr>
        <w:spacing w:after="0" w:line="306" w:lineRule="exact"/>
        <w:rPr>
          <w:sz w:val="20"/>
          <w:szCs w:val="20"/>
          <w:color w:val="auto"/>
        </w:rPr>
      </w:pPr>
    </w:p>
    <w:p>
      <w:pPr>
        <w:jc w:val="both"/>
        <w:ind w:left="200" w:right="219" w:firstLine="1296"/>
        <w:spacing w:after="0" w:line="301"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ERISA Compliance</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w:t>
      </w:r>
    </w:p>
    <w:p>
      <w:pPr>
        <w:spacing w:after="0" w:line="200" w:lineRule="exact"/>
        <w:rPr>
          <w:sz w:val="20"/>
          <w:szCs w:val="20"/>
          <w:color w:val="auto"/>
        </w:rPr>
      </w:pPr>
    </w:p>
    <w:p>
      <w:pPr>
        <w:spacing w:after="0" w:line="294" w:lineRule="exact"/>
        <w:rPr>
          <w:sz w:val="20"/>
          <w:szCs w:val="20"/>
          <w:color w:val="auto"/>
        </w:rPr>
      </w:pPr>
    </w:p>
    <w:p>
      <w:pPr>
        <w:jc w:val="both"/>
        <w:ind w:left="200" w:right="219" w:firstLine="1296"/>
        <w:spacing w:after="0" w:line="281"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Subsidiaries; Equity Interests; Loan Parties</w:t>
      </w:r>
      <w:r>
        <w:rPr>
          <w:rFonts w:ascii="Arial" w:cs="Arial" w:eastAsia="Arial" w:hAnsi="Arial"/>
          <w:sz w:val="19"/>
          <w:szCs w:val="19"/>
          <w:color w:val="auto"/>
        </w:rPr>
        <w:t xml:space="preserve">. As of the Third Amendment Effective Date, the Borrower has no Subsidiaries other than those specifically disclosed in Part (a) of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and all of the outstanding Equity Interests in such Subsidiaries have been validly issued, are fully paid and non-assessable and are owned by a Loan Party in the amounts specified on Part (a) of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free and clear of all Liens except those created under the Collateral Documents. The Borrower has no equity investments in any other corporation or entity other than those specifically disclosed in Part (b) of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Set forth on Part (c) of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is a complete and accurate list of all Loan Parties, showing as of the Third Amendment Effective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The copy of the charter of each Loan Party and each amendment thereto, as of the Second Amendment Effective Date, provided pursuant to </w:t>
      </w:r>
      <w:r>
        <w:rPr>
          <w:rFonts w:ascii="Arial" w:cs="Arial" w:eastAsia="Arial" w:hAnsi="Arial"/>
          <w:sz w:val="19"/>
          <w:szCs w:val="19"/>
          <w:u w:val="single" w:color="auto"/>
          <w:color w:val="auto"/>
        </w:rPr>
        <w:t>Section 4.01(a)(vii)</w:t>
      </w:r>
      <w:r>
        <w:rPr>
          <w:rFonts w:ascii="Arial" w:cs="Arial" w:eastAsia="Arial" w:hAnsi="Arial"/>
          <w:sz w:val="19"/>
          <w:szCs w:val="19"/>
          <w:color w:val="auto"/>
        </w:rPr>
        <w:t xml:space="preserve"> is a true and correct copy of each such document, each of which is valid and in full force and effect.</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Margin Regulations; Investment Company Act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3" w:name="page184"/>
    <w:bookmarkEnd w:id="183"/>
    <w:p>
      <w:pPr>
        <w:jc w:val="both"/>
        <w:ind w:left="200" w:right="219" w:firstLine="1305"/>
        <w:spacing w:after="0" w:line="268" w:lineRule="auto"/>
        <w:tabs>
          <w:tab w:leader="none" w:pos="214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ind w:left="2160" w:hanging="655"/>
        <w:spacing w:after="0"/>
        <w:tabs>
          <w:tab w:leader="none" w:pos="21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353" w:lineRule="exact"/>
        <w:rPr>
          <w:sz w:val="20"/>
          <w:szCs w:val="20"/>
          <w:color w:val="auto"/>
        </w:rPr>
      </w:pPr>
    </w:p>
    <w:p>
      <w:pPr>
        <w:ind w:left="200" w:right="219" w:firstLine="1305"/>
        <w:spacing w:after="0" w:line="332" w:lineRule="auto"/>
        <w:tabs>
          <w:tab w:leader="none" w:pos="21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129"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200" w:lineRule="exact"/>
        <w:rPr>
          <w:sz w:val="20"/>
          <w:szCs w:val="20"/>
          <w:color w:val="auto"/>
        </w:rPr>
      </w:pPr>
    </w:p>
    <w:p>
      <w:pPr>
        <w:spacing w:after="0" w:line="319"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u w:val="single" w:color="auto"/>
          <w:color w:val="auto"/>
        </w:rPr>
        <w:t>Broadcasting Business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1305"/>
        <w:spacing w:after="0" w:line="268" w:lineRule="auto"/>
        <w:tabs>
          <w:tab w:leader="none" w:pos="214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Each of the Borrower and its Subsidiaries are the holders of all FCC Licenses duly issued in respect of all Broadcasting Stations owned and operated by the Borrower and its Subsidiaries. Each Broadcasting Station is being operated in accordance with the terms and conditions of the FCC License applicable to it and the Communications Act, and as of the Second Amendment Effective Date, there are no conditions upon the FCC Licenses other than those stated on the face thereof or the conditions applicable to FCC Licenses generally. As of the Second Amendment Effective Date, all of the FCC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4" w:name="page185"/>
    <w:bookmarkEnd w:id="184"/>
    <w:p>
      <w:pPr>
        <w:jc w:val="both"/>
        <w:ind w:left="200" w:right="219"/>
        <w:spacing w:after="0" w:line="296" w:lineRule="auto"/>
        <w:rPr>
          <w:sz w:val="20"/>
          <w:szCs w:val="20"/>
          <w:color w:val="auto"/>
        </w:rPr>
      </w:pPr>
      <w:r>
        <w:rPr>
          <w:rFonts w:ascii="Arial" w:cs="Arial" w:eastAsia="Arial" w:hAnsi="Arial"/>
          <w:sz w:val="18"/>
          <w:szCs w:val="18"/>
          <w:color w:val="auto"/>
        </w:rPr>
        <w:t>issued to the Borrower or any of its Subsidiaries are as set forth on Schedule 3.17 and such FCC Licenses are issued in the name of the Borrower or its Subsidiaries as set forth on Schedule 3.17. Such FCC Licenses constitute all of the authorizations, licenses, and permits issued by the FCC or any other Governmental Authority that are necessary for the operation of the business of the Borrower and its Subsidiaries substantially in the manner presently being conducted by it, and such FCC Licenses are validly issued and in full force and effect, unimpaired by any act or omission by the Borrower or its Subsidiaries, and the Borrower and its Subsidiaries have fulfilled and performed in all material respects all of their obligations with respect thereto and have full power and authority to operate thereunder. To the best of the Borrower’s knowledge, except as set forth in Schedule 3.17, neither the Borrower nor any of its Subsidiaries is a party to any investigation, notice of violation, petition, order or complaint issued by or before the FCC which could reasonably be expected to have a Material Adverse Effect. Except for applications for renewal of FCC Licenses that are pending or may become pending during the term of this Agreement, such proceedings that affect the radio or television broadcasting industry generally and as set forth in Schedule 3.17, there are no proceedings by or before the FCC, which could in any manner materially threaten or adversely affect the validity of any of such FCC Licenses. Neither the Borrower nor any of its Subsidiaries has knowledge of a threat of any investigation, notice of violation, order, complaint, petition, or proceeding before the FCC which could reasonably be expected to have a Material Adverse Effect or has any reason to believe that any FCC License will not be renewed in the ordinary course, or will be terminated prior to the stated expiration date thereof.</w:t>
      </w:r>
    </w:p>
    <w:p>
      <w:pPr>
        <w:spacing w:after="0" w:line="200" w:lineRule="exact"/>
        <w:rPr>
          <w:sz w:val="20"/>
          <w:szCs w:val="20"/>
          <w:color w:val="auto"/>
        </w:rPr>
      </w:pPr>
    </w:p>
    <w:p>
      <w:pPr>
        <w:spacing w:after="0" w:line="296" w:lineRule="exact"/>
        <w:rPr>
          <w:sz w:val="20"/>
          <w:szCs w:val="20"/>
          <w:color w:val="auto"/>
        </w:rPr>
      </w:pPr>
    </w:p>
    <w:p>
      <w:pPr>
        <w:jc w:val="both"/>
        <w:ind w:left="200" w:right="219" w:firstLine="1305"/>
        <w:spacing w:after="0" w:line="303" w:lineRule="auto"/>
        <w:tabs>
          <w:tab w:leader="none" w:pos="21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 and each of its Subsidiaries (i) have duly and timely filed all reports, applications, and other documents which are required to be filed by the Borrower and such Subsidiary under the Communications Act and the rules and regulations of the FCC, the failure to file of which could reasonably be expected to have a Material Adverse Effect, and (ii) are in all respects in compliance with the Communications Act, including laws relating to foreign ownership and multiple ownership and the rules and regulations of the FCC relating to the transmission of radio and television signals, the failure to comply of which could reasonably be expected to have a Material Adverse Effect.</w:t>
      </w: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jc w:val="both"/>
        <w:ind w:left="200" w:right="219" w:firstLine="1305"/>
        <w:spacing w:after="0" w:line="271" w:lineRule="auto"/>
        <w:tabs>
          <w:tab w:leader="none" w:pos="21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Except as set forth on Schedule 6.16, as of the Second Amendment Effective Date, neither the Borrower nor any of its Subsidiaries is a party to any Local Marketing Agreement or Time Brokerage Agreement.</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left="200" w:right="219" w:firstLine="1305"/>
        <w:spacing w:after="0" w:line="270" w:lineRule="auto"/>
        <w:tabs>
          <w:tab w:leader="none" w:pos="21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As of the Second Amendment Effective Date, none of the Auxiliary Licenses, Secondary Station Licenses, Satellite Earth Station Licenses (as such term is defined in the Communication Act) or Relocation Weather Radar Licenses (as such term is defined in the Communication Act) are material to the business of the Borrower or any of its Subsidiaries.</w:t>
      </w:r>
    </w:p>
    <w:p>
      <w:pPr>
        <w:spacing w:after="0" w:line="200" w:lineRule="exact"/>
        <w:rPr>
          <w:sz w:val="20"/>
          <w:szCs w:val="20"/>
          <w:color w:val="auto"/>
        </w:rPr>
      </w:pPr>
    </w:p>
    <w:p>
      <w:pPr>
        <w:spacing w:after="0" w:line="318" w:lineRule="exact"/>
        <w:rPr>
          <w:sz w:val="20"/>
          <w:szCs w:val="20"/>
          <w:color w:val="auto"/>
        </w:rPr>
      </w:pPr>
    </w:p>
    <w:p>
      <w:pPr>
        <w:ind w:left="200" w:right="239" w:firstLine="1296"/>
        <w:spacing w:after="0" w:line="288"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Solvency</w:t>
      </w:r>
      <w:r>
        <w:rPr>
          <w:rFonts w:ascii="Arial" w:cs="Arial" w:eastAsia="Arial" w:hAnsi="Arial"/>
          <w:sz w:val="20"/>
          <w:szCs w:val="20"/>
          <w:color w:val="auto"/>
        </w:rPr>
        <w:t>. Each Loan Party is, individually and together with its Subsidiaries on a consolidated basis,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5" w:name="page186"/>
    <w:bookmarkEnd w:id="185"/>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Casualty, Etc</w:t>
      </w:r>
      <w:r>
        <w:rPr>
          <w:rFonts w:ascii="Arial" w:cs="Arial" w:eastAsia="Arial" w:hAnsi="Arial"/>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200" w:lineRule="exact"/>
        <w:rPr>
          <w:sz w:val="20"/>
          <w:szCs w:val="20"/>
          <w:color w:val="auto"/>
        </w:rPr>
      </w:pPr>
    </w:p>
    <w:p>
      <w:pPr>
        <w:spacing w:after="0" w:line="320" w:lineRule="exact"/>
        <w:rPr>
          <w:sz w:val="20"/>
          <w:szCs w:val="20"/>
          <w:color w:val="auto"/>
        </w:rPr>
      </w:pPr>
    </w:p>
    <w:p>
      <w:pPr>
        <w:jc w:val="both"/>
        <w:ind w:left="200" w:right="219" w:firstLine="1296"/>
        <w:spacing w:after="0" w:line="293"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Common Enterprise</w:t>
      </w:r>
      <w:r>
        <w:rPr>
          <w:rFonts w:ascii="Arial" w:cs="Arial" w:eastAsia="Arial" w:hAnsi="Arial"/>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w:t>
      </w:r>
    </w:p>
    <w:p>
      <w:pPr>
        <w:spacing w:after="0" w:line="3" w:lineRule="exact"/>
        <w:rPr>
          <w:sz w:val="20"/>
          <w:szCs w:val="20"/>
          <w:color w:val="auto"/>
        </w:rPr>
      </w:pPr>
    </w:p>
    <w:p>
      <w:pPr>
        <w:jc w:val="both"/>
        <w:ind w:left="200" w:right="219" w:firstLine="9"/>
        <w:spacing w:after="0" w:line="284" w:lineRule="auto"/>
        <w:tabs>
          <w:tab w:leader="none" w:pos="49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 indirect benefit to such Loan Party, and is in its best interest.</w:t>
      </w:r>
    </w:p>
    <w:p>
      <w:pPr>
        <w:spacing w:after="0" w:line="200" w:lineRule="exact"/>
        <w:rPr>
          <w:sz w:val="20"/>
          <w:szCs w:val="20"/>
          <w:color w:val="auto"/>
        </w:rPr>
      </w:pPr>
    </w:p>
    <w:p>
      <w:pPr>
        <w:spacing w:after="0" w:line="295" w:lineRule="exact"/>
        <w:rPr>
          <w:sz w:val="20"/>
          <w:szCs w:val="20"/>
          <w:color w:val="auto"/>
        </w:rPr>
      </w:pPr>
    </w:p>
    <w:p>
      <w:pPr>
        <w:jc w:val="both"/>
        <w:ind w:left="200" w:right="219" w:firstLine="1296"/>
        <w:spacing w:after="0" w:line="277"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and are not knowingly engaged in any activity that would reasonably be expected to result in any Loan Party being designated as a Sanctioned Person.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8" w:lineRule="exact"/>
        <w:rPr>
          <w:sz w:val="20"/>
          <w:szCs w:val="20"/>
          <w:color w:val="auto"/>
        </w:rPr>
      </w:pPr>
    </w:p>
    <w:p>
      <w:pPr>
        <w:jc w:val="both"/>
        <w:ind w:left="200" w:right="219" w:firstLine="1296"/>
        <w:spacing w:after="0" w:line="257"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Operating Entities</w:t>
      </w:r>
      <w:r>
        <w:rPr>
          <w:rFonts w:ascii="Arial" w:cs="Arial" w:eastAsia="Arial" w:hAnsi="Arial"/>
          <w:sz w:val="20"/>
          <w:szCs w:val="20"/>
          <w:color w:val="auto"/>
        </w:rPr>
        <w:t>. Each Loan Party is an operating entity except for Saga Radio Networks, LLC, a Delaware limited liability company. Saga Radio Networks, LLC does not and will not own any material assets.</w:t>
      </w:r>
    </w:p>
    <w:p>
      <w:pPr>
        <w:spacing w:after="0" w:line="206"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19"/>
          <w:szCs w:val="19"/>
          <w:color w:val="auto"/>
        </w:rPr>
        <w:t xml:space="preserve">SECTION 3.23 </w:t>
      </w:r>
      <w:r>
        <w:rPr>
          <w:rFonts w:ascii="Arial" w:cs="Arial" w:eastAsia="Arial" w:hAnsi="Arial"/>
          <w:sz w:val="19"/>
          <w:szCs w:val="19"/>
          <w:u w:val="single" w:color="auto"/>
          <w:color w:val="auto"/>
        </w:rPr>
        <w:t>ETC Disposition</w:t>
      </w:r>
      <w:r>
        <w:rPr>
          <w:rFonts w:ascii="Arial" w:cs="Arial" w:eastAsia="Arial" w:hAnsi="Arial"/>
          <w:sz w:val="19"/>
          <w:szCs w:val="19"/>
          <w:color w:val="auto"/>
        </w:rPr>
        <w:t>. The ETC Disposition complies in all material respects with all applicable Requirements of Law (including, without limitation, the Communications Act), and all material governmental, regulatory, member and other material consents and approvals required for the consummation of the ETC Disposition (including, without limitation, consents and approvals from the FCC and SEC) have been, or prior to the consummation thereof will be, duly obtained and in full force and effect. All applicable waiting periods with respect to the ETC Disposition have expired without any action being taken by any competent Governmental Authority (including, without limitation, the FCC and SEC) which restrains, prevents or imposes material adverse conditions upon the consummation of such transaction. At the time of consummation thereof, there shall not exist any judgment, order or injunction prohibiting or imposing material adverse conditions on the ETC Disposition or any transaction contemplated hereby. The ETC Disposition will be consummated on the First Amendment Effective Date in accordance with the terms of the ETC Disposition Documents, without waiver of any of the conditions thereof. The consummation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6" w:name="page187"/>
    <w:bookmarkEnd w:id="186"/>
    <w:p>
      <w:pPr>
        <w:jc w:val="both"/>
        <w:ind w:left="200" w:right="219"/>
        <w:spacing w:after="0" w:line="278" w:lineRule="auto"/>
        <w:rPr>
          <w:sz w:val="20"/>
          <w:szCs w:val="20"/>
          <w:color w:val="auto"/>
        </w:rPr>
      </w:pPr>
      <w:r>
        <w:rPr>
          <w:rFonts w:ascii="Arial" w:cs="Arial" w:eastAsia="Arial" w:hAnsi="Arial"/>
          <w:sz w:val="18"/>
          <w:szCs w:val="18"/>
          <w:color w:val="auto"/>
        </w:rPr>
        <w:t>of the ETC Disposition will not violate any statute or regulation of the United States or any other applicable jurisdiction, or any order, judgment or decree of any court or other Governmental Authority (including, without limitation, the FCC and SEC), or result in a breach of, or constitute a default under, any Material Contract or indenture, or any order or decree, binding on any Loan Party. Correct and complete copies of all ETC Disposition Documents have been delivered to the Administrative Agent. The representations and warranties in the ETC Disposition Documents are true and correct in all material respects on the date of the First Amendment, and there have been no amendments to or waivers under the ETC Disposition Documents. All ETC Assets are listed on Schedule 3.23 and there are no other assets being disposed of in connection with the ETC Disposition other than the ETC Assets listed on Schedule 3.23. The total consideration paid or payable in connection with the ETC Disposition shall not be less than $66,600,000.</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3.24. </w:t>
      </w:r>
      <w:r>
        <w:rPr>
          <w:rFonts w:ascii="Arial" w:cs="Arial" w:eastAsia="Arial" w:hAnsi="Arial"/>
          <w:sz w:val="19"/>
          <w:szCs w:val="19"/>
          <w:u w:val="single" w:color="auto"/>
          <w:color w:val="auto"/>
        </w:rPr>
        <w:t>Affected Financial Institutions</w:t>
      </w:r>
      <w:r>
        <w:rPr>
          <w:rFonts w:ascii="Arial" w:cs="Arial" w:eastAsia="Arial" w:hAnsi="Arial"/>
          <w:sz w:val="19"/>
          <w:szCs w:val="19"/>
          <w:color w:val="auto"/>
        </w:rPr>
        <w:t>. No Loan Party is an Affected Financial</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Institution.</w:t>
      </w:r>
    </w:p>
    <w:p>
      <w:pPr>
        <w:spacing w:after="0" w:line="227" w:lineRule="exact"/>
        <w:rPr>
          <w:sz w:val="20"/>
          <w:szCs w:val="20"/>
          <w:color w:val="auto"/>
        </w:rPr>
      </w:pPr>
    </w:p>
    <w:p>
      <w:pPr>
        <w:jc w:val="both"/>
        <w:ind w:left="200" w:right="219" w:firstLine="1296"/>
        <w:spacing w:after="0" w:line="249" w:lineRule="auto"/>
        <w:rPr>
          <w:sz w:val="20"/>
          <w:szCs w:val="20"/>
          <w:color w:val="auto"/>
        </w:rPr>
      </w:pPr>
      <w:r>
        <w:rPr>
          <w:rFonts w:ascii="Arial" w:cs="Arial" w:eastAsia="Arial" w:hAnsi="Arial"/>
          <w:sz w:val="20"/>
          <w:szCs w:val="20"/>
          <w:color w:val="auto"/>
        </w:rPr>
        <w:t xml:space="preserve">SECTION 3.25.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xml:space="preserve"> . None of the Loan Parties or any of their Subsidiaries is an entity deemed to hold “plan assets” (within the meaning of the Plan Asset Regulations or other applicable guidance), and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Conditions</w:t>
      </w:r>
    </w:p>
    <w:p>
      <w:pPr>
        <w:spacing w:after="0" w:line="200" w:lineRule="exact"/>
        <w:rPr>
          <w:sz w:val="20"/>
          <w:szCs w:val="20"/>
          <w:color w:val="auto"/>
        </w:rPr>
      </w:pPr>
    </w:p>
    <w:p>
      <w:pPr>
        <w:spacing w:after="0" w:line="367"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Effective Date</w:t>
      </w:r>
      <w:r>
        <w:rPr>
          <w:rFonts w:ascii="Arial" w:cs="Arial" w:eastAsia="Arial" w:hAnsi="Arial"/>
          <w:sz w:val="20"/>
          <w:szCs w:val="20"/>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200" w:lineRule="exact"/>
        <w:rPr>
          <w:sz w:val="20"/>
          <w:szCs w:val="20"/>
          <w:color w:val="auto"/>
        </w:rPr>
      </w:pPr>
    </w:p>
    <w:p>
      <w:pPr>
        <w:spacing w:after="0" w:line="317" w:lineRule="exact"/>
        <w:rPr>
          <w:sz w:val="20"/>
          <w:szCs w:val="20"/>
          <w:color w:val="auto"/>
        </w:rPr>
      </w:pPr>
    </w:p>
    <w:p>
      <w:pPr>
        <w:jc w:val="both"/>
        <w:ind w:left="860" w:right="219" w:firstLine="645"/>
        <w:spacing w:after="0" w:line="299" w:lineRule="auto"/>
        <w:tabs>
          <w:tab w:leader="none" w:pos="188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Credit Agreement and Loan Documents</w:t>
      </w:r>
      <w:r>
        <w:rPr>
          <w:rFonts w:ascii="Arial" w:cs="Arial" w:eastAsia="Arial" w:hAnsi="Arial"/>
          <w:sz w:val="18"/>
          <w:szCs w:val="18"/>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payable to the order of each such requesting Lender and a written opinion of the Loan Parties’ counsels, addressed to the Administrative Agent, the Issuing Bank and the Lenders and in each case in a form acceptable to the Administrative Agent.</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860" w:right="219" w:firstLine="645"/>
        <w:spacing w:after="0" w:line="332" w:lineRule="auto"/>
        <w:tabs>
          <w:tab w:leader="none" w:pos="190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The Lenders shall have received (i) audited consolidated financial statements of the Borrower and its Subsidiaries for the 2013 and 2014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290195</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7" w:name="page188"/>
    <w:bookmarkEnd w:id="187"/>
    <w:p>
      <w:pPr>
        <w:jc w:val="both"/>
        <w:ind w:left="860" w:right="219"/>
        <w:spacing w:after="0" w:line="282" w:lineRule="auto"/>
        <w:rPr>
          <w:sz w:val="20"/>
          <w:szCs w:val="20"/>
          <w:color w:val="auto"/>
        </w:rPr>
      </w:pPr>
      <w:r>
        <w:rPr>
          <w:rFonts w:ascii="Arial" w:cs="Arial" w:eastAsia="Arial" w:hAnsi="Arial"/>
          <w:sz w:val="18"/>
          <w:szCs w:val="18"/>
          <w:color w:val="auto"/>
        </w:rPr>
        <w:t>years, (ii) unaudited interim consolidated financial statements of the Borrower and its Subsidiaries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and its Subsidiaries, as reflected in the audited, consolidated financial statements described in clause (i) of this paragraph and (iii) satisfactory projections through 2017.</w:t>
      </w:r>
    </w:p>
    <w:p>
      <w:pPr>
        <w:spacing w:after="0" w:line="162" w:lineRule="exact"/>
        <w:rPr>
          <w:sz w:val="20"/>
          <w:szCs w:val="20"/>
          <w:color w:val="auto"/>
        </w:rPr>
      </w:pPr>
    </w:p>
    <w:p>
      <w:pPr>
        <w:jc w:val="both"/>
        <w:ind w:left="920" w:right="219" w:firstLine="585"/>
        <w:spacing w:after="0" w:line="283" w:lineRule="auto"/>
        <w:tabs>
          <w:tab w:leader="none" w:pos="182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Closing Certificates; Certified Certificate of Incorporation; Good Standing Certificates</w:t>
      </w:r>
      <w:r>
        <w:rPr>
          <w:rFonts w:ascii="Arial" w:cs="Arial" w:eastAsia="Arial" w:hAnsi="Arial"/>
          <w:sz w:val="18"/>
          <w:szCs w:val="18"/>
          <w:color w:val="auto"/>
        </w:rPr>
        <w:t>. The Administrative Agent shall have received (i) a certificate of each Loan Party, dated as of the</w:t>
      </w:r>
    </w:p>
    <w:p>
      <w:pPr>
        <w:jc w:val="both"/>
        <w:ind w:left="860" w:right="219"/>
        <w:spacing w:after="0" w:line="276" w:lineRule="auto"/>
        <w:rPr>
          <w:sz w:val="20"/>
          <w:szCs w:val="20"/>
          <w:color w:val="auto"/>
        </w:rPr>
      </w:pPr>
      <w:r>
        <w:rPr>
          <w:rFonts w:ascii="Arial" w:cs="Arial" w:eastAsia="Arial" w:hAnsi="Arial"/>
          <w:sz w:val="18"/>
          <w:szCs w:val="18"/>
          <w:color w:val="auto"/>
        </w:rPr>
        <w:t>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82" w:lineRule="exact"/>
        <w:rPr>
          <w:sz w:val="20"/>
          <w:szCs w:val="20"/>
          <w:color w:val="auto"/>
        </w:rPr>
      </w:pPr>
    </w:p>
    <w:p>
      <w:pPr>
        <w:jc w:val="both"/>
        <w:ind w:left="860" w:right="219" w:firstLine="645"/>
        <w:spacing w:after="0" w:line="269" w:lineRule="auto"/>
        <w:tabs>
          <w:tab w:leader="none" w:pos="18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No Default Certificate</w:t>
      </w:r>
      <w:r>
        <w:rPr>
          <w:rFonts w:ascii="Arial" w:cs="Arial" w:eastAsia="Arial" w:hAnsi="Arial"/>
          <w:sz w:val="20"/>
          <w:szCs w:val="20"/>
          <w:color w:val="auto"/>
        </w:rPr>
        <w:t>. The Administrative Agent shall have received a certificate, signed by a Financial Officer of the Borrower and each other Loan Party,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343" w:lineRule="exact"/>
        <w:rPr>
          <w:rFonts w:ascii="Arial" w:cs="Arial" w:eastAsia="Arial" w:hAnsi="Arial"/>
          <w:sz w:val="20"/>
          <w:szCs w:val="20"/>
          <w:color w:val="auto"/>
        </w:rPr>
      </w:pPr>
    </w:p>
    <w:p>
      <w:pPr>
        <w:jc w:val="both"/>
        <w:ind w:left="860" w:right="219" w:firstLine="645"/>
        <w:spacing w:after="0" w:line="249" w:lineRule="auto"/>
        <w:tabs>
          <w:tab w:leader="none" w:pos="184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201" w:lineRule="exact"/>
        <w:rPr>
          <w:rFonts w:ascii="Arial" w:cs="Arial" w:eastAsia="Arial" w:hAnsi="Arial"/>
          <w:sz w:val="20"/>
          <w:szCs w:val="20"/>
          <w:color w:val="auto"/>
        </w:rPr>
      </w:pPr>
    </w:p>
    <w:p>
      <w:pPr>
        <w:jc w:val="both"/>
        <w:ind w:left="860" w:right="219" w:firstLine="645"/>
        <w:spacing w:after="0" w:line="282" w:lineRule="auto"/>
        <w:tabs>
          <w:tab w:leader="none" w:pos="180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shall have received the results of a recent lien search in the jurisdiction of organization of each Loan Party and each jurisdiction where assets of the Loan Parties are located, and such search shall reveal no Liens on any of the assets of the Loan Parties except for liens permitted by Section 6.01 or discharged on or prior to the Effective Date pursuant to a pay-off letter or other documentation satisfactory to the Administrative Agent.</w:t>
      </w:r>
    </w:p>
    <w:p>
      <w:pPr>
        <w:spacing w:after="0" w:line="187" w:lineRule="exact"/>
        <w:rPr>
          <w:rFonts w:ascii="Arial" w:cs="Arial" w:eastAsia="Arial" w:hAnsi="Arial"/>
          <w:sz w:val="18"/>
          <w:szCs w:val="18"/>
          <w:color w:val="auto"/>
        </w:rPr>
      </w:pPr>
    </w:p>
    <w:p>
      <w:pPr>
        <w:jc w:val="both"/>
        <w:ind w:left="860" w:right="219" w:firstLine="645"/>
        <w:spacing w:after="0" w:line="251" w:lineRule="auto"/>
        <w:tabs>
          <w:tab w:leader="none" w:pos="1905"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Pay-Off Letter</w:t>
      </w:r>
      <w:r>
        <w:rPr>
          <w:rFonts w:ascii="Arial" w:cs="Arial" w:eastAsia="Arial" w:hAnsi="Arial"/>
          <w:sz w:val="20"/>
          <w:szCs w:val="20"/>
          <w:color w:val="auto"/>
        </w:rPr>
        <w:t>. The Administrative Agent shall have received satisfactory pay-off letters for all existing Indebtedness required to be repaid and which confirms that all Liens 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201" w:lineRule="exact"/>
        <w:rPr>
          <w:rFonts w:ascii="Arial" w:cs="Arial" w:eastAsia="Arial" w:hAnsi="Arial"/>
          <w:sz w:val="20"/>
          <w:szCs w:val="20"/>
          <w:color w:val="auto"/>
        </w:rPr>
      </w:pPr>
    </w:p>
    <w:p>
      <w:pPr>
        <w:ind w:left="860" w:right="219" w:firstLine="645"/>
        <w:spacing w:after="0" w:line="347" w:lineRule="auto"/>
        <w:tabs>
          <w:tab w:leader="none" w:pos="185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Funding Account</w:t>
      </w:r>
      <w:r>
        <w:rPr>
          <w:rFonts w:ascii="Arial" w:cs="Arial" w:eastAsia="Arial" w:hAnsi="Arial"/>
          <w:sz w:val="18"/>
          <w:szCs w:val="18"/>
          <w:color w:val="auto"/>
        </w:rPr>
        <w:t>. The Administrative Agent shall have received a notice setting forth the deposit account of the Borrower (the “</w:t>
      </w:r>
      <w:r>
        <w:rPr>
          <w:rFonts w:ascii="Arial" w:cs="Arial" w:eastAsia="Arial" w:hAnsi="Arial"/>
          <w:sz w:val="18"/>
          <w:szCs w:val="18"/>
          <w:u w:val="single" w:color="auto"/>
          <w:color w:val="auto"/>
        </w:rPr>
        <w:t>Funding Account</w:t>
      </w:r>
      <w:r>
        <w:rPr>
          <w:rFonts w:ascii="Arial" w:cs="Arial" w:eastAsia="Arial" w:hAnsi="Arial"/>
          <w:sz w:val="18"/>
          <w:szCs w:val="18"/>
          <w:color w:val="auto"/>
        </w:rPr>
        <w:t>”) to which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290830</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8" w:name="page189"/>
    <w:bookmarkEnd w:id="188"/>
    <w:p>
      <w:pPr>
        <w:ind w:left="860" w:right="239"/>
        <w:spacing w:after="0" w:line="288" w:lineRule="auto"/>
        <w:rPr>
          <w:sz w:val="20"/>
          <w:szCs w:val="20"/>
          <w:color w:val="auto"/>
        </w:rPr>
      </w:pPr>
      <w:r>
        <w:rPr>
          <w:rFonts w:ascii="Arial" w:cs="Arial" w:eastAsia="Arial" w:hAnsi="Arial"/>
          <w:sz w:val="20"/>
          <w:szCs w:val="20"/>
          <w:color w:val="auto"/>
        </w:rPr>
        <w:t>is authorized by the Borrower to transfer the proceeds of any Borrowings requested or authorized pursuant to this Agreement.</w:t>
      </w:r>
    </w:p>
    <w:p>
      <w:pPr>
        <w:spacing w:after="0" w:line="326" w:lineRule="exact"/>
        <w:rPr>
          <w:sz w:val="20"/>
          <w:szCs w:val="20"/>
          <w:color w:val="auto"/>
        </w:rPr>
      </w:pPr>
    </w:p>
    <w:p>
      <w:pPr>
        <w:jc w:val="both"/>
        <w:ind w:left="860" w:right="219" w:firstLine="645"/>
        <w:spacing w:after="0" w:line="251" w:lineRule="auto"/>
        <w:tabs>
          <w:tab w:leader="none" w:pos="1875"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Collateral Access and Control Agreements</w:t>
      </w:r>
      <w:r>
        <w:rPr>
          <w:rFonts w:ascii="Arial" w:cs="Arial" w:eastAsia="Arial" w:hAnsi="Arial"/>
          <w:sz w:val="20"/>
          <w:szCs w:val="20"/>
          <w:color w:val="auto"/>
        </w:rPr>
        <w:t>. The Administrative Agent shall have received each of (i) the Collateral Access Agreements required to be provided pursuant to the Security Agreement and (ii) the deposit account control agreements required to be provided pursuant to the Security Agreement.</w:t>
      </w:r>
    </w:p>
    <w:p>
      <w:pPr>
        <w:spacing w:after="0" w:line="212" w:lineRule="exact"/>
        <w:rPr>
          <w:rFonts w:ascii="Arial" w:cs="Arial" w:eastAsia="Arial" w:hAnsi="Arial"/>
          <w:sz w:val="20"/>
          <w:szCs w:val="20"/>
          <w:color w:val="auto"/>
        </w:rPr>
      </w:pPr>
    </w:p>
    <w:p>
      <w:pPr>
        <w:jc w:val="both"/>
        <w:ind w:left="860" w:right="219" w:firstLine="645"/>
        <w:spacing w:after="0" w:line="257" w:lineRule="auto"/>
        <w:tabs>
          <w:tab w:leader="none" w:pos="1821"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The Administrative Agent shall have received a solvency certificate signed by a Financial Officer dated the Effective Date in form and substance reasonably satisfactory to the Administrative Agent.</w:t>
      </w:r>
    </w:p>
    <w:p>
      <w:pPr>
        <w:spacing w:after="0" w:line="179" w:lineRule="exact"/>
        <w:rPr>
          <w:rFonts w:ascii="Arial" w:cs="Arial" w:eastAsia="Arial" w:hAnsi="Arial"/>
          <w:sz w:val="20"/>
          <w:szCs w:val="20"/>
          <w:color w:val="auto"/>
        </w:rPr>
      </w:pPr>
    </w:p>
    <w:p>
      <w:pPr>
        <w:jc w:val="both"/>
        <w:ind w:left="860" w:right="219" w:firstLine="645"/>
        <w:spacing w:after="0" w:line="282" w:lineRule="auto"/>
        <w:tabs>
          <w:tab w:leader="none" w:pos="190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Pledged Equity Interests; Stock Powers; Pledged Notes</w:t>
      </w:r>
      <w:r>
        <w:rPr>
          <w:rFonts w:ascii="Arial" w:cs="Arial" w:eastAsia="Arial" w:hAnsi="Arial"/>
          <w:sz w:val="18"/>
          <w:szCs w:val="18"/>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7" w:lineRule="exact"/>
        <w:rPr>
          <w:rFonts w:ascii="Arial" w:cs="Arial" w:eastAsia="Arial" w:hAnsi="Arial"/>
          <w:sz w:val="18"/>
          <w:szCs w:val="18"/>
          <w:color w:val="auto"/>
        </w:rPr>
      </w:pPr>
    </w:p>
    <w:p>
      <w:pPr>
        <w:jc w:val="both"/>
        <w:ind w:left="860" w:right="219" w:firstLine="645"/>
        <w:spacing w:after="0" w:line="282" w:lineRule="auto"/>
        <w:tabs>
          <w:tab w:leader="none" w:pos="182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Each document (including any UCC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6.01), shall be in proper form for filing, registration or recordation.</w:t>
      </w:r>
    </w:p>
    <w:p>
      <w:pPr>
        <w:spacing w:after="0" w:line="187" w:lineRule="exact"/>
        <w:rPr>
          <w:rFonts w:ascii="Arial" w:cs="Arial" w:eastAsia="Arial" w:hAnsi="Arial"/>
          <w:sz w:val="18"/>
          <w:szCs w:val="18"/>
          <w:color w:val="auto"/>
        </w:rPr>
      </w:pPr>
    </w:p>
    <w:p>
      <w:pPr>
        <w:jc w:val="both"/>
        <w:ind w:left="860" w:right="219" w:firstLine="735"/>
        <w:spacing w:after="0" w:line="291" w:lineRule="auto"/>
        <w:tabs>
          <w:tab w:leader="none" w:pos="1973"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Administrative Agent shall have received evidence of insurance coverage in form, scope, and substance reasonably satisfactory to the Administrative Agent and otherwise in compliance with the terms of this Agreement and the Security Agreement.</w:t>
      </w:r>
    </w:p>
    <w:p>
      <w:pPr>
        <w:spacing w:after="0" w:line="200" w:lineRule="exact"/>
        <w:rPr>
          <w:sz w:val="20"/>
          <w:szCs w:val="20"/>
          <w:color w:val="auto"/>
        </w:rPr>
      </w:pPr>
    </w:p>
    <w:p>
      <w:pPr>
        <w:spacing w:after="0" w:line="288" w:lineRule="exact"/>
        <w:rPr>
          <w:sz w:val="20"/>
          <w:szCs w:val="20"/>
          <w:color w:val="auto"/>
        </w:rPr>
      </w:pPr>
    </w:p>
    <w:p>
      <w:pPr>
        <w:jc w:val="both"/>
        <w:ind w:left="860" w:right="219" w:firstLine="645"/>
        <w:spacing w:after="0" w:line="299" w:lineRule="auto"/>
        <w:tabs>
          <w:tab w:leader="none" w:pos="178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The Administrative Agent shall have received a properly completed letter of credit application (whether standalone or pursuant to a master agreement, as applicable) if the issuance of a Letter of Credit will be required on the Effective Date.</w:t>
      </w:r>
    </w:p>
    <w:p>
      <w:pPr>
        <w:spacing w:after="0" w:line="144" w:lineRule="exact"/>
        <w:rPr>
          <w:rFonts w:ascii="Arial" w:cs="Arial" w:eastAsia="Arial" w:hAnsi="Arial"/>
          <w:sz w:val="18"/>
          <w:szCs w:val="18"/>
          <w:color w:val="auto"/>
        </w:rPr>
      </w:pPr>
    </w:p>
    <w:p>
      <w:pPr>
        <w:jc w:val="both"/>
        <w:ind w:left="860" w:right="239" w:firstLine="645"/>
        <w:spacing w:after="0" w:line="257" w:lineRule="auto"/>
        <w:tabs>
          <w:tab w:leader="none" w:pos="1914"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Legal Due Diligence</w:t>
      </w:r>
      <w:r>
        <w:rPr>
          <w:rFonts w:ascii="Arial" w:cs="Arial" w:eastAsia="Arial" w:hAnsi="Arial"/>
          <w:sz w:val="20"/>
          <w:szCs w:val="20"/>
          <w:color w:val="auto"/>
        </w:rPr>
        <w:t>. The Administrative Agent and its counsel shall have completed all legal due diligence, the results of which shall be satisfactory to Administrative Agent in its sole discretion.</w:t>
      </w:r>
    </w:p>
    <w:p>
      <w:pPr>
        <w:spacing w:after="0" w:line="206" w:lineRule="exact"/>
        <w:rPr>
          <w:rFonts w:ascii="Arial" w:cs="Arial" w:eastAsia="Arial" w:hAnsi="Arial"/>
          <w:sz w:val="20"/>
          <w:szCs w:val="20"/>
          <w:color w:val="auto"/>
        </w:rPr>
      </w:pPr>
    </w:p>
    <w:p>
      <w:pPr>
        <w:jc w:val="both"/>
        <w:ind w:left="860" w:right="219" w:firstLine="645"/>
        <w:spacing w:after="0" w:line="251" w:lineRule="auto"/>
        <w:tabs>
          <w:tab w:leader="none" w:pos="1865"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USA PATRIOT Act, Etc</w:t>
      </w:r>
      <w:r>
        <w:rPr>
          <w:rFonts w:ascii="Arial" w:cs="Arial" w:eastAsia="Arial" w:hAnsi="Arial"/>
          <w:sz w:val="20"/>
          <w:szCs w:val="20"/>
          <w:color w:val="auto"/>
        </w:rPr>
        <w:t>. The Administrative Agent and Lenders shall have received all documentation and other information required by bank regulatory authorities under applicable “know your customer” and anti-money laundering rules and regulations, including USA PATRIOT Act, and a properly completed and signed IRS Form W-8 or W-9, as applicable, for each Loan Party.</w:t>
      </w:r>
    </w:p>
    <w:p>
      <w:pPr>
        <w:spacing w:after="0" w:line="214" w:lineRule="exact"/>
        <w:rPr>
          <w:rFonts w:ascii="Arial" w:cs="Arial" w:eastAsia="Arial" w:hAnsi="Arial"/>
          <w:sz w:val="20"/>
          <w:szCs w:val="20"/>
          <w:color w:val="auto"/>
        </w:rPr>
      </w:pPr>
    </w:p>
    <w:p>
      <w:pPr>
        <w:jc w:val="both"/>
        <w:ind w:left="860" w:right="239" w:firstLine="645"/>
        <w:spacing w:after="0" w:line="257" w:lineRule="auto"/>
        <w:tabs>
          <w:tab w:leader="none" w:pos="1788"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The Administrative Agent shall have received such other documents as the Administrative Agent, the Issuing Bank, any Lender or their respective counsel may have reasonably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89" w:name="page190"/>
    <w:bookmarkEnd w:id="189"/>
    <w:p>
      <w:pPr>
        <w:jc w:val="both"/>
        <w:ind w:left="200" w:right="219"/>
        <w:spacing w:after="0" w:line="285" w:lineRule="auto"/>
        <w:rPr>
          <w:sz w:val="20"/>
          <w:szCs w:val="20"/>
          <w:color w:val="auto"/>
        </w:rPr>
      </w:pPr>
      <w:r>
        <w:rPr>
          <w:rFonts w:ascii="Arial" w:cs="Arial" w:eastAsia="Arial" w:hAnsi="Arial"/>
          <w:sz w:val="19"/>
          <w:szCs w:val="19"/>
          <w:color w:val="auto"/>
        </w:rPr>
        <w:t>The Administrative Agent shall notify the Borrower,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August 17, 2015 (and, in the event such conditions are not so satisfied or waived, the Revolving Commitments shall terminate at such time).</w:t>
      </w:r>
    </w:p>
    <w:p>
      <w:pPr>
        <w:spacing w:after="0" w:line="200" w:lineRule="exact"/>
        <w:rPr>
          <w:sz w:val="20"/>
          <w:szCs w:val="20"/>
          <w:color w:val="auto"/>
        </w:rPr>
      </w:pPr>
    </w:p>
    <w:p>
      <w:pPr>
        <w:spacing w:after="0" w:line="309"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Each Credit Event</w:t>
      </w:r>
      <w:r>
        <w:rPr>
          <w:rFonts w:ascii="Arial" w:cs="Arial" w:eastAsia="Arial" w:hAnsi="Arial"/>
          <w:sz w:val="20"/>
          <w:szCs w:val="20"/>
          <w:color w:val="auto"/>
        </w:rPr>
        <w:t>. The obligation of each Lender to make a Loan on the occasion of any Borrowing, and of the Issuing Bank to issue, amend, renew or extend any Letter of Credit, is subject to the satisfaction of the following conditions:</w:t>
      </w:r>
    </w:p>
    <w:p>
      <w:pPr>
        <w:spacing w:after="0" w:line="200" w:lineRule="exact"/>
        <w:rPr>
          <w:sz w:val="20"/>
          <w:szCs w:val="20"/>
          <w:color w:val="auto"/>
        </w:rPr>
      </w:pPr>
    </w:p>
    <w:p>
      <w:pPr>
        <w:spacing w:after="0" w:line="317" w:lineRule="exact"/>
        <w:rPr>
          <w:sz w:val="20"/>
          <w:szCs w:val="20"/>
          <w:color w:val="auto"/>
        </w:rPr>
      </w:pPr>
    </w:p>
    <w:p>
      <w:pPr>
        <w:jc w:val="both"/>
        <w:ind w:left="860" w:right="219" w:firstLine="645"/>
        <w:spacing w:after="0" w:line="300" w:lineRule="auto"/>
        <w:tabs>
          <w:tab w:leader="none" w:pos="183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jc w:val="both"/>
        <w:ind w:left="860" w:right="219" w:firstLine="645"/>
        <w:spacing w:after="0" w:line="278" w:lineRule="auto"/>
        <w:tabs>
          <w:tab w:leader="none" w:pos="185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jc w:val="both"/>
        <w:ind w:left="860" w:right="219" w:firstLine="645"/>
        <w:spacing w:after="0" w:line="271" w:lineRule="auto"/>
        <w:tabs>
          <w:tab w:leader="none" w:pos="181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After giving effect to such Borrowing or the issuance, amendment, renewal or extension of such Letter of Credit, as applicable, the Aggregate Revolving Exposure does not exceed the aggregate Revolving Commitments.</w:t>
      </w:r>
    </w:p>
    <w:p>
      <w:pPr>
        <w:spacing w:after="0" w:line="200" w:lineRule="exact"/>
        <w:rPr>
          <w:sz w:val="20"/>
          <w:szCs w:val="20"/>
          <w:color w:val="auto"/>
        </w:rPr>
      </w:pPr>
    </w:p>
    <w:p>
      <w:pPr>
        <w:spacing w:after="0" w:line="317"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color w:val="auto"/>
        </w:rPr>
        <w:t>Each Borrowing and each issuance, amendment, renewal or extension of a Letter of Credit shall be deemed to constitute a representation and warranty by the Borrower on the date thereof as to the matters specified in paragraphs (a) and (b) of this Section.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Affirmative Covenants</w:t>
      </w:r>
    </w:p>
    <w:p>
      <w:pPr>
        <w:spacing w:after="0" w:line="391"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Until all of the Secured Obligations shall have been Paid in Full, each Loan Party executing this Agreement covenants and agrees, jointly and severally with all of the other Loan Parties, with the Lenders that it shall, and shall cause each Subsidiary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90" w:name="page191"/>
    <w:bookmarkEnd w:id="190"/>
    <w:p>
      <w:pPr>
        <w:ind w:left="1500"/>
        <w:spacing w:after="0"/>
        <w:tabs>
          <w:tab w:leader="none" w:pos="2980" w:val="left"/>
          <w:tab w:leader="none" w:pos="490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20"/>
          <w:szCs w:val="20"/>
          <w:u w:val="single" w:color="auto"/>
          <w:color w:val="auto"/>
        </w:rPr>
        <w:t>Financial Statements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Deliver to the Administrative Agent and each</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Lender, in form and detail satisfactory to the Administrative Agent and the Required Lenders:</w:t>
      </w:r>
    </w:p>
    <w:p>
      <w:pPr>
        <w:spacing w:after="0" w:line="227" w:lineRule="exact"/>
        <w:rPr>
          <w:sz w:val="20"/>
          <w:szCs w:val="20"/>
          <w:color w:val="auto"/>
        </w:rPr>
      </w:pPr>
    </w:p>
    <w:p>
      <w:pPr>
        <w:jc w:val="both"/>
        <w:ind w:left="200" w:right="219" w:firstLine="1305"/>
        <w:spacing w:after="0" w:line="278" w:lineRule="auto"/>
        <w:tabs>
          <w:tab w:leader="none" w:pos="21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soon as available, but in any event within 100 days after the end of each fiscal year of the Borrower, a consolidated and consolidating balance sheet of the Borrower and its Subsidiaries as at the end of such fiscal year, and the related consolidated and consolidating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w:t>
      </w:r>
    </w:p>
    <w:p>
      <w:pPr>
        <w:spacing w:after="0" w:line="164" w:lineRule="exact"/>
        <w:rPr>
          <w:sz w:val="20"/>
          <w:szCs w:val="20"/>
          <w:color w:val="auto"/>
        </w:rPr>
      </w:pPr>
    </w:p>
    <w:p>
      <w:pPr>
        <w:jc w:val="both"/>
        <w:ind w:left="200" w:right="219" w:firstLine="1305"/>
        <w:spacing w:after="0" w:line="277" w:lineRule="auto"/>
        <w:tabs>
          <w:tab w:leader="none" w:pos="21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soon as available, but in any event within 55 days after the end of each of the first three fiscal quarters of each fiscal year of the Borrower, a consolidated and consolidating balance sheet of the Borrower and its Subsidiaries as at the end of such fiscal quarter, and the related consolidated and consolidating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 such consolidating statements to be certified by the chief executive officer, chief financial officer, treasurer or controller of the Borrower to the effect that such statements are fairly stated in all material respects when considered in relation to the consolidated financial statements of the Borrower and its Subsidiaries; and</w:t>
      </w:r>
    </w:p>
    <w:p>
      <w:pPr>
        <w:spacing w:after="0" w:line="165" w:lineRule="exact"/>
        <w:rPr>
          <w:rFonts w:ascii="Arial" w:cs="Arial" w:eastAsia="Arial" w:hAnsi="Arial"/>
          <w:sz w:val="18"/>
          <w:szCs w:val="18"/>
          <w:color w:val="auto"/>
        </w:rPr>
      </w:pPr>
    </w:p>
    <w:p>
      <w:pPr>
        <w:jc w:val="both"/>
        <w:ind w:left="200" w:right="219" w:firstLine="1305"/>
        <w:spacing w:after="0" w:line="277" w:lineRule="auto"/>
        <w:tabs>
          <w:tab w:leader="none" w:pos="21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as soon as available, but in any event within 30 days after the end of each fiscal year of the Borrower, an annual business plan and budget of the Borrower and its Subsidiaries, in a form reasonably satisfactory to the Administrative Agent, for the upcoming fiscal year.</w:t>
      </w:r>
    </w:p>
    <w:p>
      <w:pPr>
        <w:spacing w:after="0" w:line="161" w:lineRule="exact"/>
        <w:rPr>
          <w:sz w:val="20"/>
          <w:szCs w:val="20"/>
          <w:color w:val="auto"/>
        </w:rPr>
      </w:pPr>
    </w:p>
    <w:p>
      <w:pPr>
        <w:jc w:val="both"/>
        <w:ind w:left="200" w:right="219" w:firstLine="1296"/>
        <w:spacing w:after="0" w:line="273"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5.02(d)</w:t>
      </w:r>
      <w:r>
        <w:rPr>
          <w:rFonts w:ascii="Arial" w:cs="Arial" w:eastAsia="Arial" w:hAnsi="Arial"/>
          <w:sz w:val="19"/>
          <w:szCs w:val="19"/>
          <w:color w:val="auto"/>
        </w:rPr>
        <w:t xml:space="preserve">, the Borrower shall not be separately required to furnish such information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Borrower to furnish the information and materials described in </w:t>
      </w:r>
      <w:r>
        <w:rPr>
          <w:rFonts w:ascii="Arial" w:cs="Arial" w:eastAsia="Arial" w:hAnsi="Arial"/>
          <w:sz w:val="19"/>
          <w:szCs w:val="19"/>
          <w:u w:val="single" w:color="auto"/>
          <w:color w:val="auto"/>
        </w:rPr>
        <w:t>Sections 5.01(a)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at the times specified therein.</w:t>
      </w:r>
    </w:p>
    <w:p>
      <w:pPr>
        <w:spacing w:after="0" w:line="167" w:lineRule="exact"/>
        <w:rPr>
          <w:sz w:val="20"/>
          <w:szCs w:val="20"/>
          <w:color w:val="auto"/>
        </w:rPr>
      </w:pPr>
    </w:p>
    <w:p>
      <w:pPr>
        <w:jc w:val="both"/>
        <w:ind w:left="200" w:right="219" w:firstLine="1296"/>
        <w:spacing w:after="0" w:line="257"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Certificates; Other Information</w:t>
      </w:r>
      <w:r>
        <w:rPr>
          <w:rFonts w:ascii="Arial" w:cs="Arial" w:eastAsia="Arial" w:hAnsi="Arial"/>
          <w:sz w:val="20"/>
          <w:szCs w:val="20"/>
          <w:color w:val="auto"/>
        </w:rPr>
        <w:t>. Deliver to the Administrative Agent and each Lender, in form and detail reasonably satisfactory to the Administrative Agent and the Required Lenders:</w:t>
      </w:r>
    </w:p>
    <w:p>
      <w:pPr>
        <w:spacing w:after="0" w:line="193" w:lineRule="exact"/>
        <w:rPr>
          <w:sz w:val="20"/>
          <w:szCs w:val="20"/>
          <w:color w:val="auto"/>
        </w:rPr>
      </w:pPr>
    </w:p>
    <w:p>
      <w:pPr>
        <w:jc w:val="both"/>
        <w:ind w:left="200" w:right="219" w:firstLine="1305"/>
        <w:spacing w:after="0" w:line="248" w:lineRule="auto"/>
        <w:tabs>
          <w:tab w:leader="none" w:pos="214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5.01(a)</w:t>
      </w:r>
      <w:r>
        <w:rPr>
          <w:rFonts w:ascii="Arial" w:cs="Arial" w:eastAsia="Arial" w:hAnsi="Arial"/>
          <w:sz w:val="20"/>
          <w:szCs w:val="20"/>
          <w:color w:val="auto"/>
        </w:rPr>
        <w:t>, a certificate of its independent certified public accountants certifying such financial statements and stating that in making the examination necessary therefor no knowledge was obtained of any Default under the financial covenants set forth herein or, if any such Default shall exist, stating the nature and status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1" w:name="page192"/>
    <w:bookmarkEnd w:id="191"/>
    <w:p>
      <w:pPr>
        <w:jc w:val="both"/>
        <w:ind w:left="200" w:right="239" w:firstLine="1305"/>
        <w:spacing w:after="0" w:line="257" w:lineRule="auto"/>
        <w:tabs>
          <w:tab w:leader="none" w:pos="214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5.01(a)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5.01(b)</w:t>
      </w:r>
      <w:r>
        <w:rPr>
          <w:rFonts w:ascii="Arial" w:cs="Arial" w:eastAsia="Arial" w:hAnsi="Arial"/>
          <w:sz w:val="20"/>
          <w:szCs w:val="20"/>
          <w:color w:val="auto"/>
        </w:rPr>
        <w:t>, a duly completed Compliance Certificate signed by the chief executive officer, chief financial officer, treasurer or controller of the Borrower;</w:t>
      </w:r>
    </w:p>
    <w:p>
      <w:pPr>
        <w:spacing w:after="0" w:line="180" w:lineRule="exact"/>
        <w:rPr>
          <w:rFonts w:ascii="Arial" w:cs="Arial" w:eastAsia="Arial" w:hAnsi="Arial"/>
          <w:sz w:val="20"/>
          <w:szCs w:val="20"/>
          <w:color w:val="auto"/>
        </w:rPr>
      </w:pPr>
    </w:p>
    <w:p>
      <w:pPr>
        <w:jc w:val="both"/>
        <w:ind w:left="200" w:right="219" w:firstLine="1305"/>
        <w:spacing w:after="0" w:line="293" w:lineRule="auto"/>
        <w:tabs>
          <w:tab w:leader="none" w:pos="21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50" w:lineRule="exact"/>
        <w:rPr>
          <w:rFonts w:ascii="Arial" w:cs="Arial" w:eastAsia="Arial" w:hAnsi="Arial"/>
          <w:sz w:val="18"/>
          <w:szCs w:val="18"/>
          <w:color w:val="auto"/>
        </w:rPr>
      </w:pPr>
    </w:p>
    <w:p>
      <w:pPr>
        <w:jc w:val="both"/>
        <w:ind w:left="200" w:right="219" w:firstLine="1305"/>
        <w:spacing w:after="0" w:line="249" w:lineRule="auto"/>
        <w:tabs>
          <w:tab w:leader="none" w:pos="214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201" w:lineRule="exact"/>
        <w:rPr>
          <w:rFonts w:ascii="Arial" w:cs="Arial" w:eastAsia="Arial" w:hAnsi="Arial"/>
          <w:sz w:val="20"/>
          <w:szCs w:val="20"/>
          <w:color w:val="auto"/>
        </w:rPr>
      </w:pPr>
    </w:p>
    <w:p>
      <w:pPr>
        <w:jc w:val="both"/>
        <w:ind w:left="200" w:right="219" w:firstLine="1305"/>
        <w:spacing w:after="0" w:line="251" w:lineRule="auto"/>
        <w:tabs>
          <w:tab w:leader="none" w:pos="214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Section 5.01 or any other clause of this Section 5.02;</w:t>
      </w:r>
    </w:p>
    <w:p>
      <w:pPr>
        <w:spacing w:after="0" w:line="185" w:lineRule="exact"/>
        <w:rPr>
          <w:rFonts w:ascii="Arial" w:cs="Arial" w:eastAsia="Arial" w:hAnsi="Arial"/>
          <w:sz w:val="20"/>
          <w:szCs w:val="20"/>
          <w:color w:val="auto"/>
        </w:rPr>
      </w:pPr>
    </w:p>
    <w:p>
      <w:pPr>
        <w:jc w:val="both"/>
        <w:ind w:left="200" w:right="219" w:firstLine="1305"/>
        <w:spacing w:after="0" w:line="293" w:lineRule="auto"/>
        <w:tabs>
          <w:tab w:leader="none" w:pos="21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soon as available, but in any event within 30 days after the end of each fiscal year of the Borrower,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150" w:lineRule="exact"/>
        <w:rPr>
          <w:rFonts w:ascii="Arial" w:cs="Arial" w:eastAsia="Arial" w:hAnsi="Arial"/>
          <w:sz w:val="18"/>
          <w:szCs w:val="18"/>
          <w:color w:val="auto"/>
        </w:rPr>
      </w:pPr>
    </w:p>
    <w:p>
      <w:pPr>
        <w:jc w:val="both"/>
        <w:ind w:left="200" w:right="219" w:firstLine="1305"/>
        <w:spacing w:after="0" w:line="286" w:lineRule="auto"/>
        <w:tabs>
          <w:tab w:leader="none" w:pos="21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promptly, and in any event within ten days after receipt thereof by any Loan Party or any Subsidiary thereof, copies of each notice or other correspondence received from the SEC (or comparable agency in any applicable non-U.S. jurisdiction) concerning (i) any investigation or possible investigation or (ii) other inquiry (other than any routine inquiry in the ordinary course of business) by such agency regarding financial or other operational results of any Loan Party or any Subsidiary thereof;</w:t>
      </w:r>
    </w:p>
    <w:p>
      <w:pPr>
        <w:spacing w:after="0" w:line="157" w:lineRule="exact"/>
        <w:rPr>
          <w:rFonts w:ascii="Arial" w:cs="Arial" w:eastAsia="Arial" w:hAnsi="Arial"/>
          <w:sz w:val="18"/>
          <w:szCs w:val="18"/>
          <w:color w:val="auto"/>
        </w:rPr>
      </w:pPr>
    </w:p>
    <w:p>
      <w:pPr>
        <w:jc w:val="both"/>
        <w:ind w:left="200" w:right="219" w:firstLine="1305"/>
        <w:spacing w:after="0" w:line="278" w:lineRule="auto"/>
        <w:tabs>
          <w:tab w:leader="none" w:pos="21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soon as practicable, and in any event within 10 days after the issuance, filing or receipt thereof, or upon obtaining knowledge of a material complaint as provided in (iii) below, (i) copies of any order or notice of the FCC or a court of competent jurisdiction which designates any Station License, or any application therefor, for a hearing or which refuses renewal or extension of, or revokes or suspends the authority of any Broadcasting Station to which the Borrower or any of its Subsidiaries provides services under a Local Marketing Agreement to operate, (ii) a copy of any citation, notice of violation or order to show cause issued by the FCC, (iii) a copy of any material complaint filed by or with the FCC, or a petition to deny any application, in each case with respect to such Borrower or any of its Subsidiaries, and (iv) a copy of any notice or application by the Borrower of any of its Subsidiaries requesting authority to cease broadcasting on any Broadcasting Station for any period in excess of forty-eight (48) hours;</w:t>
      </w:r>
    </w:p>
    <w:p>
      <w:pPr>
        <w:spacing w:after="0" w:line="180" w:lineRule="exact"/>
        <w:rPr>
          <w:rFonts w:ascii="Arial" w:cs="Arial" w:eastAsia="Arial" w:hAnsi="Arial"/>
          <w:sz w:val="18"/>
          <w:szCs w:val="18"/>
          <w:color w:val="auto"/>
        </w:rPr>
      </w:pPr>
    </w:p>
    <w:p>
      <w:pPr>
        <w:jc w:val="both"/>
        <w:ind w:left="200" w:right="219" w:firstLine="1305"/>
        <w:spacing w:after="0" w:line="276" w:lineRule="auto"/>
        <w:tabs>
          <w:tab w:leader="none" w:pos="21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copies of each FCC form 323 Ownership Report (or any comparable form which may be substituted therefore by the FCC) filed with the FCC with respect to each Broadcasting Station owned by Borrower or any of its Subsidiaries as soon as practicable, and in any event within 30 days following (i) a request in writing by the Administrative Agent; (ii) filing such form if such form is not</w:t>
      </w:r>
    </w:p>
    <w:p>
      <w:pPr>
        <w:jc w:val="both"/>
        <w:ind w:left="200" w:right="219"/>
        <w:spacing w:after="0" w:line="246" w:lineRule="auto"/>
        <w:rPr>
          <w:rFonts w:ascii="Arial" w:cs="Arial" w:eastAsia="Arial" w:hAnsi="Arial"/>
          <w:sz w:val="18"/>
          <w:szCs w:val="18"/>
          <w:color w:val="auto"/>
        </w:rPr>
      </w:pPr>
      <w:r>
        <w:rPr>
          <w:rFonts w:ascii="Arial" w:cs="Arial" w:eastAsia="Arial" w:hAnsi="Arial"/>
          <w:sz w:val="20"/>
          <w:szCs w:val="20"/>
          <w:color w:val="auto"/>
        </w:rPr>
        <w:t>available publicly by accessing the FCC’s worldwide web site (</w:t>
      </w:r>
      <w:r>
        <w:rPr>
          <w:rFonts w:ascii="Arial" w:cs="Arial" w:eastAsia="Arial" w:hAnsi="Arial"/>
          <w:sz w:val="20"/>
          <w:szCs w:val="20"/>
          <w:i w:val="1"/>
          <w:iCs w:val="1"/>
          <w:color w:val="auto"/>
        </w:rPr>
        <w:t>e.g.,</w:t>
      </w:r>
      <w:r>
        <w:rPr>
          <w:rFonts w:ascii="Arial" w:cs="Arial" w:eastAsia="Arial" w:hAnsi="Arial"/>
          <w:sz w:val="20"/>
          <w:szCs w:val="20"/>
          <w:color w:val="auto"/>
        </w:rPr>
        <w:t xml:space="preserve"> </w:t>
      </w:r>
      <w:r>
        <w:rPr>
          <w:rFonts w:ascii="Arial" w:cs="Arial" w:eastAsia="Arial" w:hAnsi="Arial"/>
          <w:sz w:val="20"/>
          <w:szCs w:val="20"/>
          <w:u w:val="single" w:color="auto"/>
          <w:color w:val="auto"/>
        </w:rPr>
        <w:t>http://licensing.fcc.gov/prod/cdbs/pubacc/prod/own_search.htm</w:t>
      </w:r>
      <w:r>
        <w:rPr>
          <w:rFonts w:ascii="Arial" w:cs="Arial" w:eastAsia="Arial" w:hAnsi="Arial"/>
          <w:sz w:val="20"/>
          <w:szCs w:val="20"/>
          <w:color w:val="auto"/>
        </w:rPr>
        <w:t>); or (iii) upon consummation of a Permitted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2" w:name="page193"/>
    <w:bookmarkEnd w:id="192"/>
    <w:p>
      <w:pPr>
        <w:jc w:val="both"/>
        <w:ind w:left="200" w:right="219" w:firstLine="1305"/>
        <w:spacing w:after="0" w:line="252" w:lineRule="auto"/>
        <w:tabs>
          <w:tab w:leader="none" w:pos="214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promptly following any request therefor,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 as the Administrative Agent or any Lender (through the Administrative Agent) may reasonably request;</w:t>
      </w:r>
    </w:p>
    <w:p>
      <w:pPr>
        <w:spacing w:after="0" w:line="184" w:lineRule="exact"/>
        <w:rPr>
          <w:rFonts w:ascii="Arial" w:cs="Arial" w:eastAsia="Arial" w:hAnsi="Arial"/>
          <w:sz w:val="20"/>
          <w:szCs w:val="20"/>
          <w:color w:val="auto"/>
        </w:rPr>
      </w:pPr>
    </w:p>
    <w:p>
      <w:pPr>
        <w:jc w:val="both"/>
        <w:ind w:left="200" w:right="219" w:firstLine="1305"/>
        <w:spacing w:after="0" w:line="265" w:lineRule="auto"/>
        <w:tabs>
          <w:tab w:leader="none" w:pos="214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promptly, following any request therefor, (x) such additional information regarding the business, financial, legal or corporate affairs of any Loan Party or any Subsidiary thereof, or compliance with the terms of the Loan Documents, as the Administrative Agent or any Lender (through Administrative Agent) may from time to time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and</w:t>
      </w:r>
    </w:p>
    <w:p>
      <w:pPr>
        <w:spacing w:after="0" w:line="174" w:lineRule="exact"/>
        <w:rPr>
          <w:rFonts w:ascii="Arial" w:cs="Arial" w:eastAsia="Arial" w:hAnsi="Arial"/>
          <w:sz w:val="19"/>
          <w:szCs w:val="19"/>
          <w:color w:val="auto"/>
        </w:rPr>
      </w:pPr>
    </w:p>
    <w:p>
      <w:pPr>
        <w:jc w:val="both"/>
        <w:ind w:left="200" w:right="219" w:firstLine="1305"/>
        <w:spacing w:after="0" w:line="249" w:lineRule="auto"/>
        <w:tabs>
          <w:tab w:leader="none" w:pos="214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202"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5.02(d)</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www.sagacommunications.com;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Borrower shall deliver paper copies of such documents to the Administrative Agent or any Lender that requests the Borrower to deliver such paper copies until a written request to cease delivering paper copies is given by the Administrative Agent or such Lender and (y) the Borrower shall notify the Administrative Agent and each Lender (by telecopier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soft copies) of such documents. Notwithstanding anything contained herein, in every instance the Borrower shall be required upon request of the Administrative Agent to provide paper copies of the Compliance Certificates required by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to the Administrative Agent. Except for such Compliance Certificates, the Administrative Agent shall have no obligation to request the delivery of or to maintain paper copies of the documents referred to above, and in any event shall have no responsibility to monitor compliance by the Borrower with any such request for delivery, and each Lender shall be solely responsible for timely accessing posted documents or requesting delivery of paper copies of such document to it and maintaining its copies of such documents.</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20"/>
          <w:szCs w:val="20"/>
          <w:color w:val="auto"/>
        </w:rPr>
        <w:t>The Borrower hereby acknowledges that the Administrative Agent will make available to the Lenders and the Issuing Bank materials and/or information provided by or on behalf of the Borrower hereunder (collectively, “</w:t>
      </w:r>
      <w:r>
        <w:rPr>
          <w:rFonts w:ascii="Arial" w:cs="Arial" w:eastAsia="Arial" w:hAnsi="Arial"/>
          <w:sz w:val="20"/>
          <w:szCs w:val="20"/>
          <w:u w:val="single" w:color="auto"/>
          <w:color w:val="auto"/>
        </w:rPr>
        <w:t>Borrower Materials</w:t>
      </w:r>
      <w:r>
        <w:rPr>
          <w:rFonts w:ascii="Arial" w:cs="Arial" w:eastAsia="Arial" w:hAnsi="Arial"/>
          <w:sz w:val="20"/>
          <w:szCs w:val="20"/>
          <w:color w:val="auto"/>
        </w:rPr>
        <w:t>”) by posting the Borrower Materials on IntraLinks or another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3" w:name="page194"/>
    <w:bookmarkEnd w:id="193"/>
    <w:p>
      <w:pPr>
        <w:ind w:left="1500"/>
        <w:spacing w:after="0"/>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Notices</w:t>
      </w:r>
      <w:r>
        <w:rPr>
          <w:rFonts w:ascii="Arial" w:cs="Arial" w:eastAsia="Arial" w:hAnsi="Arial"/>
          <w:sz w:val="20"/>
          <w:szCs w:val="20"/>
          <w:color w:val="auto"/>
        </w:rPr>
        <w:t>. Notify the Administrative Agent and each Lender:</w:t>
      </w:r>
    </w:p>
    <w:p>
      <w:pPr>
        <w:spacing w:after="0" w:line="229"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of the occurrence of any Default within five (5) days of obtaining knowledge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thereof;</w:t>
      </w:r>
    </w:p>
    <w:p>
      <w:pPr>
        <w:spacing w:after="0" w:line="213" w:lineRule="exact"/>
        <w:rPr>
          <w:sz w:val="20"/>
          <w:szCs w:val="20"/>
          <w:color w:val="auto"/>
        </w:rPr>
      </w:pPr>
    </w:p>
    <w:p>
      <w:pPr>
        <w:jc w:val="both"/>
        <w:ind w:left="200" w:right="219" w:firstLine="1305"/>
        <w:spacing w:after="0" w:line="274" w:lineRule="auto"/>
        <w:tabs>
          <w:tab w:leader="none" w:pos="214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promptly, 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w:t>
      </w:r>
    </w:p>
    <w:p>
      <w:pPr>
        <w:spacing w:after="0" w:line="2" w:lineRule="exact"/>
        <w:rPr>
          <w:rFonts w:ascii="Arial" w:cs="Arial" w:eastAsia="Arial" w:hAnsi="Arial"/>
          <w:sz w:val="18"/>
          <w:szCs w:val="18"/>
          <w:color w:val="auto"/>
        </w:rPr>
      </w:pPr>
    </w:p>
    <w:p>
      <w:pPr>
        <w:ind w:left="600" w:hanging="391"/>
        <w:spacing w:after="0"/>
        <w:tabs>
          <w:tab w:leader="none" w:pos="6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commencement of, or any material development in, any litigation or proceeding affecting the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Borrower or any Subsidiary, including pursuant to any applicable Environmental Laws;</w:t>
      </w:r>
    </w:p>
    <w:p>
      <w:pPr>
        <w:spacing w:after="0" w:line="208" w:lineRule="exact"/>
        <w:rPr>
          <w:sz w:val="20"/>
          <w:szCs w:val="20"/>
          <w:color w:val="auto"/>
        </w:rPr>
      </w:pPr>
    </w:p>
    <w:p>
      <w:pPr>
        <w:ind w:left="200" w:right="219" w:firstLine="1305"/>
        <w:spacing w:after="0" w:line="274" w:lineRule="auto"/>
        <w:tabs>
          <w:tab w:leader="none" w:pos="21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promptly, of the occurrence of any ERISA Event which could reasonably be expected to result in a liability in excess of $1,000,000; and</w:t>
      </w:r>
    </w:p>
    <w:p>
      <w:pPr>
        <w:spacing w:after="0" w:line="163" w:lineRule="exact"/>
        <w:rPr>
          <w:rFonts w:ascii="Arial" w:cs="Arial" w:eastAsia="Arial" w:hAnsi="Arial"/>
          <w:sz w:val="20"/>
          <w:szCs w:val="20"/>
          <w:color w:val="auto"/>
        </w:rPr>
      </w:pPr>
    </w:p>
    <w:p>
      <w:pPr>
        <w:ind w:left="200" w:right="239" w:firstLine="1305"/>
        <w:spacing w:after="0" w:line="274" w:lineRule="auto"/>
        <w:tabs>
          <w:tab w:leader="none" w:pos="21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promptly, of any material change in accounting policies or financial reporting practices by any Loan Party or any Subsidiary thereof.</w:t>
      </w:r>
    </w:p>
    <w:p>
      <w:pPr>
        <w:spacing w:after="0" w:line="16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Each notice delivered under this Section (i) shall be in writing, (ii) shall contain a heading or a reference line that reads “Notice under Section 5.03 of Saga Communications Credit Agreement dated August 18, 2015” and (iii) shall be accompanied by a statement of a Financial Officer of the Borrower setting forth details of the occurrence referred to therein and stating what action the Borrower has taken and proposes to take with respect thereto. Each notice pursuant to Section 5.03(a) shall describe with particularity any and all provisions of this Agreement and any other Loan Document that have been breached.</w:t>
      </w:r>
    </w:p>
    <w:p>
      <w:pPr>
        <w:spacing w:after="0" w:line="186" w:lineRule="exact"/>
        <w:rPr>
          <w:sz w:val="20"/>
          <w:szCs w:val="20"/>
          <w:color w:val="auto"/>
        </w:rPr>
      </w:pPr>
    </w:p>
    <w:p>
      <w:pPr>
        <w:jc w:val="both"/>
        <w:ind w:left="200" w:right="219" w:firstLine="1296"/>
        <w:spacing w:after="0" w:line="27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subject to such grace period as are set forth in the definition of Indebtedness and to any subordination provisions contained in any instrument or agreement evidencing such Indebtedness.</w:t>
      </w:r>
    </w:p>
    <w:p>
      <w:pPr>
        <w:spacing w:after="0" w:line="181"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(a) Preserve, renew and maintain in full force and effect its legal existence and good standing under the Laws of the jurisdiction of its organization;</w:t>
      </w:r>
    </w:p>
    <w:p>
      <w:pPr>
        <w:jc w:val="both"/>
        <w:ind w:left="200" w:right="219" w:firstLine="9"/>
        <w:spacing w:after="0" w:line="246" w:lineRule="auto"/>
        <w:tabs>
          <w:tab w:leader="none" w:pos="48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205"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194" w:name="page195"/>
    <w:bookmarkEnd w:id="194"/>
    <w:p>
      <w:pPr>
        <w:jc w:val="both"/>
        <w:ind w:left="200" w:right="219" w:firstLine="1296"/>
        <w:spacing w:after="0" w:line="265"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with financially sound and reputable insurance companies that are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w:t>
      </w:r>
    </w:p>
    <w:p>
      <w:pPr>
        <w:spacing w:after="0" w:line="187"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the requirements of all Laws and all orders, writs, injunctions and decrees applicable to it or to its business or property including, without limitation, under the Communications Act and the Federal Aviation Administration, applicable to it, except in such instances in which (a) such requirement of Law or order, writ, injunction or decree is being properly contested in good faith by appropriate proceedings diligently conducted if so permitted under applicable Law including, without limitation, the Communications Act; or</w:t>
      </w:r>
    </w:p>
    <w:p>
      <w:pPr>
        <w:spacing w:after="0" w:line="2" w:lineRule="exact"/>
        <w:rPr>
          <w:sz w:val="20"/>
          <w:szCs w:val="20"/>
          <w:color w:val="auto"/>
        </w:rPr>
      </w:pPr>
    </w:p>
    <w:p>
      <w:pPr>
        <w:jc w:val="both"/>
        <w:ind w:left="200" w:right="219" w:firstLine="9"/>
        <w:spacing w:after="0" w:line="247" w:lineRule="auto"/>
        <w:tabs>
          <w:tab w:leader="none" w:pos="48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failure to comply therewith could not reasonably be expected to have a Material Adverse Effect. The Borrower and each of its Subsidiaries shall at all times maintain the Station Licenses and all other licenses, permits, permissions and other authorizations necessary to operate the radio and television stations as currently operated by such Borrower and its Subsidiaries.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90" w:lineRule="exact"/>
        <w:rPr>
          <w:sz w:val="20"/>
          <w:szCs w:val="20"/>
          <w:color w:val="auto"/>
        </w:rPr>
      </w:pPr>
    </w:p>
    <w:p>
      <w:pPr>
        <w:jc w:val="both"/>
        <w:ind w:left="200" w:right="219" w:firstLine="1296"/>
        <w:spacing w:after="0" w:line="252"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(a) Maintain proper books of record and account, in which full, true and correct entries in conformity with GAAP consistently applied shall be made of all financial transactions and matters involving the assets and business of the Borrower or such Subsidiary, as the case may be; and (b) maintain such books of record and account in material conformity with all applicable requirements of any Governmental Authority having regulatory jurisdiction over the Borrower or such Subsidiary, as the case may be.</w:t>
      </w:r>
    </w:p>
    <w:p>
      <w:pPr>
        <w:spacing w:after="0" w:line="185"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Inspection Rights</w:t>
      </w:r>
      <w:r>
        <w:rPr>
          <w:rFonts w:ascii="Arial" w:cs="Arial" w:eastAsia="Arial" w:hAnsi="Arial"/>
          <w:sz w:val="19"/>
          <w:szCs w:val="19"/>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so long as no Default has occurred and is continuing the Borrower will not be required to pay for more than one such inspection in any calendar year and </w:t>
      </w:r>
      <w:r>
        <w:rPr>
          <w:rFonts w:ascii="Arial" w:cs="Arial" w:eastAsia="Arial" w:hAnsi="Arial"/>
          <w:sz w:val="19"/>
          <w:szCs w:val="19"/>
          <w:u w:val="single" w:color="auto"/>
          <w:color w:val="auto"/>
        </w:rPr>
        <w:t>further provided however</w:t>
      </w:r>
      <w:r>
        <w:rPr>
          <w:rFonts w:ascii="Arial" w:cs="Arial" w:eastAsia="Arial" w:hAnsi="Arial"/>
          <w:sz w:val="19"/>
          <w:szCs w:val="19"/>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94"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Use of Proceeds</w:t>
      </w:r>
      <w:r>
        <w:rPr>
          <w:rFonts w:ascii="Arial" w:cs="Arial" w:eastAsia="Arial" w:hAnsi="Arial"/>
          <w:sz w:val="19"/>
          <w:szCs w:val="19"/>
          <w:color w:val="auto"/>
        </w:rPr>
        <w:t>. Use the proceeds of the Borrowings and Letters of Credit (i) to refinance certain existing Indebtedness of the Borrower; (ii) to pay fees and expenses incurred in connection with the Transactions; (iii) for Permitted Acquisitions; and (iv) for working capital and for general corporate purposes not in contravention of any Law or of any Loan Document. The Borrower will not request any Borrowing or Letter of Credit, and the Borrower shall not use, and shall procure that its Subsidiaries and its or their respective directors, officers, employees and agents shall not use, the proceeds of any Borrowing or Letter of Credit (x) in furtherance of an offer, payment, promise to pay, or authorization of the payment or giving of money, or anything else of value, to any Person in violation of any Anti-Corruption Laws, (y) for the purpose of funding, financing or facilitating any activities, business or transaction of or with any Sanctioned Person, or in any Sanctioned Country, or (z)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5" w:name="page196"/>
    <w:bookmarkEnd w:id="195"/>
    <w:p>
      <w:pPr>
        <w:ind w:left="1500"/>
        <w:spacing w:after="0"/>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Covenant to Guarantee Obligations and Give Security</w:t>
      </w:r>
      <w:r>
        <w:rPr>
          <w:rFonts w:ascii="Arial" w:cs="Arial" w:eastAsia="Arial" w:hAnsi="Arial"/>
          <w:sz w:val="20"/>
          <w:szCs w:val="20"/>
          <w:color w:val="auto"/>
        </w:rPr>
        <w:t>.</w:t>
      </w:r>
    </w:p>
    <w:p>
      <w:pPr>
        <w:spacing w:after="0" w:line="217" w:lineRule="exact"/>
        <w:rPr>
          <w:sz w:val="20"/>
          <w:szCs w:val="20"/>
          <w:color w:val="auto"/>
        </w:rPr>
      </w:pPr>
    </w:p>
    <w:p>
      <w:pPr>
        <w:jc w:val="both"/>
        <w:ind w:left="200" w:right="219" w:firstLine="1305"/>
        <w:spacing w:after="0" w:line="255" w:lineRule="auto"/>
        <w:tabs>
          <w:tab w:leader="none" w:pos="177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Upon the acquisition of any property, other than an Excluded Asset, by any Loan Party, if such property, in the judgment of the Administrative Agent, shall not already be subject to a perfected first priority security interest in favor of the Administrative Agent for the benefit of the Secured Parties, then the Borrower shall, at the Borrower’s expense:</w:t>
      </w:r>
    </w:p>
    <w:p>
      <w:pPr>
        <w:spacing w:after="0" w:line="183" w:lineRule="exact"/>
        <w:rPr>
          <w:rFonts w:ascii="Arial" w:cs="Arial" w:eastAsia="Arial" w:hAnsi="Arial"/>
          <w:sz w:val="20"/>
          <w:szCs w:val="20"/>
          <w:color w:val="auto"/>
        </w:rPr>
      </w:pPr>
    </w:p>
    <w:p>
      <w:pPr>
        <w:jc w:val="both"/>
        <w:ind w:left="860" w:right="219" w:firstLine="1293"/>
        <w:spacing w:after="0" w:line="277" w:lineRule="auto"/>
        <w:tabs>
          <w:tab w:leader="none" w:pos="2804" w:val="left"/>
        </w:tabs>
        <w:numPr>
          <w:ilvl w:val="1"/>
          <w:numId w:val="152"/>
        </w:numPr>
        <w:rPr>
          <w:rFonts w:ascii="Arial" w:cs="Arial" w:eastAsia="Arial" w:hAnsi="Arial"/>
          <w:sz w:val="19"/>
          <w:szCs w:val="19"/>
          <w:color w:val="auto"/>
        </w:rPr>
      </w:pPr>
      <w:r>
        <w:rPr>
          <w:rFonts w:ascii="Arial" w:cs="Arial" w:eastAsia="Arial" w:hAnsi="Arial"/>
          <w:sz w:val="19"/>
          <w:szCs w:val="19"/>
          <w:color w:val="auto"/>
        </w:rPr>
        <w:t>within 10 Business Days after such acquisition, or such longer period as may be agreed to in writing by the Administrative Agent, furnish to the Administrative Agent a description of the property so acquired in detail satisfactory to the Administrative Agent,</w:t>
      </w:r>
    </w:p>
    <w:p>
      <w:pPr>
        <w:spacing w:after="0" w:line="174" w:lineRule="exact"/>
        <w:rPr>
          <w:rFonts w:ascii="Arial" w:cs="Arial" w:eastAsia="Arial" w:hAnsi="Arial"/>
          <w:sz w:val="19"/>
          <w:szCs w:val="19"/>
          <w:color w:val="auto"/>
        </w:rPr>
      </w:pPr>
    </w:p>
    <w:p>
      <w:pPr>
        <w:jc w:val="both"/>
        <w:ind w:left="860" w:right="219" w:firstLine="1293"/>
        <w:spacing w:after="0" w:line="282" w:lineRule="auto"/>
        <w:tabs>
          <w:tab w:leader="none" w:pos="28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within 15 Business Days after such acquisition, or such longer period as may be agreed to in writing by the Administrative Agent, cause the applicable Loan Party to duly execute and deliver to the Administrative Agent Security Agreement Supplements, IP Security Agreement Supplements and other security and pledge agreements, as specified by and in form and substance satisfactory to the Administrative Agent, securing payment of all the Obligations of the applicable Loan Party under the Loan Documents and constituting Liens on all such properties,</w:t>
      </w:r>
    </w:p>
    <w:p>
      <w:pPr>
        <w:spacing w:after="0" w:line="160" w:lineRule="exact"/>
        <w:rPr>
          <w:rFonts w:ascii="Arial" w:cs="Arial" w:eastAsia="Arial" w:hAnsi="Arial"/>
          <w:sz w:val="18"/>
          <w:szCs w:val="18"/>
          <w:color w:val="auto"/>
        </w:rPr>
      </w:pPr>
    </w:p>
    <w:p>
      <w:pPr>
        <w:jc w:val="both"/>
        <w:ind w:left="860" w:right="219" w:firstLine="1293"/>
        <w:spacing w:after="0" w:line="249" w:lineRule="auto"/>
        <w:tabs>
          <w:tab w:leader="none" w:pos="2804"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within 30 days after such acquisition, or such longer period as may be agreed to in writing by the Administrative Agent, cause the applicable Loan Party to take whatever action (including the filing of UCC financing statements) may be necessary or advisable in the opinion of the Administrative Agent to vest in the Administrative Agent (or in any representative of the Administrative Agent designated by it) valid and subsisting Liens on such property, enforceable against all third parties, and</w:t>
      </w:r>
    </w:p>
    <w:p>
      <w:pPr>
        <w:spacing w:after="0" w:line="201" w:lineRule="exact"/>
        <w:rPr>
          <w:rFonts w:ascii="Arial" w:cs="Arial" w:eastAsia="Arial" w:hAnsi="Arial"/>
          <w:sz w:val="20"/>
          <w:szCs w:val="20"/>
          <w:color w:val="auto"/>
        </w:rPr>
      </w:pPr>
    </w:p>
    <w:p>
      <w:pPr>
        <w:jc w:val="both"/>
        <w:ind w:left="860" w:right="219" w:firstLine="1293"/>
        <w:spacing w:after="0" w:line="265" w:lineRule="auto"/>
        <w:tabs>
          <w:tab w:leader="none" w:pos="2804" w:val="left"/>
        </w:tabs>
        <w:numPr>
          <w:ilvl w:val="1"/>
          <w:numId w:val="152"/>
        </w:numPr>
        <w:rPr>
          <w:rFonts w:ascii="Arial" w:cs="Arial" w:eastAsia="Arial" w:hAnsi="Arial"/>
          <w:sz w:val="19"/>
          <w:szCs w:val="19"/>
          <w:color w:val="auto"/>
        </w:rPr>
      </w:pPr>
      <w:r>
        <w:rPr>
          <w:rFonts w:ascii="Arial" w:cs="Arial" w:eastAsia="Arial" w:hAnsi="Arial"/>
          <w:sz w:val="19"/>
          <w:szCs w:val="19"/>
          <w:color w:val="auto"/>
        </w:rPr>
        <w:t>within 60 days after such acquisition, or such longer period as may be agreed to in writing by the Administrative Agent, deliver to the Administrative Agent, upon the request of the Administrative Agent in its sole discretion, a signed copy of a favorable opinion, addressed to the Administrative Agent and the other Secured Parties, of counsel for the Loan Parties acceptable to the Administrative Agent as to the matters contained in clauses (ii) and (iii) above and as to such other matters as the Administrative Agent may reasonably request.</w:t>
      </w:r>
    </w:p>
    <w:p>
      <w:pPr>
        <w:spacing w:after="0" w:line="172" w:lineRule="exact"/>
        <w:rPr>
          <w:rFonts w:ascii="Arial" w:cs="Arial" w:eastAsia="Arial" w:hAnsi="Arial"/>
          <w:sz w:val="19"/>
          <w:szCs w:val="19"/>
          <w:color w:val="auto"/>
        </w:rPr>
      </w:pPr>
    </w:p>
    <w:p>
      <w:pPr>
        <w:jc w:val="both"/>
        <w:ind w:left="200" w:right="219" w:firstLine="1305"/>
        <w:spacing w:after="0" w:line="251" w:lineRule="auto"/>
        <w:tabs>
          <w:tab w:leader="none" w:pos="214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At any time upon request of the Administrative Agent, promptly execute and deliver any and all further instruments and documents and take all such other action as the Administrative Agent may deem necessary or desirable in obtaining the full benefits of, or (as applicable) in perfecting and preserving the Liens of, such guaranties, Security Agreement Supplements, IP Security Agreement Supplements and other security and pledge agreements.</w:t>
      </w:r>
    </w:p>
    <w:p>
      <w:pPr>
        <w:spacing w:after="0" w:line="201" w:lineRule="exact"/>
        <w:rPr>
          <w:sz w:val="20"/>
          <w:szCs w:val="20"/>
          <w:color w:val="auto"/>
        </w:rPr>
      </w:pPr>
    </w:p>
    <w:p>
      <w:pPr>
        <w:jc w:val="both"/>
        <w:ind w:left="200" w:right="219" w:firstLine="1296"/>
        <w:spacing w:after="0" w:line="262"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Comply, and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provided, however,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80" w:lineRule="exact"/>
        <w:rPr>
          <w:sz w:val="20"/>
          <w:szCs w:val="20"/>
          <w:color w:val="auto"/>
        </w:rPr>
      </w:pPr>
    </w:p>
    <w:p>
      <w:pPr>
        <w:jc w:val="both"/>
        <w:ind w:left="200" w:right="219" w:firstLine="1296"/>
        <w:spacing w:after="0" w:line="316"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upon request by the Administrative Agent, or any Lender through the Administrative Agent, (a) correct any material defect or error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6" w:name="page197"/>
    <w:bookmarkEnd w:id="196"/>
    <w:p>
      <w:pPr>
        <w:ind w:left="200"/>
        <w:spacing w:after="0"/>
        <w:rPr>
          <w:sz w:val="20"/>
          <w:szCs w:val="20"/>
          <w:color w:val="auto"/>
        </w:rPr>
      </w:pPr>
      <w:r>
        <w:rPr>
          <w:rFonts w:ascii="Arial" w:cs="Arial" w:eastAsia="Arial" w:hAnsi="Arial"/>
          <w:sz w:val="18"/>
          <w:szCs w:val="18"/>
          <w:color w:val="auto"/>
        </w:rPr>
        <w:t>discovered in any Loan Document or in the execution, acknowledgment, filing or recordation thereof, and</w:t>
      </w:r>
    </w:p>
    <w:p>
      <w:pPr>
        <w:spacing w:after="0" w:line="40" w:lineRule="exact"/>
        <w:rPr>
          <w:sz w:val="20"/>
          <w:szCs w:val="20"/>
          <w:color w:val="auto"/>
        </w:rPr>
      </w:pPr>
    </w:p>
    <w:p>
      <w:pPr>
        <w:jc w:val="both"/>
        <w:ind w:left="200" w:right="219" w:firstLine="9"/>
        <w:spacing w:after="0" w:line="260" w:lineRule="auto"/>
        <w:tabs>
          <w:tab w:leader="none" w:pos="48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95"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Compliance with Terms of Leaseholds</w:t>
      </w:r>
      <w:r>
        <w:rPr>
          <w:rFonts w:ascii="Arial" w:cs="Arial" w:eastAsia="Arial" w:hAnsi="Arial"/>
          <w:sz w:val="20"/>
          <w:szCs w:val="20"/>
          <w:color w:val="auto"/>
        </w:rPr>
        <w:t>. Make all payments and otherwise perform all obligations in respect of all leases of real property to which the Borrower or any of its Subsidiaries is a party, keep such leases in full force and effect and not allow such leases to lapse or be terminated or any rights to renew such leases to be forfeited or cancelled, notify the Administrative Agent of any default by any party with respect to such leases and cooperate with the Administrative Agent in all respects to cure any such default, and cause each of its Subsidiaries to do so, except, in any case, where the failure to do so, either individually or in the aggregate, could not be reasonably likely to have a Material Adverse Effect.</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SECTION5.16.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29" w:lineRule="exact"/>
        <w:rPr>
          <w:sz w:val="20"/>
          <w:szCs w:val="20"/>
          <w:color w:val="auto"/>
        </w:rPr>
      </w:pPr>
    </w:p>
    <w:p>
      <w:pPr>
        <w:jc w:val="both"/>
        <w:ind w:left="200" w:right="219" w:firstLine="1296"/>
        <w:spacing w:after="0" w:line="319" w:lineRule="auto"/>
        <w:rPr>
          <w:sz w:val="20"/>
          <w:szCs w:val="20"/>
          <w:color w:val="auto"/>
        </w:rPr>
      </w:pPr>
      <w:r>
        <w:rPr>
          <w:rFonts w:ascii="Arial" w:cs="Arial" w:eastAsia="Arial" w:hAnsi="Arial"/>
          <w:sz w:val="16"/>
          <w:szCs w:val="16"/>
          <w:color w:val="auto"/>
        </w:rPr>
        <w:t xml:space="preserve">SECTION5.17. </w:t>
      </w:r>
      <w:r>
        <w:rPr>
          <w:rFonts w:ascii="Arial" w:cs="Arial" w:eastAsia="Arial" w:hAnsi="Arial"/>
          <w:sz w:val="16"/>
          <w:szCs w:val="16"/>
          <w:u w:val="single" w:color="auto"/>
          <w:color w:val="auto"/>
        </w:rPr>
        <w:t>Material Contracts</w:t>
      </w:r>
      <w:r>
        <w:rPr>
          <w:rFonts w:ascii="Arial" w:cs="Arial" w:eastAsia="Arial" w:hAnsi="Arial"/>
          <w:sz w:val="16"/>
          <w:szCs w:val="16"/>
          <w:color w:val="auto"/>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spacing w:after="0" w:line="136"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Treasury Management</w:t>
      </w:r>
      <w:r>
        <w:rPr>
          <w:rFonts w:ascii="Arial" w:cs="Arial" w:eastAsia="Arial" w:hAnsi="Arial"/>
          <w:sz w:val="18"/>
          <w:szCs w:val="18"/>
          <w:color w:val="auto"/>
        </w:rPr>
        <w:t>. The Borrower and its Domestic Subsidiaries shall maintain all of its treasury, depository and cash management arrangements with a Lender to the extent that the fees, charges, interest payments and other account arrangements are competitive with those of similar banks in the marketplace, excluding (i) petty cash accounts holding in the aggregate, for all of such accounts at any time, of not more than $2,500,000, and (ii) payroll and benefit accounts; such accounts in (i) and (ii) immediately preceding will not be subject to any deposit account control agreements. In the event that Borrower reasonably determines that a Lender is not so competitive, the Borrower and its Domestic Subsidiaries may maintain other such accounts so long as such party delivers a deposit account control agreement therefor reasonably satisfactory to the Administrative Agent.</w:t>
      </w:r>
    </w:p>
    <w:p>
      <w:pPr>
        <w:spacing w:after="0" w:line="162"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 If any Subsidiary (other than any Subsidiary that is prohibited by applicable law from guaranteeing the Obligations and/or providing any security therefor) is formed or acquired after the Effective Date, the Borrower will notify the Administrative Agent in writing thereof not later than the fifteenth Business Day after the date on which such Subsidiary is formed or acquired and (i) the Borrower will cause such Subsidiary to (a) execute and deliver each applicable Collateral Document (or otherwise become a party thereto in the manner provided therein) and become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7" w:name="page198"/>
    <w:bookmarkEnd w:id="197"/>
    <w:p>
      <w:pPr>
        <w:jc w:val="both"/>
        <w:ind w:left="200" w:right="219"/>
        <w:spacing w:after="0" w:line="276" w:lineRule="auto"/>
        <w:rPr>
          <w:sz w:val="20"/>
          <w:szCs w:val="20"/>
          <w:color w:val="auto"/>
        </w:rPr>
      </w:pPr>
      <w:r>
        <w:rPr>
          <w:rFonts w:ascii="Arial" w:cs="Arial" w:eastAsia="Arial" w:hAnsi="Arial"/>
          <w:sz w:val="18"/>
          <w:szCs w:val="18"/>
          <w:color w:val="auto"/>
        </w:rPr>
        <w:t>party to each applicable Loan Document in the manner provided therein, in each case not later than the tenth Business Day after the date on which such Subsidiary is formed (or such longer period as may be agreed to in writing by the Administrative Agent), (b) within 30 days after such formation or acquisition (or such longer period as may be agreed to in writing by the Administrative Agent), cause such Subsidiary and each direct and indirect parent of such Subsidiary (if it has not already done so) to take whatever action (including the filing of UCC financing statements and the giving of notices) may be necessary or advisable in the opinion of the Administrative Agent to vest in the Administrative Agent valid and subsisting Liens on the property (other than the Excluded Assets) purported to be subject to Security Agreement Supplements, IP Security Agreement Supplements and security and pledge agreements delivered pursuant to this Section 5.19, enforceable against all third parties in accordance with their terms, and (c) promptly take such other actions to create and perfect Liens on such Subsidiary’s assets to secure the Obligations as the Administrative Agent or the Required Lenders shall reasonably request and (ii) the Borrower will cause the Equity Interests of such Subsidiary and promissory notes and other instruments evidencing loans, advances and other debt of such Subsidiary held by the Borrower or any other Subsidiary to be pledged pursuant to the Collateral Documents not later than the fifteenth Business Day after the date on which such Subsidiary is formed or acquired or by such later date as agreed to in writing by the Administrative Agent.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Negative Covenants</w:t>
      </w:r>
    </w:p>
    <w:p>
      <w:pPr>
        <w:spacing w:after="0" w:line="200" w:lineRule="exact"/>
        <w:rPr>
          <w:sz w:val="20"/>
          <w:szCs w:val="20"/>
          <w:color w:val="auto"/>
        </w:rPr>
      </w:pPr>
    </w:p>
    <w:p>
      <w:pPr>
        <w:spacing w:after="0" w:line="367" w:lineRule="exact"/>
        <w:rPr>
          <w:sz w:val="20"/>
          <w:szCs w:val="20"/>
          <w:color w:val="auto"/>
        </w:rPr>
      </w:pPr>
    </w:p>
    <w:p>
      <w:pPr>
        <w:jc w:val="both"/>
        <w:ind w:left="200" w:right="219" w:firstLine="1296"/>
        <w:spacing w:after="0" w:line="299" w:lineRule="auto"/>
        <w:rPr>
          <w:sz w:val="20"/>
          <w:szCs w:val="20"/>
          <w:color w:val="auto"/>
        </w:rPr>
      </w:pPr>
      <w:r>
        <w:rPr>
          <w:rFonts w:ascii="Arial" w:cs="Arial" w:eastAsia="Arial" w:hAnsi="Arial"/>
          <w:sz w:val="19"/>
          <w:szCs w:val="19"/>
          <w:color w:val="auto"/>
        </w:rPr>
        <w:t>Until all of the Secured Obligations shall have been Paid in Full, each Loan Party executing this Agreement covenants and agrees, jointly and severally with all of the other Loan Parties, with the Lenders that it shall not, nor shall it permit any Subsidiary to, directly or indirectly:</w:t>
      </w:r>
    </w:p>
    <w:p>
      <w:pPr>
        <w:spacing w:after="0" w:line="200" w:lineRule="exact"/>
        <w:rPr>
          <w:sz w:val="20"/>
          <w:szCs w:val="20"/>
          <w:color w:val="auto"/>
        </w:rPr>
      </w:pPr>
    </w:p>
    <w:p>
      <w:pPr>
        <w:spacing w:after="0" w:line="279"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or sign or file or suffer to exist under the UCC of any jurisdiction a financing statement that names the Borrower or any of its Subsidiaries as debtor, or assign any accounts or other right to receive income, including, without limitation, in any Excluded Assets, other than the following:</w:t>
      </w:r>
    </w:p>
    <w:p>
      <w:pPr>
        <w:spacing w:after="0" w:line="200" w:lineRule="exact"/>
        <w:rPr>
          <w:sz w:val="20"/>
          <w:szCs w:val="20"/>
          <w:color w:val="auto"/>
        </w:rPr>
      </w:pPr>
    </w:p>
    <w:p>
      <w:pPr>
        <w:spacing w:after="0" w:line="307" w:lineRule="exact"/>
        <w:rPr>
          <w:sz w:val="20"/>
          <w:szCs w:val="20"/>
          <w:color w:val="auto"/>
        </w:rPr>
      </w:pPr>
    </w:p>
    <w:p>
      <w:pPr>
        <w:ind w:left="2380" w:hanging="875"/>
        <w:spacing w:after="0"/>
        <w:tabs>
          <w:tab w:leader="none" w:pos="23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jc w:val="both"/>
        <w:ind w:left="200" w:right="219" w:firstLine="1305"/>
        <w:spacing w:after="0" w:line="286" w:lineRule="auto"/>
        <w:tabs>
          <w:tab w:leader="none" w:pos="23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Liens existing on the Third Amendment Effective Date and listed on </w:t>
      </w:r>
      <w:r>
        <w:rPr>
          <w:rFonts w:ascii="Arial" w:cs="Arial" w:eastAsia="Arial" w:hAnsi="Arial"/>
          <w:sz w:val="18"/>
          <w:szCs w:val="18"/>
          <w:u w:val="single" w:color="auto"/>
          <w:color w:val="auto"/>
        </w:rPr>
        <w:t>Schedule 3.08(b)</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8" w:name="page199"/>
    <w:bookmarkEnd w:id="198"/>
    <w:p>
      <w:pPr>
        <w:jc w:val="both"/>
        <w:ind w:left="200" w:right="219" w:firstLine="1305"/>
        <w:spacing w:after="0" w:line="257" w:lineRule="auto"/>
        <w:tabs>
          <w:tab w:leader="none" w:pos="2378" w:val="left"/>
        </w:tabs>
        <w:numPr>
          <w:ilvl w:val="1"/>
          <w:numId w:val="155"/>
        </w:numPr>
        <w:rPr>
          <w:rFonts w:ascii="Arial" w:cs="Arial" w:eastAsia="Arial" w:hAnsi="Arial"/>
          <w:sz w:val="20"/>
          <w:szCs w:val="20"/>
          <w:color w:val="auto"/>
        </w:rPr>
      </w:pPr>
      <w:r>
        <w:rPr>
          <w:rFonts w:ascii="Arial" w:cs="Arial" w:eastAsia="Arial" w:hAnsi="Arial"/>
          <w:sz w:val="20"/>
          <w:szCs w:val="20"/>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369" w:lineRule="exact"/>
        <w:rPr>
          <w:rFonts w:ascii="Arial" w:cs="Arial" w:eastAsia="Arial" w:hAnsi="Arial"/>
          <w:sz w:val="20"/>
          <w:szCs w:val="20"/>
          <w:color w:val="auto"/>
        </w:rPr>
      </w:pPr>
    </w:p>
    <w:p>
      <w:pPr>
        <w:jc w:val="both"/>
        <w:ind w:left="200" w:right="219" w:firstLine="1305"/>
        <w:spacing w:after="0" w:line="288" w:lineRule="auto"/>
        <w:tabs>
          <w:tab w:leader="none" w:pos="237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carriers’, warehousemen’s, mechanics’ ,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342" w:lineRule="exact"/>
        <w:rPr>
          <w:rFonts w:ascii="Arial" w:cs="Arial" w:eastAsia="Arial" w:hAnsi="Arial"/>
          <w:sz w:val="18"/>
          <w:szCs w:val="18"/>
          <w:color w:val="auto"/>
        </w:rPr>
      </w:pPr>
    </w:p>
    <w:p>
      <w:pPr>
        <w:jc w:val="both"/>
        <w:ind w:left="200" w:right="219" w:firstLine="1305"/>
        <w:spacing w:after="0" w:line="257" w:lineRule="auto"/>
        <w:tabs>
          <w:tab w:leader="none" w:pos="2378" w:val="left"/>
        </w:tabs>
        <w:numPr>
          <w:ilvl w:val="1"/>
          <w:numId w:val="155"/>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368" w:lineRule="exact"/>
        <w:rPr>
          <w:rFonts w:ascii="Arial" w:cs="Arial" w:eastAsia="Arial" w:hAnsi="Arial"/>
          <w:sz w:val="20"/>
          <w:szCs w:val="20"/>
          <w:color w:val="auto"/>
        </w:rPr>
      </w:pPr>
    </w:p>
    <w:p>
      <w:pPr>
        <w:jc w:val="both"/>
        <w:ind w:left="200" w:right="219" w:firstLine="1305"/>
        <w:spacing w:after="0" w:line="250" w:lineRule="auto"/>
        <w:tabs>
          <w:tab w:leader="none" w:pos="234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374" w:lineRule="exact"/>
        <w:rPr>
          <w:rFonts w:ascii="Arial" w:cs="Arial" w:eastAsia="Arial" w:hAnsi="Arial"/>
          <w:sz w:val="20"/>
          <w:szCs w:val="20"/>
          <w:color w:val="auto"/>
        </w:rPr>
      </w:pPr>
    </w:p>
    <w:p>
      <w:pPr>
        <w:jc w:val="both"/>
        <w:ind w:left="200" w:right="219" w:firstLine="1305"/>
        <w:spacing w:after="0" w:line="255" w:lineRule="auto"/>
        <w:tabs>
          <w:tab w:leader="none" w:pos="2378" w:val="left"/>
        </w:tabs>
        <w:numPr>
          <w:ilvl w:val="1"/>
          <w:numId w:val="155"/>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359" w:lineRule="exact"/>
        <w:rPr>
          <w:rFonts w:ascii="Arial" w:cs="Arial" w:eastAsia="Arial" w:hAnsi="Arial"/>
          <w:sz w:val="20"/>
          <w:szCs w:val="20"/>
          <w:color w:val="auto"/>
        </w:rPr>
      </w:pPr>
    </w:p>
    <w:p>
      <w:pPr>
        <w:ind w:left="200" w:right="219" w:firstLine="1305"/>
        <w:spacing w:after="0" w:line="274" w:lineRule="auto"/>
        <w:tabs>
          <w:tab w:leader="none" w:pos="2378" w:val="left"/>
        </w:tabs>
        <w:numPr>
          <w:ilvl w:val="1"/>
          <w:numId w:val="155"/>
        </w:numPr>
        <w:rPr>
          <w:rFonts w:ascii="Arial" w:cs="Arial" w:eastAsia="Arial" w:hAnsi="Arial"/>
          <w:sz w:val="20"/>
          <w:szCs w:val="20"/>
          <w:color w:val="auto"/>
        </w:rPr>
      </w:pPr>
      <w:r>
        <w:rPr>
          <w:rFonts w:ascii="Arial" w:cs="Arial" w:eastAsia="Arial" w:hAnsi="Arial"/>
          <w:sz w:val="20"/>
          <w:szCs w:val="20"/>
          <w:color w:val="auto"/>
        </w:rPr>
        <w:t>Liens securing judgments for the payment of money not constituting an Event of Default under clause (h) of Article VII;</w:t>
      </w:r>
    </w:p>
    <w:p>
      <w:pPr>
        <w:spacing w:after="0" w:line="352" w:lineRule="exact"/>
        <w:rPr>
          <w:rFonts w:ascii="Arial" w:cs="Arial" w:eastAsia="Arial" w:hAnsi="Arial"/>
          <w:sz w:val="20"/>
          <w:szCs w:val="20"/>
          <w:color w:val="auto"/>
        </w:rPr>
      </w:pPr>
    </w:p>
    <w:p>
      <w:pPr>
        <w:jc w:val="both"/>
        <w:ind w:left="200" w:right="219" w:firstLine="1305"/>
        <w:spacing w:after="0" w:line="310" w:lineRule="auto"/>
        <w:tabs>
          <w:tab w:leader="none" w:pos="234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on fixed or capital assets acquired, constructed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permitted by </w:t>
      </w:r>
      <w:r>
        <w:rPr>
          <w:rFonts w:ascii="Arial" w:cs="Arial" w:eastAsia="Arial" w:hAnsi="Arial"/>
          <w:sz w:val="16"/>
          <w:szCs w:val="16"/>
          <w:u w:val="single" w:color="auto"/>
          <w:color w:val="auto"/>
        </w:rPr>
        <w:t>Section 6.02(c)</w:t>
      </w:r>
      <w:r>
        <w:rPr>
          <w:rFonts w:ascii="Arial" w:cs="Arial" w:eastAsia="Arial" w:hAnsi="Arial"/>
          <w:sz w:val="16"/>
          <w:szCs w:val="16"/>
          <w:color w:val="auto"/>
        </w:rPr>
        <w:t>, (ii) such security interests and the Indebtedness secured thereby are incurred prior to or within 90 days after such acquisition or the completion of such construction or improvement,</w:t>
      </w:r>
    </w:p>
    <w:p>
      <w:pPr>
        <w:spacing w:after="0" w:line="1" w:lineRule="exact"/>
        <w:rPr>
          <w:rFonts w:ascii="Arial" w:cs="Arial" w:eastAsia="Arial" w:hAnsi="Arial"/>
          <w:sz w:val="16"/>
          <w:szCs w:val="16"/>
          <w:color w:val="auto"/>
        </w:rPr>
      </w:pPr>
    </w:p>
    <w:p>
      <w:pPr>
        <w:jc w:val="both"/>
        <w:ind w:left="200" w:right="219" w:firstLine="9"/>
        <w:spacing w:after="0" w:line="266" w:lineRule="auto"/>
        <w:tabs>
          <w:tab w:leader="none" w:pos="55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Indebtedness secured thereby does not exceed the cost of acquiring, constructing or improving such fixed or capital assets, (iv) such security interest shall not apply to any other property or assets of the Borrower or any Subsidiary and (v) the amount of Indebtedness permitted to be secured hereunder, shall not exceed $10,000,000 in the aggregate at any time outstanding;</w:t>
      </w:r>
    </w:p>
    <w:p>
      <w:pPr>
        <w:spacing w:after="0" w:line="360" w:lineRule="exact"/>
        <w:rPr>
          <w:rFonts w:ascii="Arial" w:cs="Arial" w:eastAsia="Arial" w:hAnsi="Arial"/>
          <w:sz w:val="19"/>
          <w:szCs w:val="19"/>
          <w:color w:val="auto"/>
        </w:rPr>
      </w:pPr>
    </w:p>
    <w:p>
      <w:pPr>
        <w:jc w:val="both"/>
        <w:ind w:left="200" w:right="219" w:firstLine="1305"/>
        <w:spacing w:after="0" w:line="277" w:lineRule="auto"/>
        <w:tabs>
          <w:tab w:leader="none" w:pos="234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security interests existing on any property or asset prior to the acquisition thereof by the Borrower or any Subsidiary or existing on any property or asset of any Person that becomes a Subsidiary after the Effective Date prior to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ind w:left="200" w:right="219" w:firstLine="9"/>
        <w:spacing w:after="0" w:line="247" w:lineRule="auto"/>
        <w:tabs>
          <w:tab w:leader="none" w:pos="45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such security interests secure Indebtedness permitted by </w:t>
      </w:r>
      <w:r>
        <w:rPr>
          <w:rFonts w:ascii="Arial" w:cs="Arial" w:eastAsia="Arial" w:hAnsi="Arial"/>
          <w:sz w:val="20"/>
          <w:szCs w:val="20"/>
          <w:u w:val="single" w:color="auto"/>
          <w:color w:val="auto"/>
        </w:rPr>
        <w:t>Section 6.02(d),</w:t>
      </w:r>
      <w:r>
        <w:rPr>
          <w:rFonts w:ascii="Arial" w:cs="Arial" w:eastAsia="Arial" w:hAnsi="Arial"/>
          <w:sz w:val="20"/>
          <w:szCs w:val="20"/>
          <w:color w:val="auto"/>
        </w:rPr>
        <w:t xml:space="preserve"> (ii) such security interests are not created in contemplation of or in connection with such acquisition or such Person becoming a Subsidiary, as applicable, (iii) such security interests shall not apply to any other property or assets of the Borrower or any Subsidiary and (iv) such security interests shall secure only the Indebtedness that they secure on the date of such acquisition or the date such Person becomes a Subsidiary, as applicable, and any extensions, renewals and replacements thereof that do not increase the outstanding principal amount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500380</wp:posOffset>
            </wp:positionV>
            <wp:extent cx="54521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9" w:name="page200"/>
    <w:bookmarkEnd w:id="199"/>
    <w:p>
      <w:pPr>
        <w:ind w:left="2380" w:hanging="875"/>
        <w:spacing w:after="0"/>
        <w:tabs>
          <w:tab w:leader="none" w:pos="23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suffer to exist any Indebtedness,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spacing w:after="0" w:line="353" w:lineRule="exact"/>
        <w:rPr>
          <w:sz w:val="20"/>
          <w:szCs w:val="20"/>
          <w:color w:val="auto"/>
        </w:rPr>
      </w:pPr>
    </w:p>
    <w:p>
      <w:pPr>
        <w:ind w:left="2160" w:hanging="655"/>
        <w:spacing w:after="0"/>
        <w:tabs>
          <w:tab w:leader="none" w:pos="21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jc w:val="both"/>
        <w:ind w:left="200" w:right="219" w:firstLine="1305"/>
        <w:spacing w:after="0" w:line="303" w:lineRule="auto"/>
        <w:tabs>
          <w:tab w:leader="none" w:pos="214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Indebtedness outstanding on the Third Amendment Effective Date and listed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jc w:val="both"/>
        <w:ind w:left="200" w:right="219" w:firstLine="1305"/>
        <w:spacing w:after="0" w:line="300" w:lineRule="auto"/>
        <w:tabs>
          <w:tab w:leader="none" w:pos="214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Indebtedness of the Borrower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(A) such Indebtedness is incurred prior to or within 90 days after such acquisition or the completion of such construction or improvement and (B) the aggregate principal amount of Indebtedness permitted by this subsection (c) shall not, without duplication, exceed $10,000,000 at any time outstanding;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200" w:right="219" w:firstLine="1305"/>
        <w:spacing w:after="0" w:line="269" w:lineRule="auto"/>
        <w:tabs>
          <w:tab w:leader="none" w:pos="214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after the Effective Date, provided that (A) such Indebtedness exists at the time such Person becomes a Subsidiary and is not created in contemplation of or in connection with such Person becoming a Subsidiary and (B) the aggregate principal amount of Indebtedness permitted by this subsection (d) shall not, without duplication, exceed $5,000,000 at any time outstanding;</w:t>
      </w:r>
    </w:p>
    <w:p>
      <w:pPr>
        <w:spacing w:after="0" w:line="200" w:lineRule="exact"/>
        <w:rPr>
          <w:rFonts w:ascii="Arial" w:cs="Arial" w:eastAsia="Arial" w:hAnsi="Arial"/>
          <w:sz w:val="20"/>
          <w:szCs w:val="20"/>
          <w:color w:val="auto"/>
        </w:rPr>
      </w:pPr>
    </w:p>
    <w:p>
      <w:pPr>
        <w:spacing w:after="0" w:line="306" w:lineRule="exact"/>
        <w:rPr>
          <w:rFonts w:ascii="Arial" w:cs="Arial" w:eastAsia="Arial" w:hAnsi="Arial"/>
          <w:sz w:val="20"/>
          <w:szCs w:val="20"/>
          <w:color w:val="auto"/>
        </w:rPr>
      </w:pPr>
    </w:p>
    <w:p>
      <w:pPr>
        <w:ind w:left="200" w:right="219" w:firstLine="1305"/>
        <w:spacing w:after="0" w:line="288" w:lineRule="auto"/>
        <w:tabs>
          <w:tab w:leader="none" w:pos="214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Indebtedness of the Borrower to any Guarantor and of any Guarantor to the Borrower or any other Guarantor;</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200" w:right="219" w:firstLine="1305"/>
        <w:spacing w:after="0" w:line="271" w:lineRule="auto"/>
        <w:tabs>
          <w:tab w:leader="none" w:pos="214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Guarantees by the Borrower of Indebtedness of any Guarantor and by any Guarantor of Indebtedness of the Borrower or any other Guarantor, provided that such Indebtedness is otherwise permitted by this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587375</wp:posOffset>
            </wp:positionV>
            <wp:extent cx="545211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0" w:name="page201"/>
    <w:bookmarkEnd w:id="200"/>
    <w:p>
      <w:pPr>
        <w:ind w:left="200" w:right="239" w:firstLine="1305"/>
        <w:spacing w:after="0" w:line="288" w:lineRule="auto"/>
        <w:tabs>
          <w:tab w:leader="none" w:pos="214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other unsecured Indebtedness of the Borrower and its Subsidiaries in an aggregate principal amount not exceeding $10,000,000 at any time outstanding;</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left="2160" w:hanging="655"/>
        <w:spacing w:after="0"/>
        <w:tabs>
          <w:tab w:leader="none" w:pos="21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00" w:right="219" w:firstLine="1305"/>
        <w:spacing w:after="0" w:line="288" w:lineRule="auto"/>
        <w:tabs>
          <w:tab w:leader="none" w:pos="214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Indebtedness in respect of Swap Agreements, provided that such transaction is entered into for risk management purposes and not for speculative purposes.</w:t>
      </w:r>
    </w:p>
    <w:p>
      <w:pPr>
        <w:spacing w:after="0" w:line="200" w:lineRule="exact"/>
        <w:rPr>
          <w:sz w:val="20"/>
          <w:szCs w:val="20"/>
          <w:color w:val="auto"/>
        </w:rPr>
      </w:pPr>
    </w:p>
    <w:p>
      <w:pPr>
        <w:spacing w:after="0" w:line="3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u w:val="single" w:color="auto"/>
          <w:color w:val="auto"/>
        </w:rPr>
        <w:t>Investments</w:t>
      </w:r>
      <w:r>
        <w:rPr>
          <w:rFonts w:ascii="Arial" w:cs="Arial" w:eastAsia="Arial" w:hAnsi="Arial"/>
          <w:sz w:val="20"/>
          <w:szCs w:val="20"/>
          <w:color w:val="auto"/>
        </w:rPr>
        <w:t>. Make or hold any Investments, except:</w:t>
      </w:r>
    </w:p>
    <w:p>
      <w:pPr>
        <w:spacing w:after="0" w:line="200" w:lineRule="exact"/>
        <w:rPr>
          <w:sz w:val="20"/>
          <w:szCs w:val="20"/>
          <w:color w:val="auto"/>
        </w:rPr>
      </w:pPr>
    </w:p>
    <w:p>
      <w:pPr>
        <w:spacing w:after="0" w:line="36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Investments held by the Borrower and its Subsidiaries in the form of Cash</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Equivalents;</w:t>
      </w:r>
    </w:p>
    <w:p>
      <w:pPr>
        <w:spacing w:after="0" w:line="200" w:lineRule="exact"/>
        <w:rPr>
          <w:sz w:val="20"/>
          <w:szCs w:val="20"/>
          <w:color w:val="auto"/>
        </w:rPr>
      </w:pPr>
    </w:p>
    <w:p>
      <w:pPr>
        <w:spacing w:after="0" w:line="353" w:lineRule="exact"/>
        <w:rPr>
          <w:sz w:val="20"/>
          <w:szCs w:val="20"/>
          <w:color w:val="auto"/>
        </w:rPr>
      </w:pPr>
    </w:p>
    <w:p>
      <w:pPr>
        <w:ind w:left="2160" w:hanging="655"/>
        <w:spacing w:after="0"/>
        <w:tabs>
          <w:tab w:leader="none" w:pos="21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Investments amongst the Borrower and its Subsidiaries;</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jc w:val="both"/>
        <w:ind w:left="200" w:right="219" w:firstLine="1305"/>
        <w:spacing w:after="0" w:line="308" w:lineRule="auto"/>
        <w:tabs>
          <w:tab w:leader="none" w:pos="21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so long as no Default or Event of Default shall have occurred and be continuing or would result from such Investment, additional Investments by the Borrower and its Subsidiaries, up to an aggregate amount of all such Investments made after the Third Amendment Effective Date not to exceed $7,500,000 (in each case determined without regard to any write-downs or write-offs);</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both"/>
        <w:ind w:left="200" w:right="219" w:firstLine="1305"/>
        <w:spacing w:after="0" w:line="270" w:lineRule="auto"/>
        <w:tabs>
          <w:tab w:leader="none" w:pos="214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ind w:left="2160" w:hanging="655"/>
        <w:spacing w:after="0"/>
        <w:tabs>
          <w:tab w:leader="none" w:pos="21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Guarantees permitted by Section 6.02;</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160" w:hanging="655"/>
        <w:spacing w:after="0"/>
        <w:tabs>
          <w:tab w:leader="none" w:pos="21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Investments existing on the Third Amendment Effective Date and set forth on</w:t>
      </w:r>
    </w:p>
    <w:p>
      <w:pPr>
        <w:spacing w:after="0" w:line="3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0"/>
          <w:szCs w:val="20"/>
          <w:u w:val="single" w:color="auto"/>
          <w:color w:val="auto"/>
        </w:rPr>
        <w:t>Schedule 3.08(e)</w:t>
      </w:r>
      <w:r>
        <w:rPr>
          <w:rFonts w:ascii="Arial" w:cs="Arial" w:eastAsia="Arial" w:hAnsi="Arial"/>
          <w:sz w:val="20"/>
          <w:szCs w:val="20"/>
          <w:color w:val="auto"/>
        </w:rPr>
        <w:t>;</w:t>
      </w:r>
    </w:p>
    <w:p>
      <w:pPr>
        <w:spacing w:after="0" w:line="200" w:lineRule="exact"/>
        <w:rPr>
          <w:rFonts w:ascii="Arial" w:cs="Arial" w:eastAsia="Arial" w:hAnsi="Arial"/>
          <w:sz w:val="19"/>
          <w:szCs w:val="19"/>
          <w:color w:val="auto"/>
        </w:rPr>
      </w:pPr>
    </w:p>
    <w:p>
      <w:pPr>
        <w:spacing w:after="0" w:line="366" w:lineRule="exact"/>
        <w:rPr>
          <w:rFonts w:ascii="Arial" w:cs="Arial" w:eastAsia="Arial" w:hAnsi="Arial"/>
          <w:sz w:val="19"/>
          <w:szCs w:val="19"/>
          <w:color w:val="auto"/>
        </w:rPr>
      </w:pPr>
    </w:p>
    <w:p>
      <w:pPr>
        <w:jc w:val="both"/>
        <w:ind w:left="200" w:right="219" w:firstLine="1305"/>
        <w:spacing w:after="0" w:line="308" w:lineRule="auto"/>
        <w:tabs>
          <w:tab w:leader="none" w:pos="21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Permitted Acquisition and any deposits, loans and advances in connection with any Permitted Acquisition, provided that any such loan or advance shall be in lieu of a deposit, shall be on a short-term basis pending the closing of such Permitted Acquisition and, if such loan or advance is secured, the applicable Loan Party’s security interest shall be assigned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561975</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1" w:name="page202"/>
    <w:bookmarkEnd w:id="201"/>
    <w:p>
      <w:pPr>
        <w:ind w:left="200" w:right="219" w:firstLine="1305"/>
        <w:spacing w:after="0" w:line="288" w:lineRule="auto"/>
        <w:tabs>
          <w:tab w:leader="none" w:pos="214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constituting deposits made in connection with the purchase of goods or services in the ordinary course of business;</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left="200" w:right="239" w:firstLine="1305"/>
        <w:spacing w:after="0" w:line="274" w:lineRule="auto"/>
        <w:tabs>
          <w:tab w:leader="none" w:pos="214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Investments in respect of Swap Agreements, provided that such transaction is entered into for risk management purposes and not for speculative purposes; and</w:t>
      </w:r>
    </w:p>
    <w:p>
      <w:pPr>
        <w:spacing w:after="0" w:line="200" w:lineRule="exact"/>
        <w:rPr>
          <w:rFonts w:ascii="Arial" w:cs="Arial" w:eastAsia="Arial" w:hAnsi="Arial"/>
          <w:sz w:val="20"/>
          <w:szCs w:val="20"/>
          <w:color w:val="auto"/>
        </w:rPr>
      </w:pPr>
    </w:p>
    <w:p>
      <w:pPr>
        <w:spacing w:after="0" w:line="314" w:lineRule="exact"/>
        <w:rPr>
          <w:rFonts w:ascii="Arial" w:cs="Arial" w:eastAsia="Arial" w:hAnsi="Arial"/>
          <w:sz w:val="20"/>
          <w:szCs w:val="20"/>
          <w:color w:val="auto"/>
        </w:rPr>
      </w:pPr>
    </w:p>
    <w:p>
      <w:pPr>
        <w:jc w:val="both"/>
        <w:ind w:left="200" w:right="219" w:firstLine="1305"/>
        <w:spacing w:after="0" w:line="285" w:lineRule="auto"/>
        <w:tabs>
          <w:tab w:leader="none" w:pos="214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loans to directors, officer and employees of the Borrower or any Subsidiary, provided that (i) at the time thereof and immediately after giving effect thereto no Default or Event of Default shall have occurred and be continuing, (ii) loans to any one director, officer or employee shall not exceed $300,000 at any time outstanding, (iii) the aggregate amount of loans to all directors, officers and employees shall not exceed $1,000,000 in the aggregate at any time outstanding, (iv) no loan may be made to a director or executive officer of the Borrower and (v) to the extent prohibited by applicable law, no loan may be made to a director or executive officer of any Subsidiary.</w:t>
      </w:r>
    </w:p>
    <w:p>
      <w:pPr>
        <w:spacing w:after="0" w:line="200" w:lineRule="exact"/>
        <w:rPr>
          <w:sz w:val="20"/>
          <w:szCs w:val="20"/>
          <w:color w:val="auto"/>
        </w:rPr>
      </w:pPr>
    </w:p>
    <w:p>
      <w:pPr>
        <w:spacing w:after="0" w:line="292" w:lineRule="exact"/>
        <w:rPr>
          <w:sz w:val="20"/>
          <w:szCs w:val="20"/>
          <w:color w:val="auto"/>
        </w:rPr>
      </w:pPr>
    </w:p>
    <w:p>
      <w:pPr>
        <w:jc w:val="both"/>
        <w:ind w:left="200" w:right="219" w:firstLine="1296"/>
        <w:spacing w:after="0" w:line="293"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or Event of Default exists or would result therefrom:</w:t>
      </w:r>
    </w:p>
    <w:p>
      <w:pPr>
        <w:spacing w:after="0" w:line="200" w:lineRule="exact"/>
        <w:rPr>
          <w:sz w:val="20"/>
          <w:szCs w:val="20"/>
          <w:color w:val="auto"/>
        </w:rPr>
      </w:pPr>
    </w:p>
    <w:p>
      <w:pPr>
        <w:spacing w:after="0" w:line="299" w:lineRule="exact"/>
        <w:rPr>
          <w:sz w:val="20"/>
          <w:szCs w:val="20"/>
          <w:color w:val="auto"/>
        </w:rPr>
      </w:pPr>
    </w:p>
    <w:p>
      <w:pPr>
        <w:jc w:val="both"/>
        <w:ind w:left="200" w:right="219" w:firstLine="1305"/>
        <w:spacing w:after="0" w:line="291" w:lineRule="auto"/>
        <w:tabs>
          <w:tab w:leader="none" w:pos="214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wholly-owned Subsidiary may merge into the Borrower in a transaction in which the Borrower is the surviving entity, and any wholly-owned Subsidiary may merge into any Subsidiary Guarantor in a transaction in which such Subsidiary Guarantor is the surviving entity;</w:t>
      </w:r>
    </w:p>
    <w:p>
      <w:pPr>
        <w:spacing w:after="0" w:line="200" w:lineRule="exact"/>
        <w:rPr>
          <w:rFonts w:ascii="Arial" w:cs="Arial" w:eastAsia="Arial" w:hAnsi="Arial"/>
          <w:sz w:val="19"/>
          <w:szCs w:val="19"/>
          <w:color w:val="auto"/>
        </w:rPr>
      </w:pPr>
    </w:p>
    <w:p>
      <w:pPr>
        <w:spacing w:after="0" w:line="301" w:lineRule="exact"/>
        <w:rPr>
          <w:rFonts w:ascii="Arial" w:cs="Arial" w:eastAsia="Arial" w:hAnsi="Arial"/>
          <w:sz w:val="19"/>
          <w:szCs w:val="19"/>
          <w:color w:val="auto"/>
        </w:rPr>
      </w:pPr>
    </w:p>
    <w:p>
      <w:pPr>
        <w:ind w:left="200" w:right="239" w:firstLine="1305"/>
        <w:spacing w:after="0" w:line="288" w:lineRule="auto"/>
        <w:tabs>
          <w:tab w:leader="none" w:pos="21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any Subsidiary may sell, transfer, lease or otherwise dispose of all or substantially all of its assets to the Borrower or to any Subsidiary Guarantor;</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jc w:val="both"/>
        <w:ind w:left="200" w:right="219" w:firstLine="1305"/>
        <w:spacing w:after="0" w:line="278" w:lineRule="auto"/>
        <w:tabs>
          <w:tab w:leader="none" w:pos="21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Borrower or any Subsidiary may sell, transfer, lease or otherwise dispose of its assets in a transaction that is not permitted by this Section 6.04, provided that such sale, transfer, lease or other disposition is permitted by Section 6.05;</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ind w:left="200" w:right="219" w:firstLine="1305"/>
        <w:spacing w:after="0" w:line="274" w:lineRule="auto"/>
        <w:tabs>
          <w:tab w:leader="none" w:pos="21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Borrower may declare and pay, and agree to pay, dividends with respect to its Equity Interests payable solely in perpetual common Equity Interests;</w:t>
      </w:r>
    </w:p>
    <w:p>
      <w:pPr>
        <w:spacing w:after="0" w:line="200" w:lineRule="exact"/>
        <w:rPr>
          <w:rFonts w:ascii="Arial" w:cs="Arial" w:eastAsia="Arial" w:hAnsi="Arial"/>
          <w:sz w:val="20"/>
          <w:szCs w:val="20"/>
          <w:color w:val="auto"/>
        </w:rPr>
      </w:pPr>
    </w:p>
    <w:p>
      <w:pPr>
        <w:spacing w:after="0" w:line="314" w:lineRule="exact"/>
        <w:rPr>
          <w:rFonts w:ascii="Arial" w:cs="Arial" w:eastAsia="Arial" w:hAnsi="Arial"/>
          <w:sz w:val="20"/>
          <w:szCs w:val="20"/>
          <w:color w:val="auto"/>
        </w:rPr>
      </w:pPr>
    </w:p>
    <w:p>
      <w:pPr>
        <w:ind w:left="200" w:right="239" w:firstLine="1305"/>
        <w:spacing w:after="0" w:line="288" w:lineRule="auto"/>
        <w:tabs>
          <w:tab w:leader="none" w:pos="21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any wholly-owned Subsidiary may declare and pay dividends with respect to its Equity Interests to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2" w:name="page203"/>
    <w:bookmarkEnd w:id="202"/>
    <w:p>
      <w:pPr>
        <w:ind w:left="200" w:right="219" w:firstLine="1305"/>
        <w:spacing w:after="0" w:line="288" w:lineRule="auto"/>
        <w:tabs>
          <w:tab w:leader="none" w:pos="214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Subsidiary that does not have any material assets may liquidate or dissolve if all of its assets are transferred to the Borrower or to any Subsidiary Guarantor.</w:t>
      </w:r>
    </w:p>
    <w:p>
      <w:pPr>
        <w:spacing w:after="0" w:line="200" w:lineRule="exact"/>
        <w:rPr>
          <w:sz w:val="20"/>
          <w:szCs w:val="20"/>
          <w:color w:val="auto"/>
        </w:rPr>
      </w:pPr>
    </w:p>
    <w:p>
      <w:pPr>
        <w:spacing w:after="0" w:line="301" w:lineRule="exact"/>
        <w:rPr>
          <w:sz w:val="20"/>
          <w:szCs w:val="20"/>
          <w:color w:val="auto"/>
        </w:rPr>
      </w:pPr>
    </w:p>
    <w:p>
      <w:pPr>
        <w:ind w:left="200" w:right="219" w:firstLine="1296"/>
        <w:spacing w:after="0" w:line="274"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Dispositions</w:t>
      </w:r>
      <w:r>
        <w:rPr>
          <w:rFonts w:ascii="Arial" w:cs="Arial" w:eastAsia="Arial" w:hAnsi="Arial"/>
          <w:sz w:val="20"/>
          <w:szCs w:val="20"/>
          <w:color w:val="auto"/>
        </w:rPr>
        <w:t>. Make any Disposition or enter into any agreement to make any Disposition, except:</w:t>
      </w:r>
    </w:p>
    <w:p>
      <w:pPr>
        <w:spacing w:after="0" w:line="200" w:lineRule="exact"/>
        <w:rPr>
          <w:sz w:val="20"/>
          <w:szCs w:val="20"/>
          <w:color w:val="auto"/>
        </w:rPr>
      </w:pPr>
    </w:p>
    <w:p>
      <w:pPr>
        <w:spacing w:after="0" w:line="314" w:lineRule="exact"/>
        <w:rPr>
          <w:sz w:val="20"/>
          <w:szCs w:val="20"/>
          <w:color w:val="auto"/>
        </w:rPr>
      </w:pPr>
    </w:p>
    <w:p>
      <w:pPr>
        <w:jc w:val="both"/>
        <w:ind w:left="200" w:right="239" w:firstLine="1305"/>
        <w:spacing w:after="0" w:line="278" w:lineRule="auto"/>
        <w:tabs>
          <w:tab w:leader="none" w:pos="214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Dispositions of obsolete or worn out property or property no longer used or useful in the business of the Borrower and its Subsidiaries, whether now owned or hereafter acquired, in the ordinary course of business;</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ind w:left="2160" w:hanging="655"/>
        <w:spacing w:after="0"/>
        <w:tabs>
          <w:tab w:leader="none" w:pos="21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jc w:val="both"/>
        <w:ind w:left="200" w:right="219" w:firstLine="1305"/>
        <w:spacing w:after="0" w:line="299" w:lineRule="auto"/>
        <w:tabs>
          <w:tab w:leader="none" w:pos="214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jc w:val="both"/>
        <w:ind w:left="200" w:right="219" w:firstLine="1305"/>
        <w:spacing w:after="0" w:line="271" w:lineRule="auto"/>
        <w:tabs>
          <w:tab w:leader="none" w:pos="214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Dispositions of property by any Subsidiary to the Borrower or to a wholly-owned Subsidiary; provided that if the transferor of such property is a Guarantor, the transferee thereof must either be the Borrower or a Guarantor;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ind w:left="200" w:right="219" w:firstLine="1305"/>
        <w:spacing w:after="0" w:line="288" w:lineRule="auto"/>
        <w:tabs>
          <w:tab w:leader="none" w:pos="214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non-exclusive licenses of intellectual property rights in the ordinary course of business and substantially consistent with past practice for terms not exceeding five years;</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left="2160" w:hanging="655"/>
        <w:spacing w:after="0"/>
        <w:tabs>
          <w:tab w:leader="none" w:pos="21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 of Cash Equivalents in the ordinary course of business;</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160" w:hanging="655"/>
        <w:spacing w:after="0"/>
        <w:tabs>
          <w:tab w:leader="none" w:pos="216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Dispositions of owned or leased vehicles in the ordinary course of business;</w:t>
      </w:r>
    </w:p>
    <w:p>
      <w:pPr>
        <w:spacing w:after="0" w:line="200" w:lineRule="exact"/>
        <w:rPr>
          <w:rFonts w:ascii="Arial" w:cs="Arial" w:eastAsia="Arial" w:hAnsi="Arial"/>
          <w:sz w:val="19"/>
          <w:szCs w:val="19"/>
          <w:color w:val="auto"/>
        </w:rPr>
      </w:pPr>
    </w:p>
    <w:p>
      <w:pPr>
        <w:spacing w:after="0" w:line="378" w:lineRule="exact"/>
        <w:rPr>
          <w:rFonts w:ascii="Arial" w:cs="Arial" w:eastAsia="Arial" w:hAnsi="Arial"/>
          <w:sz w:val="19"/>
          <w:szCs w:val="19"/>
          <w:color w:val="auto"/>
        </w:rPr>
      </w:pPr>
    </w:p>
    <w:p>
      <w:pPr>
        <w:ind w:left="2160" w:hanging="655"/>
        <w:spacing w:after="0"/>
        <w:tabs>
          <w:tab w:leader="none" w:pos="21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Disposition of leased real estate in the ordinary course of business;</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160" w:hanging="655"/>
        <w:spacing w:after="0"/>
        <w:tabs>
          <w:tab w:leader="none" w:pos="2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the ETC</w:t>
      </w:r>
    </w:p>
    <w:p>
      <w:pPr>
        <w:spacing w:after="0" w:line="4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3" w:name="page204"/>
    <w:bookmarkEnd w:id="203"/>
    <w:p>
      <w:pPr>
        <w:jc w:val="both"/>
        <w:ind w:left="200" w:right="219" w:firstLine="1305"/>
        <w:spacing w:after="0" w:line="278" w:lineRule="auto"/>
        <w:tabs>
          <w:tab w:leader="none" w:pos="214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all Dispositions made prior to the Second Amendment Effective Date (which Borrower represents and warrants were made in compliance with this Agreement, as in effect at the time of such Dispositions); and</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left="200" w:right="219" w:firstLine="1305"/>
        <w:spacing w:after="0" w:line="278" w:lineRule="auto"/>
        <w:tabs>
          <w:tab w:leader="none" w:pos="214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other Dispositions of property where the aggregate fair market value of all such Dispositions of property after the Second Amendment Effective Date is not in excess of $7,500,000.</w:t>
      </w:r>
    </w:p>
    <w:p>
      <w:pPr>
        <w:spacing w:after="0" w:line="200" w:lineRule="exact"/>
        <w:rPr>
          <w:sz w:val="20"/>
          <w:szCs w:val="20"/>
          <w:color w:val="auto"/>
        </w:rPr>
      </w:pPr>
    </w:p>
    <w:p>
      <w:pPr>
        <w:spacing w:after="0" w:line="310" w:lineRule="exact"/>
        <w:rPr>
          <w:sz w:val="20"/>
          <w:szCs w:val="20"/>
          <w:color w:val="auto"/>
        </w:rPr>
      </w:pPr>
    </w:p>
    <w:p>
      <w:pPr>
        <w:jc w:val="both"/>
        <w:ind w:left="200" w:right="219" w:firstLine="1296"/>
        <w:spacing w:after="0" w:line="30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make, directly or indirectly, any Restricted Payment, or incur any obligation (contingent or otherwise) to do so, or issue or sell any Equity Interests or accept any capital contributions, except that, so long as no Default or Event of Default shall have occurred and be continuing at the time of any action described below or would result therefrom:</w:t>
      </w:r>
    </w:p>
    <w:p>
      <w:pPr>
        <w:spacing w:after="0" w:line="200" w:lineRule="exact"/>
        <w:rPr>
          <w:sz w:val="20"/>
          <w:szCs w:val="20"/>
          <w:color w:val="auto"/>
        </w:rPr>
      </w:pPr>
    </w:p>
    <w:p>
      <w:pPr>
        <w:spacing w:after="0" w:line="290" w:lineRule="exact"/>
        <w:rPr>
          <w:sz w:val="20"/>
          <w:szCs w:val="20"/>
          <w:color w:val="auto"/>
        </w:rPr>
      </w:pPr>
    </w:p>
    <w:p>
      <w:pPr>
        <w:jc w:val="both"/>
        <w:ind w:left="200" w:right="219" w:firstLine="1305"/>
        <w:spacing w:after="0" w:line="270" w:lineRule="auto"/>
        <w:tabs>
          <w:tab w:leader="none" w:pos="214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Subsidiary may make Restricted Payments to the Borrower, any Subsidiaries of the Borrower that are Guarantors and any other Person that owns a direct Equity Interest in such Subsidiary, ratably according to their respective holdings of the type of Equity Interest in respect of which such Restricted Payment is being made;</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ind w:left="200" w:right="219" w:firstLine="1305"/>
        <w:spacing w:after="0" w:line="347" w:lineRule="auto"/>
        <w:tabs>
          <w:tab w:leader="none" w:pos="21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common stock or other common Equity Interests of such Person;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200" w:right="219" w:firstLine="1305"/>
        <w:spacing w:after="0" w:line="299" w:lineRule="auto"/>
        <w:tabs>
          <w:tab w:leader="none" w:pos="214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Borrower and each Subsidiary may purchase, redeem or otherwise acquire its common Equity Interests with the proceeds received from the substantially concurrent issue of new common Equity Interests or from the dividends permitted under subsection (d) immediately following;</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jc w:val="both"/>
        <w:ind w:left="200" w:right="219" w:firstLine="1305"/>
        <w:spacing w:after="0" w:line="297" w:lineRule="auto"/>
        <w:tabs>
          <w:tab w:leader="none" w:pos="21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and no Default or Event of Default would occur after giving effect to such dividend or repurchase, the Borrower may (i) declare or pay cash dividends to its stockholders and (ii) repurchase any outstanding Equity Interests held by its stockholders, if after giving effect to any proposed Restricted Payment under (i) or (ii), the aggregate amount of such proposed Restricted Payments made during any fiscal year does not exceed, in the aggregate, the amount which, if paid, would create an Event of Default under the pro forma calculation of the Consolidated Fixed Charge Coverage Ratio, after giving effect to any proposed Restricted Payment, based upon the trailing twelve-month calculation as of the last day of the month immediately preceding the month such Restricted Payment is made; provided that if the Consolidated Net Leverage Ratio is less than 2.50:1.00 as of the last day of such month, such pro forma calculation is not required and no such Consolidated Fixed Charge Coverage Ratio test will be required; and</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ind w:left="200" w:right="219" w:firstLine="1305"/>
        <w:spacing w:after="0" w:line="288" w:lineRule="auto"/>
        <w:tabs>
          <w:tab w:leader="none" w:pos="214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Borrower may issue and sell its common Equity Interests, so long as no Change of Control results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4" w:name="page205"/>
    <w:bookmarkEnd w:id="204"/>
    <w:p>
      <w:pPr>
        <w:jc w:val="both"/>
        <w:ind w:left="200" w:right="239" w:firstLine="1296"/>
        <w:spacing w:after="0" w:line="278"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200" w:lineRule="exact"/>
        <w:rPr>
          <w:sz w:val="20"/>
          <w:szCs w:val="20"/>
          <w:color w:val="auto"/>
        </w:rPr>
      </w:pPr>
    </w:p>
    <w:p>
      <w:pPr>
        <w:spacing w:after="0" w:line="310"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Enter into any transaction of any kind with any Affiliate of the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w:t>
      </w:r>
    </w:p>
    <w:p>
      <w:pPr>
        <w:spacing w:after="0" w:line="200" w:lineRule="exact"/>
        <w:rPr>
          <w:sz w:val="20"/>
          <w:szCs w:val="20"/>
          <w:color w:val="auto"/>
        </w:rPr>
      </w:pPr>
    </w:p>
    <w:p>
      <w:pPr>
        <w:spacing w:after="0" w:line="320" w:lineRule="exact"/>
        <w:rPr>
          <w:sz w:val="20"/>
          <w:szCs w:val="20"/>
          <w:color w:val="auto"/>
        </w:rPr>
      </w:pPr>
    </w:p>
    <w:p>
      <w:pPr>
        <w:jc w:val="both"/>
        <w:ind w:left="200" w:right="219" w:firstLine="1296"/>
        <w:spacing w:after="0" w:line="29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Enter into or permit to exist any Contractual Obligation (other than this Agreement or any other Loan Document) that (a) limits the ability (i) of any Subsidiary to make Restricted Payments to the Borrower or any Guarantor or to otherwise transfer property to or invest in the Borrower or any Guarantor, except for any agreement in effect (A) on the date hereof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or (B) at the time any Subsidiary becomes a Subsidiary of the Borrower, so long as such agreement was not entered into solely in contemplation of such Person becoming a Subsidiary of the Borrower, (ii) of any Subsidiary to Guarantee the Indebtedness of the Borrower or (iii) of the Borrower or any Subsidiary to create, incur, assume or suffer to exist Liens on property of such Person; provided, however, that this clause (iii) shall not prohibit any negative pledge incurred or provided in favor of any holder of Indebtedness permitted under Section 6.02(i)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200" w:lineRule="exact"/>
        <w:rPr>
          <w:sz w:val="20"/>
          <w:szCs w:val="20"/>
          <w:color w:val="auto"/>
        </w:rPr>
      </w:pPr>
    </w:p>
    <w:p>
      <w:pPr>
        <w:spacing w:after="0" w:line="304"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Use of Proceeds</w:t>
      </w:r>
      <w:r>
        <w:rPr>
          <w:rFonts w:ascii="Arial" w:cs="Arial" w:eastAsia="Arial" w:hAnsi="Arial"/>
          <w:sz w:val="20"/>
          <w:szCs w:val="20"/>
          <w:color w:val="auto"/>
        </w:rPr>
        <w:t>. Use the proceeds of any Borrowing or Letter of Credit, whether directly or indirectly, and whether immediately, incidentally or ultimately, to purchase or carry margin stock (within the meaning of Regulation U of the Federal Reserve Board) or to extend credit to others for the purpose of purchasing or carrying margin stock or to refund indebtedness originally incurred for such purpose.</w:t>
      </w:r>
    </w:p>
    <w:p>
      <w:pPr>
        <w:spacing w:after="0" w:line="200" w:lineRule="exact"/>
        <w:rPr>
          <w:sz w:val="20"/>
          <w:szCs w:val="20"/>
          <w:color w:val="auto"/>
        </w:rPr>
      </w:pPr>
    </w:p>
    <w:p>
      <w:pPr>
        <w:spacing w:after="0" w:line="30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Financial Covenants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78" w:lineRule="auto"/>
        <w:tabs>
          <w:tab w:leader="none" w:pos="2144"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Permit the Consolidated Net Leverage Ratio as of the end of any fiscal quarter of the Borrower (as calculated for the period of four consecutive fiscal quarters then ending) to be greater than 3.50:1.00; or</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jc w:val="both"/>
        <w:ind w:left="200" w:right="219" w:firstLine="1305"/>
        <w:spacing w:after="0" w:line="271" w:lineRule="auto"/>
        <w:tabs>
          <w:tab w:leader="none" w:pos="2144"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end of any fiscal quarter of the Borrower (as calculated for the period of four consecutive fiscal quarters then ending) to be less than 1.15:1.00.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05" w:name="page206"/>
    <w:bookmarkEnd w:id="205"/>
    <w:p>
      <w:pPr>
        <w:jc w:val="both"/>
        <w:ind w:left="200" w:right="219" w:firstLine="1296"/>
        <w:spacing w:after="0" w:line="285"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Amendments of Material Documents</w:t>
      </w:r>
      <w:r>
        <w:rPr>
          <w:rFonts w:ascii="Arial" w:cs="Arial" w:eastAsia="Arial" w:hAnsi="Arial"/>
          <w:sz w:val="19"/>
          <w:szCs w:val="19"/>
          <w:color w:val="auto"/>
        </w:rPr>
        <w:t>. The Borrower will not, and will not permit its Subsidiaries to, amend, modify or waive any of its rights under (a) its Organizational Documents other than immaterial amendments, modifications or waivers that could not reasonably be expected to adversely affect the Administrative Agent or any of the Lenders, (b) any of the ETC Disposition Documents, or (c) any other Material Contract, to the extent any such amendment, modification or waiver would be materially adverse to the Administrative Agent or any of the Lenders.</w:t>
      </w:r>
    </w:p>
    <w:p>
      <w:pPr>
        <w:spacing w:after="0" w:line="200" w:lineRule="exact"/>
        <w:rPr>
          <w:sz w:val="20"/>
          <w:szCs w:val="20"/>
          <w:color w:val="auto"/>
        </w:rPr>
      </w:pPr>
    </w:p>
    <w:p>
      <w:pPr>
        <w:spacing w:after="0" w:line="309" w:lineRule="exact"/>
        <w:rPr>
          <w:sz w:val="20"/>
          <w:szCs w:val="20"/>
          <w:color w:val="auto"/>
        </w:rPr>
      </w:pPr>
    </w:p>
    <w:p>
      <w:pPr>
        <w:jc w:val="both"/>
        <w:ind w:left="200" w:right="219" w:firstLine="1296"/>
        <w:spacing w:after="0" w:line="288"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u w:val="single" w:color="auto"/>
          <w:color w:val="auto"/>
        </w:rPr>
        <w:t>Accounting Changes</w:t>
      </w:r>
      <w:r>
        <w:rPr>
          <w:rFonts w:ascii="Arial" w:cs="Arial" w:eastAsia="Arial" w:hAnsi="Arial"/>
          <w:sz w:val="20"/>
          <w:szCs w:val="20"/>
          <w:color w:val="auto"/>
        </w:rPr>
        <w:t>. Make any change in (a) accounting policies or reporting practices, except as required by GAAP, or (b) fiscal year or fiscal quarters.</w:t>
      </w:r>
    </w:p>
    <w:p>
      <w:pPr>
        <w:spacing w:after="0" w:line="200" w:lineRule="exact"/>
        <w:rPr>
          <w:sz w:val="20"/>
          <w:szCs w:val="20"/>
          <w:color w:val="auto"/>
        </w:rPr>
      </w:pPr>
    </w:p>
    <w:p>
      <w:pPr>
        <w:spacing w:after="0" w:line="301"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Prepayments, Etc. of Indebtedness</w:t>
      </w:r>
      <w:r>
        <w:rPr>
          <w:rFonts w:ascii="Arial" w:cs="Arial" w:eastAsia="Arial" w:hAnsi="Arial"/>
          <w:sz w:val="19"/>
          <w:szCs w:val="19"/>
          <w:color w:val="auto"/>
        </w:rPr>
        <w:t xml:space="preserve">. Prepay, redeem, purchase, defease or otherwise satisfy prior to the scheduled maturity thereof in any manner, or make any payment in violation of any subordination terms of, any Indebtedness, except (a) the prepayment of the Loans and Letters of Credit in accordance with the terms of this Agreement and (b) regularly scheduled or required repayments or redemptions of Indebtedness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and refinancings and refundings of such Indebtedness in compliance with Section 6.02(b).</w:t>
      </w:r>
    </w:p>
    <w:p>
      <w:pPr>
        <w:spacing w:after="0" w:line="200" w:lineRule="exact"/>
        <w:rPr>
          <w:sz w:val="20"/>
          <w:szCs w:val="20"/>
          <w:color w:val="auto"/>
        </w:rPr>
      </w:pPr>
    </w:p>
    <w:p>
      <w:pPr>
        <w:spacing w:after="0" w:line="312"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u w:val="single" w:color="auto"/>
          <w:color w:val="auto"/>
        </w:rPr>
        <w:t>Amendment, Etc.</w:t>
      </w:r>
      <w:r>
        <w:rPr>
          <w:rFonts w:ascii="Arial" w:cs="Arial" w:eastAsia="Arial" w:hAnsi="Arial"/>
          <w:sz w:val="20"/>
          <w:szCs w:val="20"/>
          <w:color w:val="auto"/>
        </w:rPr>
        <w:t xml:space="preserve">. Amend, modify or change in any manner any material term or condition of any Indebtedness set forth in </w:t>
      </w:r>
      <w:r>
        <w:rPr>
          <w:rFonts w:ascii="Arial" w:cs="Arial" w:eastAsia="Arial" w:hAnsi="Arial"/>
          <w:sz w:val="20"/>
          <w:szCs w:val="20"/>
          <w:u w:val="single" w:color="auto"/>
          <w:color w:val="auto"/>
        </w:rPr>
        <w:t>Schedule 6.02</w:t>
      </w:r>
      <w:r>
        <w:rPr>
          <w:rFonts w:ascii="Arial" w:cs="Arial" w:eastAsia="Arial" w:hAnsi="Arial"/>
          <w:sz w:val="20"/>
          <w:szCs w:val="20"/>
          <w:color w:val="auto"/>
        </w:rPr>
        <w:t>, except for any refinancing, refunding, renewal or extension thereof permitted by Section 6.02(b).</w:t>
      </w:r>
    </w:p>
    <w:p>
      <w:pPr>
        <w:spacing w:after="0" w:line="200" w:lineRule="exact"/>
        <w:rPr>
          <w:sz w:val="20"/>
          <w:szCs w:val="20"/>
          <w:color w:val="auto"/>
        </w:rPr>
      </w:pPr>
    </w:p>
    <w:p>
      <w:pPr>
        <w:spacing w:after="0" w:line="29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6.16. </w:t>
      </w:r>
      <w:r>
        <w:rPr>
          <w:rFonts w:ascii="Arial" w:cs="Arial" w:eastAsia="Arial" w:hAnsi="Arial"/>
          <w:sz w:val="20"/>
          <w:szCs w:val="20"/>
          <w:u w:val="single" w:color="auto"/>
          <w:color w:val="auto"/>
        </w:rPr>
        <w:t>Local Marketing Agreements and Time Brokerage Agreements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69" w:lineRule="auto"/>
        <w:tabs>
          <w:tab w:leader="none" w:pos="214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Borrower will not, and will not permit any Subsidiary to, enter into any Local Marketing Agreements (other than with the Borrower or any Subsidiary with respect to another Broadcasting Station of the Borrower or any Subsidiary), except for any Local Marketing Agreements in effect on the Effective Date and listed on </w:t>
      </w:r>
      <w:r>
        <w:rPr>
          <w:rFonts w:ascii="Arial" w:cs="Arial" w:eastAsia="Arial" w:hAnsi="Arial"/>
          <w:sz w:val="20"/>
          <w:szCs w:val="20"/>
          <w:u w:val="single" w:color="auto"/>
          <w:color w:val="auto"/>
        </w:rPr>
        <w:t>Schedule 6.16</w:t>
      </w:r>
      <w:r>
        <w:rPr>
          <w:rFonts w:ascii="Arial" w:cs="Arial" w:eastAsia="Arial" w:hAnsi="Arial"/>
          <w:sz w:val="20"/>
          <w:szCs w:val="20"/>
          <w:color w:val="auto"/>
        </w:rPr>
        <w:t xml:space="preserve"> or otherwise established on commercially reasonable terms (as determined in the reasonable opinion of the Borrower) in connection with a Permitted Acquisition.</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jc w:val="both"/>
        <w:ind w:left="200" w:right="219" w:firstLine="1305"/>
        <w:spacing w:after="0" w:line="270" w:lineRule="auto"/>
        <w:tabs>
          <w:tab w:leader="none" w:pos="214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Borrower will not, and will not permit any Subsidiary to, enter into any Time Brokerage Agreements (other than with the Borrower or any Subsidiary with respect to another Broadcasting Station of the Borrower or any Subsidiary), except for any Time Brokerage Agreements in effect on the Effective Date and listed on </w:t>
      </w:r>
      <w:r>
        <w:rPr>
          <w:rFonts w:ascii="Arial" w:cs="Arial" w:eastAsia="Arial" w:hAnsi="Arial"/>
          <w:sz w:val="20"/>
          <w:szCs w:val="20"/>
          <w:u w:val="single" w:color="auto"/>
          <w:color w:val="auto"/>
        </w:rPr>
        <w:t>Schedule 6.16</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ind w:left="200" w:right="219" w:firstLine="1305"/>
        <w:spacing w:after="0" w:line="347" w:lineRule="auto"/>
        <w:tabs>
          <w:tab w:leader="none" w:pos="21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Borrower will not, and will not permit any Subsidiary to, enter into any Shared Services Agreements (other than the Borrower or any Subsidiary with respect to another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281940</wp:posOffset>
            </wp:positionV>
            <wp:extent cx="545211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06" w:name="page207"/>
    <w:bookmarkEnd w:id="206"/>
    <w:p>
      <w:pPr>
        <w:jc w:val="both"/>
        <w:ind w:left="200" w:right="219"/>
        <w:spacing w:after="0" w:line="269" w:lineRule="auto"/>
        <w:rPr>
          <w:sz w:val="20"/>
          <w:szCs w:val="20"/>
          <w:color w:val="auto"/>
        </w:rPr>
      </w:pPr>
      <w:r>
        <w:rPr>
          <w:rFonts w:ascii="Arial" w:cs="Arial" w:eastAsia="Arial" w:hAnsi="Arial"/>
          <w:sz w:val="20"/>
          <w:szCs w:val="20"/>
          <w:color w:val="auto"/>
        </w:rPr>
        <w:t xml:space="preserve">Station of the Borrower or any Subsidiary), except for any Shared Services Agreements in effect on the Effective Date and listed on </w:t>
      </w:r>
      <w:r>
        <w:rPr>
          <w:rFonts w:ascii="Arial" w:cs="Arial" w:eastAsia="Arial" w:hAnsi="Arial"/>
          <w:sz w:val="20"/>
          <w:szCs w:val="20"/>
          <w:u w:val="single" w:color="auto"/>
          <w:color w:val="auto"/>
        </w:rPr>
        <w:t>Schedule 3.17</w:t>
      </w:r>
      <w:r>
        <w:rPr>
          <w:rFonts w:ascii="Arial" w:cs="Arial" w:eastAsia="Arial" w:hAnsi="Arial"/>
          <w:sz w:val="20"/>
          <w:szCs w:val="20"/>
          <w:color w:val="auto"/>
        </w:rPr>
        <w:t xml:space="preserve"> or otherwise established on commercially reasonably terms (as determined in the reasonably opinion of the Borrower and approved by the Administrative Agent, such approval not to be unreasonably withheld or delayed) in connection with one or more Permitted Acquisitions.</w:t>
      </w:r>
    </w:p>
    <w:p>
      <w:pPr>
        <w:spacing w:after="0" w:line="200" w:lineRule="exact"/>
        <w:rPr>
          <w:sz w:val="20"/>
          <w:szCs w:val="20"/>
          <w:color w:val="auto"/>
        </w:rPr>
      </w:pPr>
    </w:p>
    <w:p>
      <w:pPr>
        <w:spacing w:after="0" w:line="320"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6.17. </w:t>
      </w:r>
      <w:r>
        <w:rPr>
          <w:rFonts w:ascii="Arial" w:cs="Arial" w:eastAsia="Arial" w:hAnsi="Arial"/>
          <w:sz w:val="20"/>
          <w:szCs w:val="20"/>
          <w:u w:val="single" w:color="auto"/>
          <w:color w:val="auto"/>
        </w:rPr>
        <w:t>Equity Interests</w:t>
      </w:r>
      <w:r>
        <w:rPr>
          <w:rFonts w:ascii="Arial" w:cs="Arial" w:eastAsia="Arial" w:hAnsi="Arial"/>
          <w:sz w:val="20"/>
          <w:szCs w:val="20"/>
          <w:color w:val="auto"/>
        </w:rPr>
        <w:t>. The Borrower will not issue any Disqualified Equity Interests, or be or become liable in respect of any obligation (contingent or otherwise) to purchase, redeem, retire, acquire or make any other payment in respect of any Equity Interests of the Borrower, except as permitted under Section 6.06. The Borrower will not permit any Subsidiary to issue any Equity Interest which is not pledged to the Administrative Agent.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Events of Default</w:t>
      </w: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69" w:lineRule="auto"/>
        <w:tabs>
          <w:tab w:leader="none" w:pos="214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or any other Loan Party fails to (i) pay when and as required to be paid herein, any amount of principal of any Loan or any LC Disbursement or deposit any funds as cash collateral to the LC Collateral Account, or (ii) pay within three days after the same becomes due, any interest on any Loan or on any LC Disbursement, or any fee due hereunder, or (iii) pay within five days after the same becomes due, any other amount payable hereunder or under any other Loan Document; or</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jc w:val="both"/>
        <w:ind w:left="200" w:right="219" w:firstLine="1305"/>
        <w:spacing w:after="0" w:line="271" w:lineRule="auto"/>
        <w:tabs>
          <w:tab w:leader="none" w:pos="214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The Borrower fails to perform or observe any term, covenant or agreement contained in any of Section 5.01, 5.02, 5.03, 5.05, 5.07, 5.10, 5.11, 5.12, 5.14, 5.18, 5.19 or Article VI; 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left="200" w:right="219" w:firstLine="1305"/>
        <w:spacing w:after="0" w:line="271" w:lineRule="auto"/>
        <w:tabs>
          <w:tab w:leader="none" w:pos="214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Any Loan Party fails to perform or observe any other covenant or agreement (not specified in clauses (a) or (b) above) contained in any Loan Document on its part to be performed or observed and such failure continues for 30 days; 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left="200" w:right="219" w:firstLine="1305"/>
        <w:spacing w:after="0" w:line="293" w:lineRule="auto"/>
        <w:tabs>
          <w:tab w:leader="none" w:pos="2144"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7" w:name="page208"/>
    <w:bookmarkEnd w:id="207"/>
    <w:p>
      <w:pPr>
        <w:jc w:val="both"/>
        <w:ind w:left="200" w:right="219" w:firstLine="1305"/>
        <w:spacing w:after="0" w:line="336" w:lineRule="auto"/>
        <w:tabs>
          <w:tab w:leader="none" w:pos="2144"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Agreements)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Agreement an Early Termination Date (as defined in such Swap Agreement) resulting from (A) any event of default under such Swap Agreement as to which a Loan Party or any Subsidiary thereof is the Defaulting Party (as defined in such Swap Agreement) or (B) any Termination Event (as defined in such Swap Agreement) under such Swap Agreement as to which a Loan Party or any Subsidiary thereof is an Affected Party (as defined in such Swap Agreement) and, in either event, the Swap Termination Value owed by such Loan Party or such Subsidiary as a result thereof is greater than the Threshold Amount;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6" w:lineRule="exact"/>
        <w:rPr>
          <w:rFonts w:ascii="Arial" w:cs="Arial" w:eastAsia="Arial" w:hAnsi="Arial"/>
          <w:sz w:val="16"/>
          <w:szCs w:val="16"/>
          <w:color w:val="auto"/>
        </w:rPr>
      </w:pPr>
    </w:p>
    <w:p>
      <w:pPr>
        <w:jc w:val="both"/>
        <w:ind w:left="200" w:right="219" w:firstLine="1305"/>
        <w:spacing w:after="0" w:line="299" w:lineRule="auto"/>
        <w:tabs>
          <w:tab w:leader="none" w:pos="2144"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jc w:val="both"/>
        <w:ind w:left="200" w:right="219" w:firstLine="1305"/>
        <w:spacing w:after="0" w:line="297" w:lineRule="auto"/>
        <w:tabs>
          <w:tab w:leader="none" w:pos="2144"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Subsidiary thereof becomes unable or admits in writing its inability or fails generally to pay its debts as they become due, or</w:t>
      </w:r>
    </w:p>
    <w:p>
      <w:pPr>
        <w:jc w:val="both"/>
        <w:ind w:left="200" w:right="219" w:firstLine="9"/>
        <w:spacing w:after="0" w:line="271" w:lineRule="auto"/>
        <w:tabs>
          <w:tab w:leader="none" w:pos="50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any writ or warrant of attachment or execution or similar process is issued or levied against all or any material part of the property of any such Person and is not released, vacated or fully bonded within 30 days after its issue or levy; 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left="200" w:right="219" w:firstLine="1305"/>
        <w:spacing w:after="0" w:line="306" w:lineRule="auto"/>
        <w:tabs>
          <w:tab w:leader="none" w:pos="2144"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08" w:name="page209"/>
    <w:bookmarkEnd w:id="208"/>
    <w:p>
      <w:pPr>
        <w:jc w:val="both"/>
        <w:ind w:left="200" w:right="219"/>
        <w:spacing w:after="0" w:line="270" w:lineRule="auto"/>
        <w:rPr>
          <w:sz w:val="20"/>
          <w:szCs w:val="20"/>
          <w:color w:val="auto"/>
        </w:rPr>
      </w:pPr>
      <w:r>
        <w:rPr>
          <w:rFonts w:ascii="Arial" w:cs="Arial" w:eastAsia="Arial" w:hAnsi="Arial"/>
          <w:sz w:val="20"/>
          <w:szCs w:val="20"/>
          <w:color w:val="auto"/>
        </w:rPr>
        <w:t>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200" w:lineRule="exact"/>
        <w:rPr>
          <w:sz w:val="20"/>
          <w:szCs w:val="20"/>
          <w:color w:val="auto"/>
        </w:rPr>
      </w:pPr>
    </w:p>
    <w:p>
      <w:pPr>
        <w:spacing w:after="0" w:line="318" w:lineRule="exact"/>
        <w:rPr>
          <w:sz w:val="20"/>
          <w:szCs w:val="20"/>
          <w:color w:val="auto"/>
        </w:rPr>
      </w:pPr>
    </w:p>
    <w:p>
      <w:pPr>
        <w:jc w:val="both"/>
        <w:ind w:left="200" w:right="219" w:firstLine="1305"/>
        <w:spacing w:after="0" w:line="304" w:lineRule="auto"/>
        <w:tabs>
          <w:tab w:leader="none" w:pos="2144"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Plan or Multiemployer Plan which has resulted or could reasonably be expected to result in liability of the Borrower under Title IV of ERISA to the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jc w:val="both"/>
        <w:ind w:left="200" w:right="219" w:firstLine="1305"/>
        <w:spacing w:after="0" w:line="301" w:lineRule="auto"/>
        <w:tabs>
          <w:tab w:leader="none" w:pos="2144"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160" w:hanging="655"/>
        <w:spacing w:after="0"/>
        <w:tabs>
          <w:tab w:leader="none" w:pos="216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jc w:val="both"/>
        <w:ind w:left="200" w:right="219" w:firstLine="1305"/>
        <w:spacing w:after="0" w:line="270" w:lineRule="auto"/>
        <w:tabs>
          <w:tab w:leader="none" w:pos="2144"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Any Collateral Document after delivery thereof pursuant to Section 4.01 or 5.12 shall for any reason (other than pursuant to the terms thereof) cease to create a valid and perfected first priority Lien (subject to Liens permitted by Section 6.01) on the Collateral purported to be covered thereby; or</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left="200" w:right="219" w:firstLine="1305"/>
        <w:spacing w:after="0" w:line="285" w:lineRule="auto"/>
        <w:tabs>
          <w:tab w:leader="none" w:pos="214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FCC Licenses</w:t>
      </w:r>
      <w:r>
        <w:rPr>
          <w:rFonts w:ascii="Arial" w:cs="Arial" w:eastAsia="Arial" w:hAnsi="Arial"/>
          <w:sz w:val="19"/>
          <w:szCs w:val="19"/>
          <w:color w:val="auto"/>
        </w:rPr>
        <w:t>. Any FCC License of the Borrower or any Subsidiary is revoked or canceled, expires or is suspended for more than five consecutive days, other than (to the extent not otherwise prohibited by the Loan Documents) by reason of (i) a voluntary surrender (consented to by the Administrative Agent), not in response to any adverse action or threatened adverse action by any Governmental Authority, or (ii) a disposition permitted by this Agreement, and such revocation, cancellation, expiration or suspension has a Material Adverse Effect.</w:t>
      </w:r>
    </w:p>
    <w:p>
      <w:pPr>
        <w:spacing w:after="0" w:line="200" w:lineRule="exact"/>
        <w:rPr>
          <w:sz w:val="20"/>
          <w:szCs w:val="20"/>
          <w:color w:val="auto"/>
        </w:rPr>
      </w:pPr>
    </w:p>
    <w:p>
      <w:pPr>
        <w:spacing w:after="0" w:line="309" w:lineRule="exact"/>
        <w:rPr>
          <w:sz w:val="20"/>
          <w:szCs w:val="20"/>
          <w:color w:val="auto"/>
        </w:rPr>
      </w:pPr>
    </w:p>
    <w:p>
      <w:pPr>
        <w:jc w:val="both"/>
        <w:ind w:left="200" w:right="219"/>
        <w:spacing w:after="0" w:line="300" w:lineRule="auto"/>
        <w:rPr>
          <w:sz w:val="20"/>
          <w:szCs w:val="20"/>
          <w:color w:val="auto"/>
        </w:rPr>
      </w:pPr>
      <w:r>
        <w:rPr>
          <w:rFonts w:ascii="Arial" w:cs="Arial" w:eastAsia="Arial" w:hAnsi="Arial"/>
          <w:sz w:val="18"/>
          <w:szCs w:val="18"/>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Revolving Commitments, whereupon the Revolving Commitments shall terminate immediately, and (ii) declare the Loans then outstanding­ to be due and payable in whole (or in part, but ratably as among the Classes of Loans and the Loans of each Class at the time outstanding, in which case any principal not so declared to be due and payable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09" w:name="page210"/>
    <w:bookmarkEnd w:id="209"/>
    <w:p>
      <w:pPr>
        <w:jc w:val="both"/>
        <w:ind w:left="200" w:right="219"/>
        <w:spacing w:after="0" w:line="297" w:lineRule="auto"/>
        <w:rPr>
          <w:sz w:val="20"/>
          <w:szCs w:val="20"/>
          <w:color w:val="auto"/>
        </w:rPr>
      </w:pPr>
      <w:r>
        <w:rPr>
          <w:rFonts w:ascii="Arial" w:cs="Arial" w:eastAsia="Arial" w:hAnsi="Arial"/>
          <w:sz w:val="18"/>
          <w:szCs w:val="18"/>
          <w:color w:val="auto"/>
        </w:rPr>
        <w:t>thereafter be declared to be due and payable), whereupon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the Borrower; and in the case of any event with respect to the Borrower described in clause (h) or (i) of this Article, the Revolving Commitments shall automatically terminate and the principal of the Loans then outstanding, together with accrued interest thereon and all fees and other obligations of the Borrower accrued hereunder, shall automatically become due and payable, in each case without presentment,­ demand, protest or other notice of any kind, all of which are hereby waived by the Borrower.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Administrative Agent</w:t>
      </w:r>
    </w:p>
    <w:p>
      <w:pPr>
        <w:spacing w:after="0" w:line="200" w:lineRule="exact"/>
        <w:rPr>
          <w:sz w:val="20"/>
          <w:szCs w:val="20"/>
          <w:color w:val="auto"/>
        </w:rPr>
      </w:pPr>
    </w:p>
    <w:p>
      <w:pPr>
        <w:spacing w:after="0" w:line="3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Authorization and Action</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657"/>
        <w:spacing w:after="0" w:line="261" w:lineRule="auto"/>
        <w:tabs>
          <w:tab w:leader="none" w:pos="14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to exercise all rights, powers and remedies that the Administrative Agent may have under such Loan Documents.</w:t>
      </w:r>
    </w:p>
    <w:p>
      <w:pPr>
        <w:spacing w:after="0" w:line="224" w:lineRule="exact"/>
        <w:rPr>
          <w:rFonts w:ascii="Arial" w:cs="Arial" w:eastAsia="Arial" w:hAnsi="Arial"/>
          <w:sz w:val="19"/>
          <w:szCs w:val="19"/>
          <w:color w:val="auto"/>
        </w:rPr>
      </w:pPr>
    </w:p>
    <w:p>
      <w:pPr>
        <w:jc w:val="both"/>
        <w:ind w:left="200" w:right="219" w:firstLine="657"/>
        <w:spacing w:after="0" w:line="280" w:lineRule="auto"/>
        <w:tabs>
          <w:tab w:leader="none" w:pos="14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10" w:name="page211"/>
    <w:bookmarkEnd w:id="210"/>
    <w:p>
      <w:pPr>
        <w:jc w:val="both"/>
        <w:ind w:left="200" w:right="219"/>
        <w:spacing w:after="0" w:line="276" w:lineRule="auto"/>
        <w:rPr>
          <w:sz w:val="20"/>
          <w:szCs w:val="20"/>
          <w:color w:val="auto"/>
        </w:rPr>
      </w:pPr>
      <w:r>
        <w:rPr>
          <w:rFonts w:ascii="Arial" w:cs="Arial" w:eastAsia="Arial" w:hAnsi="Arial"/>
          <w:sz w:val="18"/>
          <w:szCs w:val="18"/>
          <w:color w:val="auto"/>
        </w:rPr>
        <w:t>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59" w:lineRule="exact"/>
        <w:rPr>
          <w:sz w:val="20"/>
          <w:szCs w:val="20"/>
          <w:color w:val="auto"/>
        </w:rPr>
      </w:pPr>
    </w:p>
    <w:p>
      <w:pPr>
        <w:jc w:val="both"/>
        <w:ind w:left="200" w:right="219" w:firstLine="657"/>
        <w:spacing w:after="0" w:line="288" w:lineRule="auto"/>
        <w:tabs>
          <w:tab w:leader="none" w:pos="149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342" w:lineRule="exact"/>
        <w:rPr>
          <w:rFonts w:ascii="Arial" w:cs="Arial" w:eastAsia="Arial" w:hAnsi="Arial"/>
          <w:sz w:val="18"/>
          <w:szCs w:val="18"/>
          <w:color w:val="auto"/>
        </w:rPr>
      </w:pPr>
    </w:p>
    <w:p>
      <w:pPr>
        <w:jc w:val="both"/>
        <w:ind w:left="1500" w:right="219" w:firstLine="329"/>
        <w:spacing w:after="0" w:line="276" w:lineRule="auto"/>
        <w:tabs>
          <w:tab w:leader="none" w:pos="214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 nothing in this Agreement or any Loan Document shall require the Administrative Agent to account to any Lender for any sum or the profit element of any sum received by the Administrative Agent for its own account;</w:t>
      </w:r>
    </w:p>
    <w:p>
      <w:pPr>
        <w:spacing w:after="0" w:line="173" w:lineRule="exact"/>
        <w:rPr>
          <w:rFonts w:ascii="Arial" w:cs="Arial" w:eastAsia="Arial" w:hAnsi="Arial"/>
          <w:sz w:val="18"/>
          <w:szCs w:val="18"/>
          <w:color w:val="auto"/>
        </w:rPr>
      </w:pPr>
    </w:p>
    <w:p>
      <w:pPr>
        <w:jc w:val="both"/>
        <w:ind w:left="200" w:right="219" w:firstLine="657"/>
        <w:spacing w:after="0" w:line="262" w:lineRule="auto"/>
        <w:tabs>
          <w:tab w:leader="none" w:pos="149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1" w:name="page212"/>
    <w:bookmarkEnd w:id="211"/>
    <w:p>
      <w:pPr>
        <w:jc w:val="both"/>
        <w:ind w:left="200" w:right="219" w:firstLine="657"/>
        <w:spacing w:after="0" w:line="251" w:lineRule="auto"/>
        <w:tabs>
          <w:tab w:leader="none" w:pos="149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None of any Syndication Agent, any Co-Documentation Agent or the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40" w:lineRule="exact"/>
        <w:rPr>
          <w:rFonts w:ascii="Arial" w:cs="Arial" w:eastAsia="Arial" w:hAnsi="Arial"/>
          <w:sz w:val="20"/>
          <w:szCs w:val="20"/>
          <w:color w:val="auto"/>
        </w:rPr>
      </w:pPr>
    </w:p>
    <w:p>
      <w:pPr>
        <w:jc w:val="both"/>
        <w:ind w:left="200" w:right="219" w:firstLine="657"/>
        <w:spacing w:after="0" w:line="247" w:lineRule="auto"/>
        <w:tabs>
          <w:tab w:leader="none" w:pos="149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381" w:lineRule="exact"/>
        <w:rPr>
          <w:rFonts w:ascii="Arial" w:cs="Arial" w:eastAsia="Arial" w:hAnsi="Arial"/>
          <w:sz w:val="20"/>
          <w:szCs w:val="20"/>
          <w:color w:val="auto"/>
        </w:rPr>
      </w:pPr>
    </w:p>
    <w:p>
      <w:pPr>
        <w:jc w:val="both"/>
        <w:ind w:left="1500" w:right="219" w:firstLine="329"/>
        <w:spacing w:after="0" w:line="249" w:lineRule="auto"/>
        <w:tabs>
          <w:tab w:leader="none" w:pos="2146"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201" w:lineRule="exact"/>
        <w:rPr>
          <w:rFonts w:ascii="Arial" w:cs="Arial" w:eastAsia="Arial" w:hAnsi="Arial"/>
          <w:sz w:val="20"/>
          <w:szCs w:val="20"/>
          <w:color w:val="auto"/>
        </w:rPr>
      </w:pPr>
    </w:p>
    <w:p>
      <w:pPr>
        <w:ind w:left="1500" w:right="219" w:firstLine="329"/>
        <w:spacing w:after="0" w:line="260" w:lineRule="auto"/>
        <w:tabs>
          <w:tab w:leader="none" w:pos="2196"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90" w:lineRule="exact"/>
        <w:rPr>
          <w:sz w:val="20"/>
          <w:szCs w:val="20"/>
          <w:color w:val="auto"/>
        </w:rPr>
      </w:pPr>
    </w:p>
    <w:p>
      <w:pPr>
        <w:jc w:val="both"/>
        <w:ind w:left="200" w:right="219"/>
        <w:spacing w:after="0" w:line="29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200" w:lineRule="exact"/>
        <w:rPr>
          <w:sz w:val="20"/>
          <w:szCs w:val="20"/>
          <w:color w:val="auto"/>
        </w:rPr>
      </w:pPr>
    </w:p>
    <w:p>
      <w:pPr>
        <w:spacing w:after="0" w:line="286" w:lineRule="exact"/>
        <w:rPr>
          <w:sz w:val="20"/>
          <w:szCs w:val="20"/>
          <w:color w:val="auto"/>
        </w:rPr>
      </w:pPr>
    </w:p>
    <w:p>
      <w:pPr>
        <w:jc w:val="both"/>
        <w:ind w:left="200" w:right="219" w:firstLine="657"/>
        <w:spacing w:after="0" w:line="250" w:lineRule="auto"/>
        <w:tabs>
          <w:tab w:leader="none" w:pos="149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3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Administrative Agent’s Reliance, Limitation of Liability, Etc</w:t>
      </w:r>
      <w:r>
        <w:rPr>
          <w:rFonts w:ascii="Arial" w:cs="Arial" w:eastAsia="Arial" w:hAnsi="Arial"/>
          <w:sz w:val="20"/>
          <w:szCs w:val="20"/>
          <w:color w:val="auto"/>
        </w:rPr>
        <w:t>.</w:t>
      </w:r>
    </w:p>
    <w:p>
      <w:pPr>
        <w:spacing w:after="0" w:line="200" w:lineRule="exact"/>
        <w:rPr>
          <w:sz w:val="20"/>
          <w:szCs w:val="20"/>
          <w:color w:val="auto"/>
        </w:rPr>
      </w:pPr>
    </w:p>
    <w:p>
      <w:pPr>
        <w:spacing w:after="0" w:line="340" w:lineRule="exact"/>
        <w:rPr>
          <w:sz w:val="20"/>
          <w:szCs w:val="20"/>
          <w:color w:val="auto"/>
        </w:rPr>
      </w:pPr>
    </w:p>
    <w:p>
      <w:pPr>
        <w:jc w:val="both"/>
        <w:ind w:left="280" w:right="219" w:firstLine="1484"/>
        <w:spacing w:after="0" w:line="283" w:lineRule="auto"/>
        <w:tabs>
          <w:tab w:leader="none" w:pos="24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the Administrative Agent nor any of its Related Parties shall be (i) liable for any action taken or omitted to be taken by such party, the Administrative Agent or any of its Related</w:t>
      </w:r>
    </w:p>
    <w:p>
      <w:pPr>
        <w:ind w:left="200"/>
        <w:spacing w:after="0"/>
        <w:rPr>
          <w:sz w:val="20"/>
          <w:szCs w:val="20"/>
          <w:color w:val="auto"/>
        </w:rPr>
      </w:pPr>
      <w:r>
        <w:rPr>
          <w:rFonts w:ascii="Arial" w:cs="Arial" w:eastAsia="Arial" w:hAnsi="Arial"/>
          <w:sz w:val="20"/>
          <w:szCs w:val="20"/>
          <w:color w:val="auto"/>
        </w:rPr>
        <w:t>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2" w:name="page213"/>
    <w:bookmarkEnd w:id="212"/>
    <w:p>
      <w:pPr>
        <w:jc w:val="both"/>
        <w:ind w:left="200" w:right="219"/>
        <w:spacing w:after="0" w:line="277" w:lineRule="auto"/>
        <w:rPr>
          <w:sz w:val="20"/>
          <w:szCs w:val="20"/>
          <w:color w:val="auto"/>
        </w:rPr>
      </w:pPr>
      <w:r>
        <w:rPr>
          <w:rFonts w:ascii="Arial" w:cs="Arial" w:eastAsia="Arial" w:hAnsi="Arial"/>
          <w:sz w:val="18"/>
          <w:szCs w:val="18"/>
          <w:color w:val="auto"/>
        </w:rPr>
        <w:t>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7" w:lineRule="exact"/>
        <w:rPr>
          <w:sz w:val="20"/>
          <w:szCs w:val="20"/>
          <w:color w:val="auto"/>
        </w:rPr>
      </w:pPr>
    </w:p>
    <w:p>
      <w:pPr>
        <w:jc w:val="both"/>
        <w:ind w:left="200" w:right="219" w:firstLine="1564"/>
        <w:spacing w:after="0" w:line="273" w:lineRule="auto"/>
        <w:tabs>
          <w:tab w:leader="none" w:pos="2403"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Administrative Agent shall be deemed not to have knowledge of any (i) notice of any of the events or circumstances set forth or described in Section 5.03 unless and until written notice thereof stating that it is a “notice under Section 5.03”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w:t>
      </w:r>
    </w:p>
    <w:p>
      <w:pPr>
        <w:spacing w:after="0" w:line="9" w:lineRule="exact"/>
        <w:rPr>
          <w:rFonts w:ascii="Arial" w:cs="Arial" w:eastAsia="Arial" w:hAnsi="Arial"/>
          <w:sz w:val="18"/>
          <w:szCs w:val="18"/>
          <w:color w:val="auto"/>
        </w:rPr>
      </w:pPr>
    </w:p>
    <w:p>
      <w:pPr>
        <w:jc w:val="both"/>
        <w:ind w:left="200" w:right="219" w:firstLine="9"/>
        <w:spacing w:after="0" w:line="263" w:lineRule="auto"/>
        <w:tabs>
          <w:tab w:leader="none" w:pos="56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216" w:lineRule="exact"/>
        <w:rPr>
          <w:rFonts w:ascii="Arial" w:cs="Arial" w:eastAsia="Arial" w:hAnsi="Arial"/>
          <w:sz w:val="19"/>
          <w:szCs w:val="19"/>
          <w:color w:val="auto"/>
        </w:rPr>
      </w:pPr>
    </w:p>
    <w:p>
      <w:pPr>
        <w:jc w:val="both"/>
        <w:ind w:left="200" w:right="219" w:firstLine="657"/>
        <w:spacing w:after="0" w:line="318" w:lineRule="auto"/>
        <w:tabs>
          <w:tab w:leader="none" w:pos="149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Without limiting the foregoing, the Administrative Agent (i) may treat the payee of any promissory note as its holder until such promissory note has been assigned in accordance with Section 9.04,</w:t>
      </w:r>
    </w:p>
    <w:p>
      <w:pPr>
        <w:jc w:val="both"/>
        <w:ind w:left="200" w:right="219" w:firstLine="9"/>
        <w:spacing w:after="0" w:line="275" w:lineRule="auto"/>
        <w:tabs>
          <w:tab w:leader="none" w:pos="50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3" w:name="page214"/>
    <w:bookmarkEnd w:id="213"/>
    <w:p>
      <w:pPr>
        <w:ind w:left="200" w:right="219"/>
        <w:spacing w:after="0" w:line="262" w:lineRule="auto"/>
        <w:rPr>
          <w:sz w:val="20"/>
          <w:szCs w:val="20"/>
          <w:color w:val="auto"/>
        </w:rPr>
      </w:pPr>
      <w:r>
        <w:rPr>
          <w:rFonts w:ascii="Arial" w:cs="Arial" w:eastAsia="Arial" w:hAnsi="Arial"/>
          <w:sz w:val="20"/>
          <w:szCs w:val="20"/>
          <w:color w:val="auto"/>
        </w:rPr>
        <w:t>authenticated by the proper party or parties (whether or not such Person in fact meets the requirements set forth in the Loan Documents for being the maker thereof).</w:t>
      </w:r>
    </w:p>
    <w:p>
      <w:pPr>
        <w:spacing w:after="0" w:line="24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Posting of Communications</w:t>
      </w:r>
      <w:r>
        <w:rPr>
          <w:rFonts w:ascii="Arial" w:cs="Arial" w:eastAsia="Arial" w:hAnsi="Arial"/>
          <w:sz w:val="20"/>
          <w:szCs w:val="20"/>
          <w:color w:val="auto"/>
        </w:rPr>
        <w:t>.</w:t>
      </w:r>
    </w:p>
    <w:p>
      <w:pPr>
        <w:spacing w:after="0" w:line="200" w:lineRule="exact"/>
        <w:rPr>
          <w:sz w:val="20"/>
          <w:szCs w:val="20"/>
          <w:color w:val="auto"/>
        </w:rPr>
      </w:pPr>
    </w:p>
    <w:p>
      <w:pPr>
        <w:spacing w:after="0" w:line="340" w:lineRule="exact"/>
        <w:rPr>
          <w:sz w:val="20"/>
          <w:szCs w:val="20"/>
          <w:color w:val="auto"/>
        </w:rPr>
      </w:pPr>
    </w:p>
    <w:p>
      <w:pPr>
        <w:jc w:val="both"/>
        <w:ind w:left="200" w:right="219" w:firstLine="657"/>
        <w:spacing w:after="0" w:line="293" w:lineRule="auto"/>
        <w:tabs>
          <w:tab w:leader="none" w:pos="14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200" w:right="219" w:firstLine="657"/>
        <w:spacing w:after="0" w:line="277" w:lineRule="auto"/>
        <w:tabs>
          <w:tab w:leader="none" w:pos="14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220" w:lineRule="exact"/>
        <w:rPr>
          <w:rFonts w:ascii="Arial" w:cs="Arial" w:eastAsia="Arial" w:hAnsi="Arial"/>
          <w:sz w:val="18"/>
          <w:szCs w:val="18"/>
          <w:color w:val="auto"/>
        </w:rPr>
      </w:pPr>
    </w:p>
    <w:p>
      <w:pPr>
        <w:jc w:val="both"/>
        <w:ind w:left="200" w:right="219" w:firstLine="657"/>
        <w:spacing w:after="0" w:line="260" w:lineRule="auto"/>
        <w:tabs>
          <w:tab w:leader="none" w:pos="149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Arial" w:cs="Arial" w:eastAsia="Arial" w:hAnsi="Arial"/>
          <w:sz w:val="19"/>
          <w:szCs w:val="19"/>
          <w:u w:val="single" w:color="auto"/>
          <w:color w:val="auto"/>
        </w:rPr>
        <w:t>APPLICABLE PARTIES</w:t>
      </w:r>
      <w:r>
        <w:rPr>
          <w:rFonts w:ascii="Arial" w:cs="Arial" w:eastAsia="Arial" w:hAnsi="Arial"/>
          <w:sz w:val="19"/>
          <w:szCs w:val="19"/>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384"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4" w:name="page215"/>
    <w:bookmarkEnd w:id="214"/>
    <w:p>
      <w:pPr>
        <w:jc w:val="both"/>
        <w:ind w:left="200" w:right="219" w:firstLine="657"/>
        <w:spacing w:after="0" w:line="265" w:lineRule="auto"/>
        <w:tabs>
          <w:tab w:leader="none" w:pos="149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214" w:lineRule="exact"/>
        <w:rPr>
          <w:rFonts w:ascii="Arial" w:cs="Arial" w:eastAsia="Arial" w:hAnsi="Arial"/>
          <w:sz w:val="19"/>
          <w:szCs w:val="19"/>
          <w:color w:val="auto"/>
        </w:rPr>
      </w:pPr>
    </w:p>
    <w:p>
      <w:pPr>
        <w:jc w:val="both"/>
        <w:ind w:left="200" w:right="219" w:firstLine="657"/>
        <w:spacing w:after="0" w:line="255" w:lineRule="auto"/>
        <w:tabs>
          <w:tab w:leader="none" w:pos="149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24" w:lineRule="exact"/>
        <w:rPr>
          <w:rFonts w:ascii="Arial" w:cs="Arial" w:eastAsia="Arial" w:hAnsi="Arial"/>
          <w:sz w:val="20"/>
          <w:szCs w:val="20"/>
          <w:color w:val="auto"/>
        </w:rPr>
      </w:pPr>
    </w:p>
    <w:p>
      <w:pPr>
        <w:jc w:val="both"/>
        <w:ind w:left="200" w:right="219" w:firstLine="657"/>
        <w:spacing w:after="0" w:line="257" w:lineRule="auto"/>
        <w:tabs>
          <w:tab w:leader="none" w:pos="149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368" w:lineRule="exact"/>
        <w:rPr>
          <w:sz w:val="20"/>
          <w:szCs w:val="20"/>
          <w:color w:val="auto"/>
        </w:rPr>
      </w:pPr>
    </w:p>
    <w:p>
      <w:pPr>
        <w:jc w:val="both"/>
        <w:ind w:left="200" w:right="219" w:firstLine="1296"/>
        <w:spacing w:after="0" w:line="29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The Administrative Agent Individually</w:t>
      </w:r>
      <w:r>
        <w:rPr>
          <w:rFonts w:ascii="Arial" w:cs="Arial" w:eastAsia="Arial" w:hAnsi="Arial"/>
          <w:sz w:val="18"/>
          <w:szCs w:val="18"/>
          <w:color w:val="auto"/>
        </w:rPr>
        <w:t>. With respect to its Commitment,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spacing w:after="0" w:line="200" w:lineRule="exact"/>
        <w:rPr>
          <w:sz w:val="20"/>
          <w:szCs w:val="20"/>
          <w:color w:val="auto"/>
        </w:rPr>
      </w:pPr>
    </w:p>
    <w:p>
      <w:pPr>
        <w:spacing w:after="0" w:line="29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ind w:left="200" w:right="219" w:firstLine="657"/>
        <w:spacing w:after="0" w:line="275" w:lineRule="auto"/>
        <w:tabs>
          <w:tab w:leader="none" w:pos="149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215" w:name="page216"/>
    <w:bookmarkEnd w:id="215"/>
    <w:p>
      <w:pPr>
        <w:jc w:val="both"/>
        <w:ind w:left="200" w:right="219"/>
        <w:spacing w:after="0" w:line="269" w:lineRule="auto"/>
        <w:rPr>
          <w:sz w:val="20"/>
          <w:szCs w:val="20"/>
          <w:color w:val="auto"/>
        </w:rPr>
      </w:pPr>
      <w:r>
        <w:rPr>
          <w:rFonts w:ascii="Arial" w:cs="Arial" w:eastAsia="Arial" w:hAnsi="Arial"/>
          <w:sz w:val="19"/>
          <w:szCs w:val="19"/>
          <w:color w:val="auto"/>
        </w:rPr>
        <w:t>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23" w:lineRule="exact"/>
        <w:rPr>
          <w:sz w:val="20"/>
          <w:szCs w:val="20"/>
          <w:color w:val="auto"/>
        </w:rPr>
      </w:pPr>
    </w:p>
    <w:p>
      <w:pPr>
        <w:jc w:val="both"/>
        <w:ind w:left="200" w:right="219" w:firstLine="657"/>
        <w:spacing w:after="0" w:line="274" w:lineRule="auto"/>
        <w:tabs>
          <w:tab w:leader="none" w:pos="14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3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Acknowledgements of Lenders and Issuing Banks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592"/>
        <w:spacing w:after="0" w:line="276" w:lineRule="auto"/>
        <w:tabs>
          <w:tab w:leader="none" w:pos="110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6" w:name="page217"/>
    <w:bookmarkEnd w:id="216"/>
    <w:p>
      <w:pPr>
        <w:jc w:val="both"/>
        <w:ind w:left="200" w:right="219"/>
        <w:spacing w:after="0" w:line="265" w:lineRule="auto"/>
        <w:rPr>
          <w:sz w:val="20"/>
          <w:szCs w:val="20"/>
          <w:color w:val="auto"/>
        </w:rPr>
      </w:pPr>
      <w:r>
        <w:rPr>
          <w:rFonts w:ascii="Arial" w:cs="Arial" w:eastAsia="Arial" w:hAnsi="Arial"/>
          <w:sz w:val="19"/>
          <w:szCs w:val="19"/>
          <w:color w:val="auto"/>
        </w:rPr>
        <w:t>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4" w:lineRule="exact"/>
        <w:rPr>
          <w:sz w:val="20"/>
          <w:szCs w:val="20"/>
          <w:color w:val="auto"/>
        </w:rPr>
      </w:pPr>
    </w:p>
    <w:p>
      <w:pPr>
        <w:jc w:val="both"/>
        <w:ind w:left="200" w:right="219" w:firstLine="657"/>
        <w:spacing w:after="0" w:line="265" w:lineRule="auto"/>
        <w:tabs>
          <w:tab w:leader="none" w:pos="149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363" w:lineRule="exact"/>
        <w:rPr>
          <w:rFonts w:ascii="Arial" w:cs="Arial" w:eastAsia="Arial" w:hAnsi="Arial"/>
          <w:sz w:val="19"/>
          <w:szCs w:val="19"/>
          <w:color w:val="auto"/>
        </w:rPr>
      </w:pPr>
    </w:p>
    <w:p>
      <w:pPr>
        <w:jc w:val="both"/>
        <w:ind w:left="200" w:right="219" w:firstLine="657"/>
        <w:spacing w:after="0" w:line="276" w:lineRule="auto"/>
        <w:tabs>
          <w:tab w:leader="none" w:pos="149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354" w:lineRule="exact"/>
        <w:rPr>
          <w:sz w:val="20"/>
          <w:szCs w:val="20"/>
          <w:color w:val="auto"/>
        </w:rPr>
      </w:pPr>
    </w:p>
    <w:p>
      <w:pPr>
        <w:jc w:val="both"/>
        <w:ind w:left="200" w:right="219" w:firstLine="657"/>
        <w:spacing w:after="0" w:line="260" w:lineRule="auto"/>
        <w:tabs>
          <w:tab w:leader="none" w:pos="120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545211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7" w:name="page218"/>
    <w:bookmarkEnd w:id="217"/>
    <w:p>
      <w:pPr>
        <w:jc w:val="both"/>
        <w:ind w:left="200" w:right="219" w:firstLine="657"/>
        <w:spacing w:after="0" w:line="248" w:lineRule="auto"/>
        <w:tabs>
          <w:tab w:leader="none" w:pos="129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Payment is, and solely with respect to the amount of such Payment that is, comprised of funds received by the Administrative Agent from the Borrower or any other Loan Party for the purpose of making such Payment.</w:t>
      </w:r>
    </w:p>
    <w:p>
      <w:pPr>
        <w:spacing w:after="0" w:line="206" w:lineRule="exact"/>
        <w:rPr>
          <w:rFonts w:ascii="Arial" w:cs="Arial" w:eastAsia="Arial" w:hAnsi="Arial"/>
          <w:sz w:val="20"/>
          <w:szCs w:val="20"/>
          <w:color w:val="auto"/>
        </w:rPr>
      </w:pPr>
    </w:p>
    <w:p>
      <w:pPr>
        <w:jc w:val="both"/>
        <w:ind w:left="200" w:right="219" w:firstLine="657"/>
        <w:spacing w:after="0" w:line="251" w:lineRule="auto"/>
        <w:tabs>
          <w:tab w:leader="none" w:pos="123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42" w:lineRule="exact"/>
        <w:rPr>
          <w:sz w:val="20"/>
          <w:szCs w:val="20"/>
          <w:color w:val="auto"/>
        </w:rPr>
      </w:pPr>
    </w:p>
    <w:p>
      <w:pPr>
        <w:jc w:val="both"/>
        <w:ind w:left="200" w:right="219" w:firstLine="657"/>
        <w:spacing w:after="0" w:line="275" w:lineRule="auto"/>
        <w:tabs>
          <w:tab w:leader="none" w:pos="149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37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SECTION 8.07. Collateral Matters.</w:t>
      </w:r>
    </w:p>
    <w:p>
      <w:pPr>
        <w:spacing w:after="0" w:line="200" w:lineRule="exact"/>
        <w:rPr>
          <w:sz w:val="20"/>
          <w:szCs w:val="20"/>
          <w:color w:val="auto"/>
        </w:rPr>
      </w:pPr>
    </w:p>
    <w:p>
      <w:pPr>
        <w:spacing w:after="0" w:line="353" w:lineRule="exact"/>
        <w:rPr>
          <w:sz w:val="20"/>
          <w:szCs w:val="20"/>
          <w:color w:val="auto"/>
        </w:rPr>
      </w:pPr>
    </w:p>
    <w:p>
      <w:pPr>
        <w:jc w:val="both"/>
        <w:ind w:left="200" w:right="219" w:firstLine="657"/>
        <w:spacing w:after="0" w:line="278" w:lineRule="auto"/>
        <w:tabs>
          <w:tab w:leader="none" w:pos="14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8" w:name="page219"/>
    <w:bookmarkEnd w:id="218"/>
    <w:p>
      <w:pPr>
        <w:ind w:left="200" w:right="239"/>
        <w:spacing w:after="0" w:line="288" w:lineRule="auto"/>
        <w:rPr>
          <w:sz w:val="20"/>
          <w:szCs w:val="20"/>
          <w:color w:val="auto"/>
        </w:rPr>
      </w:pPr>
      <w:r>
        <w:rPr>
          <w:rFonts w:ascii="Arial" w:cs="Arial" w:eastAsia="Arial" w:hAnsi="Arial"/>
          <w:sz w:val="19"/>
          <w:szCs w:val="19"/>
          <w:color w:val="auto"/>
        </w:rPr>
        <w:t>on behalf of the Secured Parties any Loan Documents necessary or appropriate to grant and perfect a Lien on such Collateral in favor of the Administrative Agent on behalf of the Secured Parties.</w:t>
      </w:r>
    </w:p>
    <w:p>
      <w:pPr>
        <w:spacing w:after="0" w:line="206" w:lineRule="exact"/>
        <w:rPr>
          <w:sz w:val="20"/>
          <w:szCs w:val="20"/>
          <w:color w:val="auto"/>
        </w:rPr>
      </w:pPr>
    </w:p>
    <w:p>
      <w:pPr>
        <w:jc w:val="both"/>
        <w:ind w:left="200" w:right="219" w:firstLine="657"/>
        <w:spacing w:after="0" w:line="278" w:lineRule="auto"/>
        <w:tabs>
          <w:tab w:leader="none" w:pos="14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204" w:lineRule="exact"/>
        <w:rPr>
          <w:rFonts w:ascii="Arial" w:cs="Arial" w:eastAsia="Arial" w:hAnsi="Arial"/>
          <w:sz w:val="18"/>
          <w:szCs w:val="18"/>
          <w:color w:val="auto"/>
        </w:rPr>
      </w:pPr>
    </w:p>
    <w:p>
      <w:pPr>
        <w:jc w:val="both"/>
        <w:ind w:left="200" w:right="219" w:firstLine="657"/>
        <w:spacing w:after="0" w:line="279" w:lineRule="auto"/>
        <w:tabs>
          <w:tab w:leader="none" w:pos="14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370" w:lineRule="exact"/>
        <w:rPr>
          <w:sz w:val="20"/>
          <w:szCs w:val="20"/>
          <w:color w:val="auto"/>
        </w:rPr>
      </w:pPr>
    </w:p>
    <w:p>
      <w:pPr>
        <w:jc w:val="both"/>
        <w:ind w:left="200" w:right="219" w:firstLine="1296"/>
        <w:spacing w:after="0" w:line="330"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Credit Bidding</w:t>
      </w:r>
      <w:r>
        <w:rPr>
          <w:rFonts w:ascii="Arial" w:cs="Arial" w:eastAsia="Arial" w:hAnsi="Arial"/>
          <w:sz w:val="16"/>
          <w:szCs w:val="16"/>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w:t>
      </w:r>
    </w:p>
    <w:p>
      <w:pPr>
        <w:spacing w:after="0" w:line="5" w:lineRule="exact"/>
        <w:rPr>
          <w:sz w:val="20"/>
          <w:szCs w:val="20"/>
          <w:color w:val="auto"/>
        </w:rPr>
      </w:pPr>
    </w:p>
    <w:p>
      <w:pPr>
        <w:jc w:val="both"/>
        <w:ind w:left="200" w:right="219" w:firstLine="9"/>
        <w:spacing w:after="0" w:line="296" w:lineRule="auto"/>
        <w:tabs>
          <w:tab w:leader="none" w:pos="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9" w:name="page220"/>
    <w:bookmarkEnd w:id="219"/>
    <w:p>
      <w:pPr>
        <w:jc w:val="both"/>
        <w:ind w:left="200" w:right="219"/>
        <w:spacing w:after="0" w:line="295" w:lineRule="auto"/>
        <w:rPr>
          <w:sz w:val="20"/>
          <w:szCs w:val="20"/>
          <w:color w:val="auto"/>
        </w:rPr>
      </w:pPr>
      <w:r>
        <w:rPr>
          <w:rFonts w:ascii="Arial" w:cs="Arial" w:eastAsia="Arial" w:hAnsi="Arial"/>
          <w:sz w:val="18"/>
          <w:szCs w:val="18"/>
          <w:color w:val="auto"/>
        </w:rPr>
        <w:t>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31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657"/>
        <w:spacing w:after="0" w:line="286" w:lineRule="auto"/>
        <w:tabs>
          <w:tab w:leader="none" w:pos="14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at least one of the following is and will be true:</w:t>
      </w:r>
    </w:p>
    <w:p>
      <w:pPr>
        <w:spacing w:after="0" w:line="198" w:lineRule="exact"/>
        <w:rPr>
          <w:sz w:val="20"/>
          <w:szCs w:val="20"/>
          <w:color w:val="auto"/>
        </w:rPr>
      </w:pPr>
    </w:p>
    <w:p>
      <w:pPr>
        <w:jc w:val="both"/>
        <w:ind w:left="1500" w:right="219" w:firstLine="329"/>
        <w:spacing w:after="0" w:line="257" w:lineRule="auto"/>
        <w:tabs>
          <w:tab w:leader="none" w:pos="208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79" w:lineRule="exact"/>
        <w:rPr>
          <w:sz w:val="20"/>
          <w:szCs w:val="20"/>
          <w:color w:val="auto"/>
        </w:rPr>
      </w:pPr>
    </w:p>
    <w:p>
      <w:pPr>
        <w:jc w:val="both"/>
        <w:ind w:left="1500" w:right="219" w:firstLine="324"/>
        <w:spacing w:after="0" w:line="278" w:lineRule="auto"/>
        <w:rPr>
          <w:sz w:val="20"/>
          <w:szCs w:val="20"/>
          <w:color w:val="auto"/>
        </w:rPr>
      </w:pPr>
      <w:r>
        <w:rPr>
          <w:rFonts w:ascii="Arial" w:cs="Arial" w:eastAsia="Arial" w:hAnsi="Arial"/>
          <w:sz w:val="18"/>
          <w:szCs w:val="18"/>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81" w:lineRule="exact"/>
        <w:rPr>
          <w:sz w:val="20"/>
          <w:szCs w:val="20"/>
          <w:color w:val="auto"/>
        </w:rPr>
      </w:pPr>
    </w:p>
    <w:p>
      <w:pPr>
        <w:ind w:left="1500" w:right="239" w:firstLine="329"/>
        <w:spacing w:after="0" w:line="316" w:lineRule="auto"/>
        <w:tabs>
          <w:tab w:leader="none" w:pos="214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299085</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20" w:name="page221"/>
    <w:bookmarkEnd w:id="220"/>
    <w:p>
      <w:pPr>
        <w:jc w:val="both"/>
        <w:ind w:left="1500" w:right="219"/>
        <w:spacing w:after="0" w:line="249" w:lineRule="auto"/>
        <w:rPr>
          <w:sz w:val="20"/>
          <w:szCs w:val="20"/>
          <w:color w:val="auto"/>
        </w:rPr>
      </w:pPr>
      <w:r>
        <w:rPr>
          <w:rFonts w:ascii="Arial" w:cs="Arial" w:eastAsia="Arial" w:hAnsi="Arial"/>
          <w:sz w:val="20"/>
          <w:szCs w:val="20"/>
          <w:color w:val="auto"/>
        </w:rPr>
        <w:t>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ind w:left="1500" w:right="219" w:firstLine="329"/>
        <w:spacing w:after="0" w:line="260" w:lineRule="auto"/>
        <w:tabs>
          <w:tab w:leader="none" w:pos="2148" w:val="left"/>
        </w:tabs>
        <w:numPr>
          <w:ilvl w:val="1"/>
          <w:numId w:val="197"/>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jc w:val="both"/>
        <w:ind w:left="200" w:right="219" w:firstLine="657"/>
        <w:spacing w:after="0" w:line="279" w:lineRule="auto"/>
        <w:tabs>
          <w:tab w:leader="none" w:pos="149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w:t>
      </w:r>
    </w:p>
    <w:p>
      <w:pPr>
        <w:spacing w:after="0" w:line="354" w:lineRule="exact"/>
        <w:rPr>
          <w:rFonts w:ascii="Arial" w:cs="Arial" w:eastAsia="Arial" w:hAnsi="Arial"/>
          <w:sz w:val="18"/>
          <w:szCs w:val="18"/>
          <w:color w:val="auto"/>
        </w:rPr>
      </w:pPr>
    </w:p>
    <w:p>
      <w:pPr>
        <w:jc w:val="both"/>
        <w:ind w:left="1500" w:right="219" w:firstLine="329"/>
        <w:spacing w:after="0" w:line="293" w:lineRule="auto"/>
        <w:tabs>
          <w:tab w:leader="none" w:pos="208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none of the Administrative Agent, or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0" w:lineRule="exact"/>
        <w:rPr>
          <w:sz w:val="20"/>
          <w:szCs w:val="20"/>
          <w:color w:val="auto"/>
        </w:rPr>
      </w:pPr>
    </w:p>
    <w:p>
      <w:pPr>
        <w:jc w:val="both"/>
        <w:ind w:left="1500" w:right="219" w:firstLine="324"/>
        <w:spacing w:after="0" w:line="265" w:lineRule="auto"/>
        <w:rPr>
          <w:sz w:val="20"/>
          <w:szCs w:val="20"/>
          <w:color w:val="auto"/>
        </w:rPr>
      </w:pPr>
      <w:r>
        <w:rPr>
          <w:rFonts w:ascii="Arial" w:cs="Arial" w:eastAsia="Arial" w:hAnsi="Arial"/>
          <w:sz w:val="19"/>
          <w:szCs w:val="19"/>
          <w:color w:val="auto"/>
        </w:rPr>
        <w:t>(ii)the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74" w:lineRule="exact"/>
        <w:rPr>
          <w:sz w:val="20"/>
          <w:szCs w:val="20"/>
          <w:color w:val="auto"/>
        </w:rPr>
      </w:pPr>
    </w:p>
    <w:p>
      <w:pPr>
        <w:jc w:val="both"/>
        <w:ind w:left="1500" w:right="219" w:firstLine="329"/>
        <w:spacing w:after="0" w:line="268" w:lineRule="auto"/>
        <w:tabs>
          <w:tab w:leader="none" w:pos="214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70" w:lineRule="exact"/>
        <w:rPr>
          <w:rFonts w:ascii="Arial" w:cs="Arial" w:eastAsia="Arial" w:hAnsi="Arial"/>
          <w:sz w:val="19"/>
          <w:szCs w:val="19"/>
          <w:color w:val="auto"/>
        </w:rPr>
      </w:pPr>
    </w:p>
    <w:p>
      <w:pPr>
        <w:jc w:val="both"/>
        <w:ind w:left="1500" w:right="219" w:firstLine="329"/>
        <w:spacing w:after="0" w:line="249" w:lineRule="auto"/>
        <w:tabs>
          <w:tab w:leader="none" w:pos="214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201" w:lineRule="exact"/>
        <w:rPr>
          <w:rFonts w:ascii="Arial" w:cs="Arial" w:eastAsia="Arial" w:hAnsi="Arial"/>
          <w:sz w:val="20"/>
          <w:szCs w:val="20"/>
          <w:color w:val="auto"/>
        </w:rPr>
      </w:pPr>
    </w:p>
    <w:p>
      <w:pPr>
        <w:ind w:left="1500" w:right="219" w:firstLine="329"/>
        <w:spacing w:after="0" w:line="316" w:lineRule="auto"/>
        <w:tabs>
          <w:tab w:leader="none" w:pos="208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or the Arranger or any their respective Affiliates for investment advice (as opposed to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307340</wp:posOffset>
            </wp:positionV>
            <wp:extent cx="545211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1" w:name="page222"/>
    <w:bookmarkEnd w:id="221"/>
    <w:p>
      <w:pPr>
        <w:ind w:left="1500" w:right="219"/>
        <w:spacing w:after="0" w:line="262" w:lineRule="auto"/>
        <w:rPr>
          <w:sz w:val="20"/>
          <w:szCs w:val="20"/>
          <w:color w:val="auto"/>
        </w:rPr>
      </w:pPr>
      <w:r>
        <w:rPr>
          <w:rFonts w:ascii="Arial" w:cs="Arial" w:eastAsia="Arial" w:hAnsi="Arial"/>
          <w:sz w:val="20"/>
          <w:szCs w:val="20"/>
          <w:color w:val="auto"/>
        </w:rPr>
        <w:t>services) in connection with the Loans, the Letters of Credit, the Commitments or this Agreement.</w:t>
      </w:r>
    </w:p>
    <w:p>
      <w:pPr>
        <w:spacing w:after="0" w:line="188" w:lineRule="exact"/>
        <w:rPr>
          <w:sz w:val="20"/>
          <w:szCs w:val="20"/>
          <w:color w:val="auto"/>
        </w:rPr>
      </w:pPr>
    </w:p>
    <w:p>
      <w:pPr>
        <w:jc w:val="both"/>
        <w:ind w:left="200" w:right="219" w:firstLine="657"/>
        <w:spacing w:after="0" w:line="276" w:lineRule="auto"/>
        <w:tabs>
          <w:tab w:leader="none" w:pos="149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Administrative Agent and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75"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Flood Laws</w:t>
      </w:r>
      <w:r>
        <w:rPr>
          <w:rFonts w:ascii="Arial" w:cs="Arial" w:eastAsia="Arial" w:hAnsi="Arial"/>
          <w:sz w:val="19"/>
          <w:szCs w:val="19"/>
          <w:color w:val="auto"/>
        </w:rPr>
        <w:t>. Chase has adopted internal policies and procedures that address requirements placed on federally regulated lenders under the National Flood Insurance Reform Act of 1994 and related legislation (the “</w:t>
      </w:r>
      <w:r>
        <w:rPr>
          <w:rFonts w:ascii="Arial" w:cs="Arial" w:eastAsia="Arial" w:hAnsi="Arial"/>
          <w:sz w:val="19"/>
          <w:szCs w:val="19"/>
          <w:u w:val="single" w:color="auto"/>
          <w:color w:val="auto"/>
        </w:rPr>
        <w:t>Flood Laws</w:t>
      </w:r>
      <w:r>
        <w:rPr>
          <w:rFonts w:ascii="Arial" w:cs="Arial" w:eastAsia="Arial" w:hAnsi="Arial"/>
          <w:sz w:val="19"/>
          <w:szCs w:val="19"/>
          <w:color w:val="auto"/>
        </w:rPr>
        <w:t>”). Chase, as administrative agent or collateral agent on a syndicated facility, will post on the applicable electronic platform (or otherwise distribute to each Lender in the syndicate) documents that it receives in connection with the Flood Laws. However, Chase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IX</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Miscellaneous</w:t>
      </w: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u w:val="single" w:color="auto"/>
          <w:color w:val="auto"/>
        </w:rPr>
        <w:t>Notices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1305"/>
        <w:spacing w:after="0" w:line="293" w:lineRule="auto"/>
        <w:tabs>
          <w:tab w:leader="none" w:pos="1771"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fax, as follows:</w:t>
      </w:r>
    </w:p>
    <w:p>
      <w:pPr>
        <w:spacing w:after="0" w:line="200" w:lineRule="exact"/>
        <w:rPr>
          <w:sz w:val="20"/>
          <w:szCs w:val="20"/>
          <w:color w:val="auto"/>
        </w:rPr>
      </w:pPr>
    </w:p>
    <w:p>
      <w:pPr>
        <w:spacing w:after="0" w:line="299" w:lineRule="exact"/>
        <w:rPr>
          <w:sz w:val="20"/>
          <w:szCs w:val="20"/>
          <w:color w:val="auto"/>
        </w:rPr>
      </w:pPr>
    </w:p>
    <w:p>
      <w:pPr>
        <w:ind w:left="2160" w:right="2739" w:hanging="655"/>
        <w:spacing w:after="0" w:line="838" w:lineRule="auto"/>
        <w:tabs>
          <w:tab w:leader="none" w:pos="21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to any Loan Party, to it in care of the Borrower at: Saga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545211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2" w:name="page223"/>
    <w:bookmarkEnd w:id="222"/>
    <w:p>
      <w:pPr>
        <w:ind w:left="2160"/>
        <w:spacing w:after="0"/>
        <w:rPr>
          <w:sz w:val="20"/>
          <w:szCs w:val="20"/>
          <w:color w:val="auto"/>
        </w:rPr>
      </w:pPr>
      <w:r>
        <w:rPr>
          <w:rFonts w:ascii="Arial" w:cs="Arial" w:eastAsia="Arial" w:hAnsi="Arial"/>
          <w:sz w:val="20"/>
          <w:szCs w:val="20"/>
          <w:color w:val="auto"/>
        </w:rPr>
        <w:t>73 Kercheval Ave.</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Grosse Pointe Farms, Michigan 48236</w:t>
      </w:r>
    </w:p>
    <w:p>
      <w:pPr>
        <w:spacing w:after="0" w:line="175" w:lineRule="exact"/>
        <w:rPr>
          <w:sz w:val="20"/>
          <w:szCs w:val="20"/>
          <w:color w:val="auto"/>
        </w:rPr>
      </w:pPr>
    </w:p>
    <w:p>
      <w:pPr>
        <w:ind w:left="2160" w:right="219"/>
        <w:spacing w:after="0" w:line="288" w:lineRule="auto"/>
        <w:rPr>
          <w:sz w:val="20"/>
          <w:szCs w:val="20"/>
          <w:color w:val="auto"/>
        </w:rPr>
      </w:pPr>
      <w:r>
        <w:rPr>
          <w:rFonts w:ascii="Arial" w:cs="Arial" w:eastAsia="Arial" w:hAnsi="Arial"/>
          <w:sz w:val="20"/>
          <w:szCs w:val="20"/>
          <w:color w:val="auto"/>
        </w:rPr>
        <w:t>Attention: Samuel D. Bush, Senior Vice President, Treasurer and Chief Financial Officer</w:t>
      </w:r>
    </w:p>
    <w:p>
      <w:pPr>
        <w:spacing w:after="0" w:line="96"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Telephone No: 313.886.7070</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Telecopier No: 313.886.7150</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sbush.sagacom.com</w:t>
      </w: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 if to the Administrative Agent or Swingline Lender at:</w:t>
      </w:r>
    </w:p>
    <w:p>
      <w:pPr>
        <w:spacing w:after="0" w:line="200" w:lineRule="exact"/>
        <w:rPr>
          <w:sz w:val="20"/>
          <w:szCs w:val="20"/>
          <w:color w:val="auto"/>
        </w:rPr>
      </w:pPr>
    </w:p>
    <w:p>
      <w:pPr>
        <w:spacing w:after="0" w:line="35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10 South Dearborn, Floor L2</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Suite IL1-0480</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Chicago, IL, 60603-2300</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Dia Alsabah</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dia.alsabah@chase.com</w:t>
      </w:r>
    </w:p>
    <w:p>
      <w:pPr>
        <w:spacing w:after="0" w:line="200" w:lineRule="exact"/>
        <w:rPr>
          <w:sz w:val="20"/>
          <w:szCs w:val="20"/>
          <w:color w:val="auto"/>
        </w:rPr>
      </w:pPr>
    </w:p>
    <w:p>
      <w:pPr>
        <w:spacing w:after="0" w:line="35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With copy(s) to:</w:t>
      </w:r>
    </w:p>
    <w:p>
      <w:pPr>
        <w:spacing w:after="0" w:line="200" w:lineRule="exact"/>
        <w:rPr>
          <w:sz w:val="20"/>
          <w:szCs w:val="20"/>
          <w:color w:val="auto"/>
        </w:rPr>
      </w:pPr>
    </w:p>
    <w:p>
      <w:pPr>
        <w:spacing w:after="0" w:line="367"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JPMorgan Chase Bank, N.A.</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Middle Market Servicing</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10 South Dearborn, Floor L2</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Suite IL1-0480</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Chicago, IL, 60603-2300</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Commercial Banking Group</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Fax No: (844) 490-5663</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jpm.agency.cri@jpmorgan.com</w:t>
      </w: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jpm.agency.servicing.1@jpmorgan.com</w:t>
      </w:r>
    </w:p>
    <w:p>
      <w:pPr>
        <w:spacing w:after="0" w:line="200" w:lineRule="exact"/>
        <w:rPr>
          <w:sz w:val="20"/>
          <w:szCs w:val="20"/>
          <w:color w:val="auto"/>
        </w:rPr>
      </w:pPr>
    </w:p>
    <w:p>
      <w:pPr>
        <w:spacing w:after="0" w:line="35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Agency Withholding Tax Inquiries:</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agency.tax.reporting@jpmorgan.com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23" w:name="page224"/>
    <w:bookmarkEnd w:id="223"/>
    <w:p>
      <w:pPr>
        <w:ind w:left="2160"/>
        <w:spacing w:after="0"/>
        <w:rPr>
          <w:sz w:val="20"/>
          <w:szCs w:val="20"/>
          <w:color w:val="auto"/>
        </w:rPr>
      </w:pPr>
      <w:r>
        <w:rPr>
          <w:rFonts w:ascii="Arial" w:cs="Arial" w:eastAsia="Arial" w:hAnsi="Arial"/>
          <w:sz w:val="20"/>
          <w:szCs w:val="20"/>
          <w:color w:val="auto"/>
        </w:rPr>
        <w:t>Agency Compliance/Financials/Intralinks:</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covenant.compliance@jpmchase.com</w:t>
      </w: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(iii) if to Issuing Bank at:</w:t>
      </w:r>
    </w:p>
    <w:p>
      <w:pPr>
        <w:spacing w:after="0" w:line="200" w:lineRule="exact"/>
        <w:rPr>
          <w:sz w:val="20"/>
          <w:szCs w:val="20"/>
          <w:color w:val="auto"/>
        </w:rPr>
      </w:pPr>
    </w:p>
    <w:p>
      <w:pPr>
        <w:spacing w:after="0" w:line="35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JPMorgan Chase Bank, N.A.</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10 South Dearborn, Floor L2</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Suite IL1-0480</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Chicago, IL, 60603-2300</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LC Agency Team</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Tel: 800-364-1969</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Fax: 856-294-5267</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chicago.lc.agency.activity.team@jpmchase.com</w:t>
      </w:r>
    </w:p>
    <w:p>
      <w:pPr>
        <w:spacing w:after="0" w:line="200" w:lineRule="exact"/>
        <w:rPr>
          <w:sz w:val="20"/>
          <w:szCs w:val="20"/>
          <w:color w:val="auto"/>
        </w:rPr>
      </w:pPr>
    </w:p>
    <w:p>
      <w:pPr>
        <w:spacing w:after="0" w:line="367"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With a copy to:</w:t>
      </w:r>
    </w:p>
    <w:p>
      <w:pPr>
        <w:spacing w:after="0" w:line="200" w:lineRule="exact"/>
        <w:rPr>
          <w:sz w:val="20"/>
          <w:szCs w:val="20"/>
          <w:color w:val="auto"/>
        </w:rPr>
      </w:pPr>
    </w:p>
    <w:p>
      <w:pPr>
        <w:spacing w:after="0" w:line="367"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JPMorgan Chase Bank, N.A.</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10 South Dearborn, Floor L2</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Suite IL1-0480</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Chicago, IL, 60603-2300</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Attention: Dia Alsabah</w:t>
      </w:r>
    </w:p>
    <w:p>
      <w:pPr>
        <w:spacing w:after="0" w:line="16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Email: dia.alsabah@chase.com</w:t>
      </w:r>
    </w:p>
    <w:p>
      <w:pPr>
        <w:spacing w:after="0" w:line="200" w:lineRule="exact"/>
        <w:rPr>
          <w:sz w:val="20"/>
          <w:szCs w:val="20"/>
          <w:color w:val="auto"/>
        </w:rPr>
      </w:pPr>
    </w:p>
    <w:p>
      <w:pPr>
        <w:spacing w:after="0" w:line="367" w:lineRule="exact"/>
        <w:rPr>
          <w:sz w:val="20"/>
          <w:szCs w:val="20"/>
          <w:color w:val="auto"/>
        </w:rPr>
      </w:pPr>
    </w:p>
    <w:p>
      <w:pPr>
        <w:ind w:left="1500" w:right="219" w:firstLine="5"/>
        <w:spacing w:after="0" w:line="288" w:lineRule="auto"/>
        <w:tabs>
          <w:tab w:leader="none" w:pos="1846"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if to any other Lender, to it at its address or fax number set forth in its Administrative Questionnaire.</w:t>
      </w:r>
    </w:p>
    <w:p>
      <w:pPr>
        <w:spacing w:after="0" w:line="200" w:lineRule="exact"/>
        <w:rPr>
          <w:sz w:val="20"/>
          <w:szCs w:val="20"/>
          <w:color w:val="auto"/>
        </w:rPr>
      </w:pPr>
    </w:p>
    <w:p>
      <w:pPr>
        <w:spacing w:after="0" w:line="274"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8"/>
          <w:szCs w:val="18"/>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normal business hours for the recipient, such notice or communication shall be deemed to have been given at the opening of business on the next Business Day of the recipient, or (iii) delivered through Electronic Systems or Approved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325120</wp:posOffset>
            </wp:positionV>
            <wp:extent cx="545211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24" w:name="page225"/>
    <w:bookmarkEnd w:id="224"/>
    <w:p>
      <w:pPr>
        <w:ind w:left="200" w:right="219"/>
        <w:spacing w:after="0" w:line="261" w:lineRule="auto"/>
        <w:rPr>
          <w:sz w:val="20"/>
          <w:szCs w:val="20"/>
          <w:color w:val="auto"/>
        </w:rPr>
      </w:pPr>
      <w:r>
        <w:rPr>
          <w:rFonts w:ascii="Arial" w:cs="Arial" w:eastAsia="Arial" w:hAnsi="Arial"/>
          <w:sz w:val="20"/>
          <w:szCs w:val="20"/>
          <w:color w:val="auto"/>
        </w:rPr>
        <w:t>Platforms, as applicable, to the extent provided in paragraph (b) below shall be effective as provided in such paragraph.</w:t>
      </w:r>
    </w:p>
    <w:p>
      <w:pPr>
        <w:spacing w:after="0" w:line="365" w:lineRule="exact"/>
        <w:rPr>
          <w:sz w:val="20"/>
          <w:szCs w:val="20"/>
          <w:color w:val="auto"/>
        </w:rPr>
      </w:pPr>
    </w:p>
    <w:p>
      <w:pPr>
        <w:jc w:val="both"/>
        <w:ind w:left="200" w:right="219" w:firstLine="1305"/>
        <w:spacing w:after="0" w:line="276" w:lineRule="auto"/>
        <w:tabs>
          <w:tab w:leader="none" w:pos="191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Notices and other communications to the Lenders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0" w:lineRule="exact"/>
        <w:rPr>
          <w:rFonts w:ascii="Arial" w:cs="Arial" w:eastAsia="Arial" w:hAnsi="Arial"/>
          <w:sz w:val="18"/>
          <w:szCs w:val="18"/>
          <w:color w:val="auto"/>
        </w:rPr>
      </w:pPr>
    </w:p>
    <w:p>
      <w:pPr>
        <w:ind w:left="200" w:right="219" w:firstLine="1305"/>
        <w:spacing w:after="0" w:line="274" w:lineRule="auto"/>
        <w:tabs>
          <w:tab w:leader="none" w:pos="1889"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party hereto may change its address, facsimile number or e-mail address for notices and other communications hereunder by notice to the other parties hereto.</w:t>
      </w:r>
    </w:p>
    <w:p>
      <w:pPr>
        <w:spacing w:after="0" w:line="20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Waivers; Amendments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80" w:lineRule="auto"/>
        <w:tabs>
          <w:tab w:leader="none" w:pos="186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0" w:lineRule="exact"/>
        <w:rPr>
          <w:rFonts w:ascii="Arial" w:cs="Arial" w:eastAsia="Arial" w:hAnsi="Arial"/>
          <w:sz w:val="19"/>
          <w:szCs w:val="19"/>
          <w:color w:val="auto"/>
        </w:rPr>
      </w:pPr>
    </w:p>
    <w:p>
      <w:pPr>
        <w:spacing w:after="0" w:line="306" w:lineRule="exact"/>
        <w:rPr>
          <w:rFonts w:ascii="Arial" w:cs="Arial" w:eastAsia="Arial" w:hAnsi="Arial"/>
          <w:sz w:val="19"/>
          <w:szCs w:val="19"/>
          <w:color w:val="auto"/>
        </w:rPr>
      </w:pPr>
    </w:p>
    <w:p>
      <w:pPr>
        <w:jc w:val="both"/>
        <w:ind w:left="200" w:right="219" w:firstLine="1305"/>
        <w:spacing w:after="0" w:line="322" w:lineRule="auto"/>
        <w:tabs>
          <w:tab w:leader="none" w:pos="214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Section 2.13(c), (d) and (e) and Section 9.02(e), neither this Agreement nor any other Loan Document nor any provision hereof or thereof may be waived, amended or modified except (i) in the case of this Agreement, pursuant to an agreement or agreements in writing entered into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304800</wp:posOffset>
            </wp:positionV>
            <wp:extent cx="545211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5" w:name="page226"/>
    <w:bookmarkEnd w:id="225"/>
    <w:p>
      <w:pPr>
        <w:jc w:val="both"/>
        <w:ind w:left="200" w:right="219"/>
        <w:spacing w:after="0" w:line="295" w:lineRule="auto"/>
        <w:rPr>
          <w:sz w:val="20"/>
          <w:szCs w:val="20"/>
          <w:color w:val="auto"/>
        </w:rPr>
      </w:pPr>
      <w:r>
        <w:rPr>
          <w:rFonts w:ascii="Arial" w:cs="Arial" w:eastAsia="Arial" w:hAnsi="Arial"/>
          <w:sz w:val="18"/>
          <w:szCs w:val="18"/>
          <w:color w:val="auto"/>
        </w:rPr>
        <w:t xml:space="preserve">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2.17(b) or (d) in a manner that would alter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Section 2.19, without the consent of each Lender (other than any Defaulting Lender), (G) release any material Loan Guarantor from its obligation under its Loan Guaranty or Obligation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2.19 shall require the consent of the Administrative Agent, the Swingline Lender and the Issuing Bank); provided further that no such agreement shall amend or modify the provisions of Section 2.07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w:t>
      </w:r>
    </w:p>
    <w:p>
      <w:pPr>
        <w:spacing w:after="0" w:line="200" w:lineRule="exact"/>
        <w:rPr>
          <w:sz w:val="20"/>
          <w:szCs w:val="20"/>
          <w:color w:val="auto"/>
        </w:rPr>
      </w:pPr>
    </w:p>
    <w:p>
      <w:pPr>
        <w:spacing w:after="0" w:line="273" w:lineRule="exact"/>
        <w:rPr>
          <w:sz w:val="20"/>
          <w:szCs w:val="20"/>
          <w:color w:val="auto"/>
        </w:rPr>
      </w:pPr>
    </w:p>
    <w:p>
      <w:pPr>
        <w:jc w:val="both"/>
        <w:ind w:left="200" w:right="219" w:firstLine="1305"/>
        <w:spacing w:after="0" w:line="279" w:lineRule="auto"/>
        <w:tabs>
          <w:tab w:leader="none" w:pos="21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collateralization of all Unliquidated Obligations in a manner satisfactory to each affected Lender,</w:t>
      </w:r>
    </w:p>
    <w:p>
      <w:pPr>
        <w:spacing w:after="0" w:line="8" w:lineRule="exact"/>
        <w:rPr>
          <w:sz w:val="20"/>
          <w:szCs w:val="20"/>
          <w:color w:val="auto"/>
        </w:rPr>
      </w:pPr>
    </w:p>
    <w:p>
      <w:pPr>
        <w:jc w:val="both"/>
        <w:ind w:left="200" w:right="219" w:firstLine="9"/>
        <w:spacing w:after="0" w:line="248" w:lineRule="auto"/>
        <w:tabs>
          <w:tab w:leader="none" w:pos="50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constituting property being sold or disposed of if the Loan Party disposing of such property certifies to the Administrative Agent that the sale or disposition is made in compliance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26" w:name="page227"/>
    <w:bookmarkEnd w:id="226"/>
    <w:p>
      <w:pPr>
        <w:jc w:val="both"/>
        <w:ind w:left="200" w:right="219"/>
        <w:spacing w:after="0" w:line="260" w:lineRule="auto"/>
        <w:rPr>
          <w:sz w:val="20"/>
          <w:szCs w:val="20"/>
          <w:color w:val="auto"/>
        </w:rPr>
      </w:pPr>
      <w:r>
        <w:rPr>
          <w:rFonts w:ascii="Arial" w:cs="Arial" w:eastAsia="Arial" w:hAnsi="Arial"/>
          <w:sz w:val="19"/>
          <w:szCs w:val="19"/>
          <w:color w:val="auto"/>
        </w:rPr>
        <w:t xml:space="preserve">(and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in its discretion, release its Liens on Collateral valued in the aggregate not in excess of $1,000,000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6" w:lineRule="exact"/>
        <w:rPr>
          <w:sz w:val="20"/>
          <w:szCs w:val="20"/>
          <w:color w:val="auto"/>
        </w:rPr>
      </w:pPr>
    </w:p>
    <w:p>
      <w:pPr>
        <w:jc w:val="both"/>
        <w:ind w:left="200" w:right="219" w:firstLine="1305"/>
        <w:spacing w:after="0" w:line="274" w:lineRule="auto"/>
        <w:tabs>
          <w:tab w:leader="none" w:pos="214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then the Borrower may elect to replace a Non-Consenting Lender as a Lender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w:t>
      </w:r>
    </w:p>
    <w:p>
      <w:pPr>
        <w:spacing w:after="0" w:line="1" w:lineRule="exact"/>
        <w:rPr>
          <w:rFonts w:ascii="Arial" w:cs="Arial" w:eastAsia="Arial" w:hAnsi="Arial"/>
          <w:sz w:val="18"/>
          <w:szCs w:val="18"/>
          <w:color w:val="auto"/>
        </w:rPr>
      </w:pPr>
    </w:p>
    <w:p>
      <w:pPr>
        <w:ind w:left="500" w:hanging="291"/>
        <w:spacing w:after="0"/>
        <w:tabs>
          <w:tab w:leader="none" w:pos="5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Section 9.04, and (ii) the Borrower shall pay to such Non-Consenting Lender in same day funds on</w:t>
      </w:r>
    </w:p>
    <w:p>
      <w:pPr>
        <w:spacing w:after="0" w:line="27"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8"/>
          <w:szCs w:val="18"/>
          <w:color w:val="auto"/>
        </w:rPr>
        <w:t>the day of such replacement (1) all interest, fees and other amounts then accrued but unpaid to such Non-Consenting Lender by the Borrower hereunder to and including the date of termination, including without limitation payments due to such Non-Consenting Lender under Sections 2.14 and 2.16, and (2) an amount, if any, equal to the payment which would have been due to such Lender on the day of such replacement under Section 2.15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2" w:lineRule="exact"/>
        <w:rPr>
          <w:sz w:val="20"/>
          <w:szCs w:val="20"/>
          <w:color w:val="auto"/>
        </w:rPr>
      </w:pPr>
    </w:p>
    <w:p>
      <w:pPr>
        <w:jc w:val="both"/>
        <w:ind w:left="200" w:right="219" w:firstLine="1305"/>
        <w:spacing w:after="0" w:line="257" w:lineRule="auto"/>
        <w:tabs>
          <w:tab w:leader="none" w:pos="2144"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u w:val="single" w:color="auto"/>
          <w:color w:val="auto"/>
        </w:rPr>
        <w:t>Expenses; Indemnity; Damage Waiver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7" w:name="page228"/>
    <w:bookmarkEnd w:id="227"/>
    <w:p>
      <w:pPr>
        <w:jc w:val="both"/>
        <w:ind w:left="200" w:right="219" w:firstLine="657"/>
        <w:spacing w:after="0" w:line="259" w:lineRule="auto"/>
        <w:tabs>
          <w:tab w:leader="none" w:pos="1496" w:val="left"/>
        </w:tabs>
        <w:numPr>
          <w:ilvl w:val="0"/>
          <w:numId w:val="211"/>
        </w:numPr>
        <w:rPr>
          <w:rFonts w:ascii="Arial" w:cs="Arial" w:eastAsia="Arial" w:hAnsi="Arial"/>
          <w:sz w:val="21"/>
          <w:szCs w:val="21"/>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Loan Parties, jointly and severally, shall pay all (i) reasonable out of pocket expenses incurred by the Administrative Agent and its Affiliates, including the reasonable fees, charges and disbursements of counsel for the Administrative Agent,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16" w:lineRule="exact"/>
        <w:rPr>
          <w:rFonts w:ascii="Arial" w:cs="Arial" w:eastAsia="Arial" w:hAnsi="Arial"/>
          <w:sz w:val="21"/>
          <w:szCs w:val="21"/>
          <w:color w:val="auto"/>
        </w:rPr>
      </w:pPr>
    </w:p>
    <w:p>
      <w:pPr>
        <w:ind w:left="2800" w:hanging="647"/>
        <w:spacing w:after="0"/>
        <w:tabs>
          <w:tab w:leader="none" w:pos="2800" w:val="left"/>
        </w:tabs>
        <w:numPr>
          <w:ilvl w:val="1"/>
          <w:numId w:val="211"/>
        </w:numPr>
        <w:rPr>
          <w:rFonts w:ascii="Arial" w:cs="Arial" w:eastAsia="Arial" w:hAnsi="Arial"/>
          <w:sz w:val="22"/>
          <w:szCs w:val="22"/>
          <w:color w:val="auto"/>
        </w:rPr>
      </w:pPr>
      <w:r>
        <w:rPr>
          <w:rFonts w:ascii="Arial" w:cs="Arial" w:eastAsia="Arial" w:hAnsi="Arial"/>
          <w:sz w:val="20"/>
          <w:szCs w:val="20"/>
          <w:color w:val="auto"/>
        </w:rPr>
        <w:t>appraisals and insurance reviews;</w:t>
      </w:r>
    </w:p>
    <w:p>
      <w:pPr>
        <w:spacing w:after="0" w:line="222" w:lineRule="exact"/>
        <w:rPr>
          <w:rFonts w:ascii="Arial" w:cs="Arial" w:eastAsia="Arial" w:hAnsi="Arial"/>
          <w:sz w:val="22"/>
          <w:szCs w:val="22"/>
          <w:color w:val="auto"/>
        </w:rPr>
      </w:pPr>
    </w:p>
    <w:p>
      <w:pPr>
        <w:jc w:val="both"/>
        <w:ind w:left="860" w:right="219" w:firstLine="1293"/>
        <w:spacing w:after="0" w:line="263" w:lineRule="auto"/>
        <w:tabs>
          <w:tab w:leader="none" w:pos="2804" w:val="left"/>
        </w:tabs>
        <w:numPr>
          <w:ilvl w:val="1"/>
          <w:numId w:val="211"/>
        </w:numPr>
        <w:rPr>
          <w:rFonts w:ascii="Arial" w:cs="Arial" w:eastAsia="Arial" w:hAnsi="Arial"/>
          <w:sz w:val="21"/>
          <w:szCs w:val="21"/>
          <w:color w:val="auto"/>
        </w:rPr>
      </w:pPr>
      <w:r>
        <w:rPr>
          <w:rFonts w:ascii="Arial" w:cs="Arial" w:eastAsia="Arial" w:hAnsi="Arial"/>
          <w:sz w:val="19"/>
          <w:szCs w:val="19"/>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215" w:lineRule="exact"/>
        <w:rPr>
          <w:rFonts w:ascii="Arial" w:cs="Arial" w:eastAsia="Arial" w:hAnsi="Arial"/>
          <w:sz w:val="21"/>
          <w:szCs w:val="21"/>
          <w:color w:val="auto"/>
        </w:rPr>
      </w:pPr>
    </w:p>
    <w:p>
      <w:pPr>
        <w:ind w:left="860" w:right="239" w:firstLine="1293"/>
        <w:spacing w:after="0" w:line="303" w:lineRule="auto"/>
        <w:tabs>
          <w:tab w:leader="none" w:pos="2804" w:val="left"/>
        </w:tabs>
        <w:numPr>
          <w:ilvl w:val="1"/>
          <w:numId w:val="211"/>
        </w:numPr>
        <w:rPr>
          <w:rFonts w:ascii="Arial" w:cs="Arial" w:eastAsia="Arial" w:hAnsi="Arial"/>
          <w:sz w:val="19"/>
          <w:szCs w:val="19"/>
          <w:color w:val="auto"/>
        </w:rPr>
      </w:pPr>
      <w:r>
        <w:rPr>
          <w:rFonts w:ascii="Arial" w:cs="Arial" w:eastAsia="Arial" w:hAnsi="Arial"/>
          <w:sz w:val="18"/>
          <w:szCs w:val="18"/>
          <w:color w:val="auto"/>
        </w:rPr>
        <w:t>background checks regarding senior management and/or key investors, as deemed necessary or appropriate in the sole discretion of the Administrative Agent;</w:t>
      </w:r>
    </w:p>
    <w:p>
      <w:pPr>
        <w:spacing w:after="0" w:line="164" w:lineRule="exact"/>
        <w:rPr>
          <w:rFonts w:ascii="Arial" w:cs="Arial" w:eastAsia="Arial" w:hAnsi="Arial"/>
          <w:sz w:val="19"/>
          <w:szCs w:val="19"/>
          <w:color w:val="auto"/>
        </w:rPr>
      </w:pPr>
    </w:p>
    <w:p>
      <w:pPr>
        <w:jc w:val="both"/>
        <w:ind w:left="860" w:right="239" w:firstLine="1293"/>
        <w:spacing w:after="0" w:line="244" w:lineRule="auto"/>
        <w:tabs>
          <w:tab w:leader="none" w:pos="2804" w:val="left"/>
        </w:tabs>
        <w:numPr>
          <w:ilvl w:val="1"/>
          <w:numId w:val="211"/>
        </w:numPr>
        <w:rPr>
          <w:rFonts w:ascii="Arial" w:cs="Arial" w:eastAsia="Arial" w:hAnsi="Arial"/>
          <w:sz w:val="22"/>
          <w:szCs w:val="22"/>
          <w:color w:val="auto"/>
        </w:rPr>
      </w:pPr>
      <w:r>
        <w:rPr>
          <w:rFonts w:ascii="Arial" w:cs="Arial" w:eastAsia="Arial" w:hAnsi="Arial"/>
          <w:sz w:val="20"/>
          <w:szCs w:val="20"/>
          <w:color w:val="auto"/>
        </w:rPr>
        <w:t>Taxes, fees and other charges for (i) lien and title searches and title insurance and (ii) recording the Mortgages, filing financing statements and continuations, and other actions to perfect, protect, and continue the Administrative Agent’s Liens;</w:t>
      </w:r>
    </w:p>
    <w:p>
      <w:pPr>
        <w:spacing w:after="0" w:line="233" w:lineRule="exact"/>
        <w:rPr>
          <w:rFonts w:ascii="Arial" w:cs="Arial" w:eastAsia="Arial" w:hAnsi="Arial"/>
          <w:sz w:val="22"/>
          <w:szCs w:val="22"/>
          <w:color w:val="auto"/>
        </w:rPr>
      </w:pPr>
    </w:p>
    <w:p>
      <w:pPr>
        <w:ind w:left="860" w:right="239" w:firstLine="1293"/>
        <w:spacing w:after="0" w:line="238" w:lineRule="auto"/>
        <w:tabs>
          <w:tab w:leader="none" w:pos="2804" w:val="left"/>
        </w:tabs>
        <w:numPr>
          <w:ilvl w:val="1"/>
          <w:numId w:val="211"/>
        </w:numPr>
        <w:rPr>
          <w:rFonts w:ascii="Arial" w:cs="Arial" w:eastAsia="Arial" w:hAnsi="Arial"/>
          <w:sz w:val="22"/>
          <w:szCs w:val="22"/>
          <w:color w:val="auto"/>
        </w:rPr>
      </w:pPr>
      <w:r>
        <w:rPr>
          <w:rFonts w:ascii="Arial" w:cs="Arial" w:eastAsia="Arial" w:hAnsi="Arial"/>
          <w:sz w:val="20"/>
          <w:szCs w:val="20"/>
          <w:color w:val="auto"/>
        </w:rPr>
        <w:t>sums paid or incurred to take any action required of any Loan Party under the Loan Documents that such Loan Party fails to pay or take; and</w:t>
      </w:r>
    </w:p>
    <w:p>
      <w:pPr>
        <w:spacing w:after="0" w:line="236" w:lineRule="exact"/>
        <w:rPr>
          <w:rFonts w:ascii="Arial" w:cs="Arial" w:eastAsia="Arial" w:hAnsi="Arial"/>
          <w:sz w:val="22"/>
          <w:szCs w:val="22"/>
          <w:color w:val="auto"/>
        </w:rPr>
      </w:pPr>
    </w:p>
    <w:p>
      <w:pPr>
        <w:jc w:val="both"/>
        <w:ind w:left="860" w:right="219" w:firstLine="1293"/>
        <w:spacing w:after="0" w:line="244" w:lineRule="auto"/>
        <w:tabs>
          <w:tab w:leader="none" w:pos="2804" w:val="left"/>
        </w:tabs>
        <w:numPr>
          <w:ilvl w:val="1"/>
          <w:numId w:val="211"/>
        </w:numPr>
        <w:rPr>
          <w:rFonts w:ascii="Arial" w:cs="Arial" w:eastAsia="Arial" w:hAnsi="Arial"/>
          <w:sz w:val="22"/>
          <w:szCs w:val="22"/>
          <w:color w:val="auto"/>
        </w:rPr>
      </w:pPr>
      <w:r>
        <w:rPr>
          <w:rFonts w:ascii="Arial" w:cs="Arial" w:eastAsia="Arial" w:hAnsi="Arial"/>
          <w:sz w:val="20"/>
          <w:szCs w:val="20"/>
          <w:color w:val="auto"/>
        </w:rPr>
        <w:t>forwarding loan proceeds, collecting checks and other items of payment, and establishing and maintaining the accounts and lock boxes, and costs and expenses of preserving and protecting the Collateral.</w:t>
      </w:r>
    </w:p>
    <w:p>
      <w:pPr>
        <w:spacing w:after="0" w:line="207" w:lineRule="exact"/>
        <w:rPr>
          <w:sz w:val="20"/>
          <w:szCs w:val="20"/>
          <w:color w:val="auto"/>
        </w:rPr>
      </w:pPr>
    </w:p>
    <w:p>
      <w:pPr>
        <w:ind w:left="200" w:right="219"/>
        <w:spacing w:after="0" w:line="288" w:lineRule="auto"/>
        <w:rPr>
          <w:sz w:val="20"/>
          <w:szCs w:val="20"/>
          <w:color w:val="auto"/>
        </w:rPr>
      </w:pPr>
      <w:r>
        <w:rPr>
          <w:rFonts w:ascii="Arial" w:cs="Arial" w:eastAsia="Arial" w:hAnsi="Arial"/>
          <w:sz w:val="20"/>
          <w:szCs w:val="20"/>
          <w:color w:val="auto"/>
        </w:rPr>
        <w:t xml:space="preserve">All of the foregoing fees, costs and expenses may be charged to the Borrower as Revolving Loans or to another deposit account, all as described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77" w:lineRule="exact"/>
        <w:rPr>
          <w:sz w:val="20"/>
          <w:szCs w:val="20"/>
          <w:color w:val="auto"/>
        </w:rPr>
      </w:pPr>
    </w:p>
    <w:p>
      <w:pPr>
        <w:jc w:val="both"/>
        <w:ind w:left="200" w:right="219" w:firstLine="657"/>
        <w:spacing w:after="0" w:line="280" w:lineRule="auto"/>
        <w:tabs>
          <w:tab w:leader="none" w:pos="1496" w:val="left"/>
        </w:tabs>
        <w:numPr>
          <w:ilvl w:val="0"/>
          <w:numId w:val="212"/>
        </w:numPr>
        <w:rPr>
          <w:rFonts w:ascii="Arial" w:cs="Arial" w:eastAsia="Arial" w:hAnsi="Arial"/>
          <w:sz w:val="19"/>
          <w:szCs w:val="19"/>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extent permitted by applicable law (i) neither the Borrower nor any Loan Party shall assert, and the Borrower and each Loan Party hereby waives, any claim against the Administrative Agent, any Arranger, any Issuing Bank and any Lender, and any Related Party of any of the foregoing Persons (each such Person being called a “</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228" w:name="page229"/>
    <w:bookmarkEnd w:id="228"/>
    <w:p>
      <w:pPr>
        <w:jc w:val="both"/>
        <w:ind w:left="200" w:right="219"/>
        <w:spacing w:after="0" w:line="265" w:lineRule="auto"/>
        <w:rPr>
          <w:sz w:val="20"/>
          <w:szCs w:val="20"/>
          <w:color w:val="auto"/>
        </w:rPr>
      </w:pPr>
      <w:r>
        <w:rPr>
          <w:rFonts w:ascii="Arial" w:cs="Arial" w:eastAsia="Arial" w:hAnsi="Arial"/>
          <w:sz w:val="19"/>
          <w:szCs w:val="19"/>
          <w:color w:val="auto"/>
        </w:rPr>
        <w:t>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214" w:lineRule="exact"/>
        <w:rPr>
          <w:sz w:val="20"/>
          <w:szCs w:val="20"/>
          <w:color w:val="auto"/>
        </w:rPr>
      </w:pPr>
    </w:p>
    <w:p>
      <w:pPr>
        <w:jc w:val="both"/>
        <w:ind w:left="200" w:right="219" w:firstLine="657"/>
        <w:spacing w:after="0" w:line="291" w:lineRule="auto"/>
        <w:tabs>
          <w:tab w:leader="none" w:pos="1496" w:val="left"/>
        </w:tabs>
        <w:numPr>
          <w:ilvl w:val="0"/>
          <w:numId w:val="213"/>
        </w:numPr>
        <w:rPr>
          <w:rFonts w:ascii="Arial" w:cs="Arial" w:eastAsia="Arial" w:hAnsi="Arial"/>
          <w:sz w:val="18"/>
          <w:szCs w:val="18"/>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The Loan Parties, jointly and severally, shall indemnify the Administrative Agent, each Arranger,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(ii) the performance by the parties hereto of their respective obligations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a Loan Party or a Subsidiary, or any Environmental Liability related in any way to a Loan Party or a Subsidiary, (v) the failure of a Loan Party to deliver to the Administrative Agent the required receipts or other required documentary evidence with respect to a payment made by such Loan Party for Taxes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(vi)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This </w:t>
      </w:r>
      <w:r>
        <w:rPr>
          <w:rFonts w:ascii="Arial" w:cs="Arial" w:eastAsia="Arial" w:hAnsi="Arial"/>
          <w:sz w:val="17"/>
          <w:szCs w:val="17"/>
          <w:u w:val="single" w:color="auto"/>
          <w:color w:val="auto"/>
        </w:rPr>
        <w:t>Section 9.03(c)</w:t>
      </w:r>
      <w:r>
        <w:rPr>
          <w:rFonts w:ascii="Arial" w:cs="Arial" w:eastAsia="Arial" w:hAnsi="Arial"/>
          <w:sz w:val="17"/>
          <w:szCs w:val="17"/>
          <w:color w:val="auto"/>
        </w:rPr>
        <w:t xml:space="preserve"> shall not apply with respect to Taxes other than any Taxes that represent losses or damages arising from any non-Tax claim.</w:t>
      </w:r>
    </w:p>
    <w:p>
      <w:pPr>
        <w:spacing w:after="0" w:line="185" w:lineRule="exact"/>
        <w:rPr>
          <w:rFonts w:ascii="Arial" w:cs="Arial" w:eastAsia="Arial" w:hAnsi="Arial"/>
          <w:sz w:val="18"/>
          <w:szCs w:val="18"/>
          <w:color w:val="auto"/>
        </w:rPr>
      </w:pPr>
    </w:p>
    <w:p>
      <w:pPr>
        <w:jc w:val="both"/>
        <w:ind w:left="200" w:right="219" w:firstLine="657"/>
        <w:spacing w:after="0" w:line="292" w:lineRule="auto"/>
        <w:tabs>
          <w:tab w:leader="none" w:pos="1496" w:val="left"/>
        </w:tabs>
        <w:numPr>
          <w:ilvl w:val="0"/>
          <w:numId w:val="213"/>
        </w:numPr>
        <w:rPr>
          <w:rFonts w:ascii="Arial" w:cs="Arial" w:eastAsia="Arial" w:hAnsi="Arial"/>
          <w:sz w:val="18"/>
          <w:szCs w:val="18"/>
          <w:color w:val="auto"/>
        </w:rPr>
      </w:pPr>
      <w:r>
        <w:rPr>
          <w:rFonts w:ascii="Arial" w:cs="Arial" w:eastAsia="Arial" w:hAnsi="Arial"/>
          <w:sz w:val="17"/>
          <w:szCs w:val="17"/>
          <w:u w:val="single" w:color="auto"/>
          <w:color w:val="auto"/>
        </w:rPr>
        <w:t>Lender Reimbursement</w:t>
      </w:r>
      <w:r>
        <w:rPr>
          <w:rFonts w:ascii="Arial" w:cs="Arial" w:eastAsia="Arial" w:hAnsi="Arial"/>
          <w:sz w:val="17"/>
          <w:szCs w:val="17"/>
          <w:color w:val="auto"/>
        </w:rPr>
        <w:t xml:space="preserve">. Each Lender severally agrees to pay any amount required to be paid by any Loan Party under paragraphs (a), (b) or (c) of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to the Administrative Agent, the Swingline Lender and each Issuing Bank, and each Related Party of any of the foregoing Persons (each, an “</w:t>
      </w:r>
      <w:r>
        <w:rPr>
          <w:rFonts w:ascii="Arial" w:cs="Arial" w:eastAsia="Arial" w:hAnsi="Arial"/>
          <w:sz w:val="17"/>
          <w:szCs w:val="17"/>
          <w:u w:val="single" w:color="auto"/>
          <w:color w:val="auto"/>
        </w:rPr>
        <w:t>Agent-Related Person</w:t>
      </w:r>
      <w:r>
        <w:rPr>
          <w:rFonts w:ascii="Arial" w:cs="Arial" w:eastAsia="Arial" w:hAnsi="Arial"/>
          <w:sz w:val="17"/>
          <w:szCs w:val="17"/>
          <w:color w:val="auto"/>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472440</wp:posOffset>
            </wp:positionV>
            <wp:extent cx="54521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9" w:name="page230"/>
    <w:bookmarkEnd w:id="229"/>
    <w:p>
      <w:pPr>
        <w:ind w:left="200" w:right="219"/>
        <w:spacing w:after="0" w:line="261" w:lineRule="auto"/>
        <w:rPr>
          <w:sz w:val="20"/>
          <w:szCs w:val="20"/>
          <w:color w:val="auto"/>
        </w:rPr>
      </w:pPr>
      <w:r>
        <w:rPr>
          <w:rFonts w:ascii="Arial" w:cs="Arial" w:eastAsia="Arial" w:hAnsi="Arial"/>
          <w:sz w:val="20"/>
          <w:szCs w:val="20"/>
          <w:color w:val="auto"/>
        </w:rPr>
        <w:t>willful misconduct. The agreements in this Section shall survive the termination of this Agreement and Payment in Full of the Secured Obligations.</w:t>
      </w:r>
    </w:p>
    <w:p>
      <w:pPr>
        <w:spacing w:after="0" w:line="216" w:lineRule="exact"/>
        <w:rPr>
          <w:sz w:val="20"/>
          <w:szCs w:val="20"/>
          <w:color w:val="auto"/>
        </w:rPr>
      </w:pPr>
    </w:p>
    <w:p>
      <w:pPr>
        <w:ind w:left="1500" w:hanging="643"/>
        <w:spacing w:after="0"/>
        <w:tabs>
          <w:tab w:leader="none" w:pos="1500" w:val="left"/>
        </w:tabs>
        <w:numPr>
          <w:ilvl w:val="0"/>
          <w:numId w:val="214"/>
        </w:numPr>
        <w:rPr>
          <w:rFonts w:ascii="Arial" w:cs="Arial" w:eastAsia="Arial" w:hAnsi="Arial"/>
          <w:sz w:val="19"/>
          <w:szCs w:val="19"/>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Section 9.03 shall be payable after written demand</w:t>
      </w:r>
    </w:p>
    <w:p>
      <w:pPr>
        <w:spacing w:after="0" w:line="27"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0"/>
          <w:szCs w:val="20"/>
          <w:color w:val="auto"/>
        </w:rPr>
        <w:t>therefor.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9.04. </w:t>
      </w:r>
      <w:r>
        <w:rPr>
          <w:rFonts w:ascii="Arial" w:cs="Arial" w:eastAsia="Arial" w:hAnsi="Arial"/>
          <w:sz w:val="20"/>
          <w:szCs w:val="20"/>
          <w:u w:val="single" w:color="auto"/>
          <w:color w:val="auto"/>
        </w:rPr>
        <w:t>Successors and Assigns.</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80" w:lineRule="auto"/>
        <w:tabs>
          <w:tab w:leader="none" w:pos="183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00" w:lineRule="exact"/>
        <w:rPr>
          <w:sz w:val="20"/>
          <w:szCs w:val="20"/>
          <w:color w:val="auto"/>
        </w:rPr>
      </w:pPr>
    </w:p>
    <w:p>
      <w:pPr>
        <w:spacing w:after="0" w:line="319"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(b)(i)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of:</w:t>
      </w:r>
    </w:p>
    <w:p>
      <w:pPr>
        <w:spacing w:after="0" w:line="200" w:lineRule="exact"/>
        <w:rPr>
          <w:sz w:val="20"/>
          <w:szCs w:val="20"/>
          <w:color w:val="auto"/>
        </w:rPr>
      </w:pPr>
    </w:p>
    <w:p>
      <w:pPr>
        <w:spacing w:after="0" w:line="320" w:lineRule="exact"/>
        <w:rPr>
          <w:sz w:val="20"/>
          <w:szCs w:val="20"/>
          <w:color w:val="auto"/>
        </w:rPr>
      </w:pPr>
    </w:p>
    <w:p>
      <w:pPr>
        <w:jc w:val="both"/>
        <w:ind w:left="860" w:right="219" w:firstLine="1293"/>
        <w:spacing w:after="0" w:line="269" w:lineRule="auto"/>
        <w:tabs>
          <w:tab w:leader="none" w:pos="2804"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consent of the Borrower shall be required for an assignment to a Lender, an Affiliate of a Lender, an Approved Fund or, if an Event of Default has occurred and is continuing, any other assignee;</w:t>
      </w:r>
    </w:p>
    <w:p>
      <w:pPr>
        <w:spacing w:after="0" w:line="200" w:lineRule="exact"/>
        <w:rPr>
          <w:rFonts w:ascii="Arial" w:cs="Arial" w:eastAsia="Arial" w:hAnsi="Arial"/>
          <w:sz w:val="20"/>
          <w:szCs w:val="20"/>
          <w:color w:val="auto"/>
        </w:rPr>
      </w:pPr>
    </w:p>
    <w:p>
      <w:pPr>
        <w:spacing w:after="0" w:line="305" w:lineRule="exact"/>
        <w:rPr>
          <w:rFonts w:ascii="Arial" w:cs="Arial" w:eastAsia="Arial" w:hAnsi="Arial"/>
          <w:sz w:val="20"/>
          <w:szCs w:val="20"/>
          <w:color w:val="auto"/>
        </w:rPr>
      </w:pPr>
    </w:p>
    <w:p>
      <w:pPr>
        <w:ind w:left="2800" w:hanging="647"/>
        <w:spacing w:after="0"/>
        <w:tabs>
          <w:tab w:leader="none" w:pos="28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Administrative Agent;</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800" w:hanging="647"/>
        <w:spacing w:after="0"/>
        <w:tabs>
          <w:tab w:leader="none" w:pos="28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Issuing Bank; and</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800" w:hanging="647"/>
        <w:spacing w:after="0"/>
        <w:tabs>
          <w:tab w:leader="none" w:pos="28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0" w:name="page231"/>
    <w:bookmarkEnd w:id="230"/>
    <w:p>
      <w:pPr>
        <w:ind w:left="2160" w:hanging="655"/>
        <w:spacing w:after="0"/>
        <w:tabs>
          <w:tab w:leader="none" w:pos="216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860" w:right="219" w:firstLine="1293"/>
        <w:spacing w:after="0" w:line="284" w:lineRule="auto"/>
        <w:tabs>
          <w:tab w:leader="none" w:pos="280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has occurred and is continuing;</w:t>
      </w: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860" w:right="239" w:firstLine="1293"/>
        <w:spacing w:after="0" w:line="316" w:lineRule="auto"/>
        <w:tabs>
          <w:tab w:leader="none" w:pos="280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each partial assignment shall be made as an assignment of a proportionate part of all the assigning Lender’s rights and obligations under this Agreement;</w:t>
      </w:r>
    </w:p>
    <w:p>
      <w:pPr>
        <w:spacing w:after="0" w:line="200" w:lineRule="exact"/>
        <w:rPr>
          <w:rFonts w:ascii="Arial" w:cs="Arial" w:eastAsia="Arial" w:hAnsi="Arial"/>
          <w:sz w:val="19"/>
          <w:szCs w:val="19"/>
          <w:color w:val="auto"/>
        </w:rPr>
      </w:pPr>
    </w:p>
    <w:p>
      <w:pPr>
        <w:spacing w:after="0" w:line="277" w:lineRule="exact"/>
        <w:rPr>
          <w:rFonts w:ascii="Arial" w:cs="Arial" w:eastAsia="Arial" w:hAnsi="Arial"/>
          <w:sz w:val="19"/>
          <w:szCs w:val="19"/>
          <w:color w:val="auto"/>
        </w:rPr>
      </w:pPr>
    </w:p>
    <w:p>
      <w:pPr>
        <w:jc w:val="both"/>
        <w:ind w:left="860" w:right="239" w:firstLine="1293"/>
        <w:spacing w:after="0" w:line="306" w:lineRule="auto"/>
        <w:tabs>
          <w:tab w:leader="none" w:pos="280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both"/>
        <w:ind w:left="860" w:right="219" w:firstLine="1293"/>
        <w:spacing w:after="0" w:line="301" w:lineRule="auto"/>
        <w:tabs>
          <w:tab w:leader="none" w:pos="280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319"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0"/>
          <w:szCs w:val="20"/>
          <w:color w:val="auto"/>
        </w:rPr>
        <w:t>For the purposes of this Section 9.04(b), the terms “</w:t>
      </w:r>
      <w:r>
        <w:rPr>
          <w:rFonts w:ascii="Arial" w:cs="Arial" w:eastAsia="Arial" w:hAnsi="Arial"/>
          <w:sz w:val="20"/>
          <w:szCs w:val="20"/>
          <w:u w:val="single" w:color="auto"/>
          <w:color w:val="auto"/>
        </w:rPr>
        <w:t>Approved Fund</w:t>
      </w:r>
      <w:r>
        <w:rPr>
          <w:rFonts w:ascii="Arial" w:cs="Arial" w:eastAsia="Arial" w:hAnsi="Arial"/>
          <w:sz w:val="20"/>
          <w:szCs w:val="20"/>
          <w:color w:val="auto"/>
        </w:rPr>
        <w:t>” and “</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have the following meanings:</w:t>
      </w:r>
    </w:p>
    <w:p>
      <w:pPr>
        <w:spacing w:after="0" w:line="366"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304" w:lineRule="exact"/>
        <w:rPr>
          <w:sz w:val="20"/>
          <w:szCs w:val="20"/>
          <w:color w:val="auto"/>
        </w:rPr>
      </w:pPr>
    </w:p>
    <w:p>
      <w:pPr>
        <w:jc w:val="both"/>
        <w:ind w:left="200" w:right="219" w:firstLine="648"/>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xml:space="preserve">” means a (a) natural person, (b) a Defaulting Lender or its Parent, (c) company, investment vehicle or trust for, or owned and operated for the primary benefit of, a natural person or relative(s)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company, investment vehicle or trust shall not constitute an Ineligible Institution if it (x) has not been established for the primary purpose of acquiring any Loans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231" w:name="page232"/>
    <w:bookmarkEnd w:id="231"/>
    <w:p>
      <w:pPr>
        <w:jc w:val="both"/>
        <w:ind w:left="200" w:right="219"/>
        <w:spacing w:after="0" w:line="286" w:lineRule="auto"/>
        <w:rPr>
          <w:sz w:val="20"/>
          <w:szCs w:val="20"/>
          <w:color w:val="auto"/>
        </w:rPr>
      </w:pPr>
      <w:r>
        <w:rPr>
          <w:rFonts w:ascii="Arial" w:cs="Arial" w:eastAsia="Arial" w:hAnsi="Arial"/>
          <w:sz w:val="19"/>
          <w:szCs w:val="19"/>
          <w:color w:val="auto"/>
        </w:rPr>
        <w:t>Revolving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200" w:lineRule="exact"/>
        <w:rPr>
          <w:sz w:val="20"/>
          <w:szCs w:val="20"/>
          <w:color w:val="auto"/>
        </w:rPr>
      </w:pPr>
    </w:p>
    <w:p>
      <w:pPr>
        <w:spacing w:after="0" w:line="307" w:lineRule="exact"/>
        <w:rPr>
          <w:sz w:val="20"/>
          <w:szCs w:val="20"/>
          <w:color w:val="auto"/>
        </w:rPr>
      </w:pPr>
    </w:p>
    <w:p>
      <w:pPr>
        <w:jc w:val="both"/>
        <w:ind w:left="200" w:right="219" w:firstLine="1305"/>
        <w:spacing w:after="0" w:line="297" w:lineRule="auto"/>
        <w:tabs>
          <w:tab w:leader="none" w:pos="214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left="200" w:right="219" w:firstLine="1305"/>
        <w:spacing w:after="0" w:line="341" w:lineRule="auto"/>
        <w:tabs>
          <w:tab w:leader="none" w:pos="21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jc w:val="both"/>
        <w:ind w:left="200" w:right="219" w:firstLine="1305"/>
        <w:spacing w:after="0" w:line="281" w:lineRule="auto"/>
        <w:tabs>
          <w:tab w:leader="none" w:pos="2144"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2.04, 2.05(d) or (e), 2.06(b), 2.17(d)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574040</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2" w:name="page233"/>
    <w:bookmarkEnd w:id="232"/>
    <w:p>
      <w:pPr>
        <w:jc w:val="both"/>
        <w:ind w:left="200" w:right="219" w:firstLine="1305"/>
        <w:spacing w:after="0" w:line="294" w:lineRule="auto"/>
        <w:tabs>
          <w:tab w:leader="none" w:pos="181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Lender may, without the consent of, or notice to, the Borrower, the Administrative Agent, the Swingline Lender or the Issuing Bank,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other than an Ineligible Institution in all or a portion of such Lender’s rights and/or obligations under this Agreement (including all or a portion of its Revolving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w:t>
      </w:r>
    </w:p>
    <w:p>
      <w:pPr>
        <w:spacing w:after="0" w:line="1" w:lineRule="exact"/>
        <w:rPr>
          <w:rFonts w:ascii="Arial" w:cs="Arial" w:eastAsia="Arial" w:hAnsi="Arial"/>
          <w:sz w:val="18"/>
          <w:szCs w:val="18"/>
          <w:color w:val="auto"/>
        </w:rPr>
      </w:pPr>
    </w:p>
    <w:p>
      <w:pPr>
        <w:jc w:val="both"/>
        <w:ind w:left="200" w:right="219" w:firstLine="9"/>
        <w:spacing w:after="0" w:line="295" w:lineRule="auto"/>
        <w:tabs>
          <w:tab w:leader="none" w:pos="52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2.14, 2.15 and 2.16 (subject to the requirements and limitations therein, including the requirements under Sections 2.16(f) and (g) (it being understood that the documentation required under Section 2.16(f) shall be delivered to the participating Lender and the information and documentation required under Section 2.16(g) will be delivered to the Borrower and the Administrative Agent))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Sections 2.17 and 2.18 as if it were an assignee under paragraph (b) of this Section; and (B) shall not be entitled to receive any greater payment under Sections 2.14 or 2.16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312"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8"/>
          <w:szCs w:val="18"/>
          <w:color w:val="auto"/>
        </w:rPr>
        <w:t>Each Lender that sells a participation agrees, at the Borrower’s request and expense, to use reasonable efforts to cooperate with the Borrower to effectuate the provisions of Section 2.18(b) with respect to any Participant. To the extent permitted by law, each Participant also shall be entitled to the benefits of Section 9.08 as though it were a Lender, provided such Participant agrees to be subject to Section 2.17(d)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573405</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3" w:name="page234"/>
    <w:bookmarkEnd w:id="233"/>
    <w:p>
      <w:pPr>
        <w:jc w:val="both"/>
        <w:ind w:left="200" w:right="219" w:firstLine="1305"/>
        <w:spacing w:after="0" w:line="285" w:lineRule="auto"/>
        <w:tabs>
          <w:tab w:leader="none" w:pos="214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309"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Revolving Commitments have not expired or terminated. The provisions of Sections 2.14, 2.15, 2.16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other Loan Document or any provision hereof or thereof.</w:t>
      </w:r>
    </w:p>
    <w:p>
      <w:pPr>
        <w:spacing w:after="0" w:line="200" w:lineRule="exact"/>
        <w:rPr>
          <w:sz w:val="20"/>
          <w:szCs w:val="20"/>
          <w:color w:val="auto"/>
        </w:rPr>
      </w:pPr>
    </w:p>
    <w:p>
      <w:pPr>
        <w:spacing w:after="0" w:line="3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9.06. </w:t>
      </w:r>
      <w:r>
        <w:rPr>
          <w:rFonts w:ascii="Arial" w:cs="Arial" w:eastAsia="Arial" w:hAnsi="Arial"/>
          <w:sz w:val="20"/>
          <w:szCs w:val="20"/>
          <w:u w:val="single" w:color="auto"/>
          <w:color w:val="auto"/>
        </w:rPr>
        <w:t>Counterparts; Integration; Effectiveness; Electronic Execution.</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97" w:lineRule="auto"/>
        <w:tabs>
          <w:tab w:leader="none" w:pos="179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jc w:val="both"/>
        <w:ind w:left="200" w:right="219" w:firstLine="1305"/>
        <w:spacing w:after="0" w:line="306" w:lineRule="auto"/>
        <w:tabs>
          <w:tab w:leader="none" w:pos="18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4" w:name="page235"/>
    <w:bookmarkEnd w:id="234"/>
    <w:p>
      <w:pPr>
        <w:jc w:val="both"/>
        <w:ind w:left="200" w:right="219"/>
        <w:spacing w:after="0" w:line="293" w:lineRule="auto"/>
        <w:rPr>
          <w:sz w:val="20"/>
          <w:szCs w:val="20"/>
          <w:color w:val="auto"/>
        </w:rPr>
      </w:pPr>
      <w:r>
        <w:rPr>
          <w:rFonts w:ascii="Arial" w:cs="Arial" w:eastAsia="Arial" w:hAnsi="Arial"/>
          <w:sz w:val="18"/>
          <w:szCs w:val="18"/>
          <w:color w:val="auto"/>
        </w:rPr>
        <w:t>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w:t>
      </w:r>
    </w:p>
    <w:p>
      <w:pPr>
        <w:spacing w:after="0" w:line="9" w:lineRule="exact"/>
        <w:rPr>
          <w:sz w:val="20"/>
          <w:szCs w:val="20"/>
          <w:color w:val="auto"/>
        </w:rPr>
      </w:pPr>
    </w:p>
    <w:p>
      <w:pPr>
        <w:jc w:val="both"/>
        <w:ind w:left="200" w:right="219" w:firstLine="9"/>
        <w:spacing w:after="0" w:line="295" w:lineRule="auto"/>
        <w:tabs>
          <w:tab w:leader="none" w:pos="44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306"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581025</wp:posOffset>
            </wp:positionV>
            <wp:extent cx="545211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5" w:name="page236"/>
    <w:bookmarkEnd w:id="235"/>
    <w:p>
      <w:pPr>
        <w:jc w:val="both"/>
        <w:ind w:left="200" w:right="219" w:firstLine="1296"/>
        <w:spacing w:after="0" w:line="296"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2.19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provided that the failure to give such notice shall not affect the validity of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w:t>
      </w:r>
    </w:p>
    <w:p>
      <w:pPr>
        <w:spacing w:after="0" w:line="200" w:lineRule="exact"/>
        <w:rPr>
          <w:sz w:val="20"/>
          <w:szCs w:val="20"/>
          <w:color w:val="auto"/>
        </w:rPr>
      </w:pPr>
    </w:p>
    <w:p>
      <w:pPr>
        <w:spacing w:after="0" w:line="29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9.09.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w:t>
      </w:r>
    </w:p>
    <w:p>
      <w:pPr>
        <w:spacing w:after="0" w:line="200" w:lineRule="exact"/>
        <w:rPr>
          <w:sz w:val="20"/>
          <w:szCs w:val="20"/>
          <w:color w:val="auto"/>
        </w:rPr>
      </w:pPr>
    </w:p>
    <w:p>
      <w:pPr>
        <w:spacing w:after="0" w:line="353" w:lineRule="exact"/>
        <w:rPr>
          <w:sz w:val="20"/>
          <w:szCs w:val="20"/>
          <w:color w:val="auto"/>
        </w:rPr>
      </w:pPr>
    </w:p>
    <w:p>
      <w:pPr>
        <w:jc w:val="both"/>
        <w:ind w:left="200" w:right="219" w:firstLine="1305"/>
        <w:spacing w:after="0" w:line="299" w:lineRule="auto"/>
        <w:tabs>
          <w:tab w:leader="none" w:pos="188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Loan Documents (other than those containing a contrary express choice of law provision) shall be governed by and construed in accordance with the internal laws (and not the law of conflicts) of the State of Michigan, but giving effect to federal laws applicable to national banks.</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jc w:val="both"/>
        <w:ind w:left="200" w:right="219" w:firstLine="1305"/>
        <w:spacing w:after="0" w:line="297" w:lineRule="auto"/>
        <w:tabs>
          <w:tab w:leader="none" w:pos="189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submits, for itself and its property, to the exclusive jurisdiction of any U.S. federal court in Michigan or Michigan state court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570865</wp:posOffset>
            </wp:positionV>
            <wp:extent cx="545211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6" w:name="page237"/>
    <w:bookmarkEnd w:id="236"/>
    <w:p>
      <w:pPr>
        <w:jc w:val="both"/>
        <w:ind w:left="200" w:right="219" w:firstLine="1305"/>
        <w:spacing w:after="0" w:line="269" w:lineRule="auto"/>
        <w:tabs>
          <w:tab w:leader="none" w:pos="183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00" w:lineRule="exact"/>
        <w:rPr>
          <w:rFonts w:ascii="Arial" w:cs="Arial" w:eastAsia="Arial" w:hAnsi="Arial"/>
          <w:sz w:val="20"/>
          <w:szCs w:val="20"/>
          <w:color w:val="auto"/>
        </w:rPr>
      </w:pPr>
    </w:p>
    <w:p>
      <w:pPr>
        <w:spacing w:after="0" w:line="318" w:lineRule="exact"/>
        <w:rPr>
          <w:rFonts w:ascii="Arial" w:cs="Arial" w:eastAsia="Arial" w:hAnsi="Arial"/>
          <w:sz w:val="20"/>
          <w:szCs w:val="20"/>
          <w:color w:val="auto"/>
        </w:rPr>
      </w:pPr>
    </w:p>
    <w:p>
      <w:pPr>
        <w:jc w:val="both"/>
        <w:ind w:left="200" w:right="219" w:firstLine="1305"/>
        <w:spacing w:after="0" w:line="314" w:lineRule="auto"/>
        <w:tabs>
          <w:tab w:leader="none" w:pos="18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spacing w:after="0" w:line="284"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left="200" w:right="219" w:firstLine="9"/>
        <w:spacing w:after="0" w:line="271" w:lineRule="auto"/>
        <w:tabs>
          <w:tab w:leader="none" w:pos="518"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317"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317" w:lineRule="exact"/>
        <w:rPr>
          <w:sz w:val="20"/>
          <w:szCs w:val="20"/>
          <w:color w:val="auto"/>
        </w:rPr>
      </w:pPr>
    </w:p>
    <w:p>
      <w:pPr>
        <w:jc w:val="both"/>
        <w:ind w:left="200" w:right="219" w:firstLine="1296"/>
        <w:spacing w:after="0" w:line="29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322580</wp:posOffset>
            </wp:positionV>
            <wp:extent cx="545211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7" w:name="page238"/>
    <w:bookmarkEnd w:id="237"/>
    <w:p>
      <w:pPr>
        <w:jc w:val="both"/>
        <w:ind w:left="200" w:right="219"/>
        <w:spacing w:after="0" w:line="294" w:lineRule="auto"/>
        <w:rPr>
          <w:sz w:val="20"/>
          <w:szCs w:val="20"/>
          <w:color w:val="auto"/>
        </w:rPr>
      </w:pPr>
      <w:r>
        <w:rPr>
          <w:rFonts w:ascii="Arial" w:cs="Arial" w:eastAsia="Arial" w:hAnsi="Arial"/>
          <w:sz w:val="18"/>
          <w:szCs w:val="18"/>
          <w:color w:val="auto"/>
        </w:rPr>
        <w:t>and their obligations, (g) with the consent of the Borrower, (h) to any Person providing a Guarantee of all or any portion of the Secured Obligations, (i)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or (j) to the extent such Information</w:t>
      </w:r>
    </w:p>
    <w:p>
      <w:pPr>
        <w:spacing w:after="0" w:line="1" w:lineRule="exact"/>
        <w:rPr>
          <w:sz w:val="20"/>
          <w:szCs w:val="20"/>
          <w:color w:val="auto"/>
        </w:rPr>
      </w:pPr>
    </w:p>
    <w:p>
      <w:pPr>
        <w:jc w:val="both"/>
        <w:ind w:left="200" w:right="219" w:firstLine="9"/>
        <w:spacing w:after="0" w:line="297" w:lineRule="auto"/>
        <w:tabs>
          <w:tab w:leader="none" w:pos="48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304" w:lineRule="exact"/>
        <w:rPr>
          <w:sz w:val="20"/>
          <w:szCs w:val="20"/>
          <w:color w:val="auto"/>
        </w:rPr>
      </w:pPr>
    </w:p>
    <w:p>
      <w:pPr>
        <w:jc w:val="both"/>
        <w:ind w:left="200" w:right="219" w:firstLine="1296"/>
        <w:spacing w:after="0" w:line="266"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Several Obligations; Nonreliance; Violation of Law</w:t>
      </w:r>
      <w:r>
        <w:rPr>
          <w:rFonts w:ascii="Arial" w:cs="Arial" w:eastAsia="Arial" w:hAnsi="Arial"/>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350"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373"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Disclosure</w:t>
      </w:r>
      <w:r>
        <w:rPr>
          <w:rFonts w:ascii="Arial" w:cs="Arial" w:eastAsia="Arial" w:hAnsi="Arial"/>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342"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38" w:name="page239"/>
    <w:bookmarkEnd w:id="238"/>
    <w:p>
      <w:pPr>
        <w:jc w:val="both"/>
        <w:ind w:left="200" w:right="239"/>
        <w:spacing w:after="0" w:line="261" w:lineRule="auto"/>
        <w:rPr>
          <w:sz w:val="20"/>
          <w:szCs w:val="20"/>
          <w:color w:val="auto"/>
        </w:rPr>
      </w:pPr>
      <w:r>
        <w:rPr>
          <w:rFonts w:ascii="Arial" w:cs="Arial" w:eastAsia="Arial" w:hAnsi="Arial"/>
          <w:sz w:val="20"/>
          <w:szCs w:val="20"/>
          <w:color w:val="auto"/>
        </w:rPr>
        <w:t>Administrative Agent or otherwise deal with such Collateral in accordance with the Administrative Agent’s instructions.</w:t>
      </w:r>
    </w:p>
    <w:p>
      <w:pPr>
        <w:spacing w:after="0" w:line="203"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8" w:lineRule="exact"/>
        <w:rPr>
          <w:sz w:val="20"/>
          <w:szCs w:val="20"/>
          <w:color w:val="auto"/>
        </w:rPr>
      </w:pPr>
    </w:p>
    <w:p>
      <w:pPr>
        <w:jc w:val="both"/>
        <w:ind w:left="200" w:right="219" w:firstLine="1296"/>
        <w:spacing w:after="0" w:line="261"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No Fiduciary Duty, etc</w:t>
      </w:r>
      <w:r>
        <w:rPr>
          <w:rFonts w:ascii="Arial" w:cs="Arial" w:eastAsia="Arial" w:hAnsi="Arial"/>
          <w:sz w:val="19"/>
          <w:szCs w:val="19"/>
          <w:color w:val="auto"/>
        </w:rPr>
        <w:t>.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 contemplated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205"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4"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19"/>
          <w:szCs w:val="19"/>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342265</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39" w:name="page240"/>
    <w:bookmarkEnd w:id="239"/>
    <w:p>
      <w:pPr>
        <w:jc w:val="both"/>
        <w:ind w:left="200" w:right="219" w:firstLine="1296"/>
        <w:spacing w:after="0" w:line="252" w:lineRule="auto"/>
        <w:rPr>
          <w:sz w:val="20"/>
          <w:szCs w:val="20"/>
          <w:color w:val="auto"/>
        </w:rPr>
      </w:pPr>
      <w:r>
        <w:rPr>
          <w:rFonts w:ascii="Arial" w:cs="Arial" w:eastAsia="Arial" w:hAnsi="Arial"/>
          <w:sz w:val="20"/>
          <w:szCs w:val="20"/>
          <w:color w:val="auto"/>
        </w:rPr>
        <w:t xml:space="preserve">SECTION 9.19. </w:t>
      </w:r>
      <w:r>
        <w:rPr>
          <w:rFonts w:ascii="Arial" w:cs="Arial" w:eastAsia="Arial" w:hAnsi="Arial"/>
          <w:sz w:val="20"/>
          <w:szCs w:val="20"/>
          <w:u w:val="single" w:color="auto"/>
          <w:color w:val="auto"/>
        </w:rPr>
        <w:t>Marketing Consent</w:t>
      </w:r>
      <w:r>
        <w:rPr>
          <w:rFonts w:ascii="Arial" w:cs="Arial" w:eastAsia="Arial" w:hAnsi="Arial"/>
          <w:sz w:val="20"/>
          <w:szCs w:val="20"/>
          <w:color w:val="auto"/>
        </w:rPr>
        <w:t>. The Borrower hereby authorizes JPMCB and its affiliates (including without limitation JPMorgan Securities LLC) (collectively, the “</w:t>
      </w:r>
      <w:r>
        <w:rPr>
          <w:rFonts w:ascii="Arial" w:cs="Arial" w:eastAsia="Arial" w:hAnsi="Arial"/>
          <w:sz w:val="20"/>
          <w:szCs w:val="20"/>
          <w:u w:val="single" w:color="auto"/>
          <w:color w:val="auto"/>
        </w:rPr>
        <w:t>JPMCB Parties</w:t>
      </w:r>
      <w:r>
        <w:rPr>
          <w:rFonts w:ascii="Arial" w:cs="Arial" w:eastAsia="Arial" w:hAnsi="Arial"/>
          <w:sz w:val="20"/>
          <w:szCs w:val="20"/>
          <w:color w:val="auto"/>
        </w:rPr>
        <w:t>”), at their respective sole expense, but without any prior approval by the Borrower, to publish such tombstones and give such other publicity to this Agreement as each may from time to time determine in its sole discretion. The foregoing authorization shall remain in effect unless the Borrower notifies JPMCB in writing that such authorization is revoked.</w:t>
      </w:r>
    </w:p>
    <w:p>
      <w:pPr>
        <w:spacing w:after="0" w:line="212"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FCC Compliance</w:t>
      </w:r>
      <w:r>
        <w:rPr>
          <w:rFonts w:ascii="Arial" w:cs="Arial" w:eastAsia="Arial" w:hAnsi="Arial"/>
          <w:sz w:val="18"/>
          <w:szCs w:val="18"/>
          <w:color w:val="auto"/>
        </w:rPr>
        <w:t>. Notwithstanding anything to the contrary contained herein or in any of the Collateral Documents, the Administrative Agent and the other Credit Parties will not take any action pursuant to this Agreement or any of the Collateral Documents that would constitute or result in any assignment of an FCC License, Auxiliary License, Secondary Station License, Satellite Earth Station License (as such term is defined in the Communications Act) or Relocation Weather Radar License (as such term is defined in the Communications Act), or any change of control of the Broadcasting Stations if such assignment of FCC License, Auxiliary License, Secondary Station License, Satellite Earth Station License or Relocation Weather Radar License, or change of control would require under then existing law (including the published rules and regulations promulgated by the FCC), the prior approval of the FCC, without first obtaining such approval of the FCC. The Administrative Agent and each other Credit Party specifically agree that (a) voting rights in the Equity Interests of the Loan Parties (the "</w:t>
      </w:r>
      <w:r>
        <w:rPr>
          <w:rFonts w:ascii="Arial" w:cs="Arial" w:eastAsia="Arial" w:hAnsi="Arial"/>
          <w:sz w:val="18"/>
          <w:szCs w:val="18"/>
          <w:u w:val="single" w:color="auto"/>
          <w:color w:val="auto"/>
        </w:rPr>
        <w:t>Pledged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will remain with the holders of such voting rights upon and following the occurrence of an Event of Default unless any required prior approvals of the FCC to the transfer of such voting rights shall have been obtained; (b) upon and following the occurrence of any Event of Default and foreclosure upon the Pledged Equity Interests by the Administrative Agent and the Credit Parties, there will be either a public or private arm's-length sale of the Pledged Equity Interests; and (c) prior to the exercise of voting rights by the purchaser at any such sale, all prior consents of the FCC required by applicable law will be obtained. The Borrower agrees to take any action which the Administrative Agent and/or the other Credit Parties may reasonably request in order to obtain and enjoy the full rights and benefits granted to the Administrative Agent and the Credit Parties by this Agreement including specifically, at the Borrower's own cost and expense, the use of the commercially reasonable efforts of the Borrower to assist in obtaining approval of the FCC, if applicable, for any action or transaction contemplated by this Agreement or the Collateral Documents which is then required by law, and specifically, without limitation, upon request following the occurrence of an Event of Default, to prepare, sign and file (or cause to be prepared, signed or filed) with the FCC any portion of any application or applications for consent to the assignment of license or transfer of control required to be signed by the Borrower and necessary or appropriate under the FCC's rules and regulations for approval of any sale or transfer of any of the Equity Interests or assets of the Borrower or any Subsidiary or any transfer of control over any FCC License, Auxiliary License, Secondary Station License, Satellite Earth Station License or Relocation Weather Radar License.</w:t>
      </w:r>
    </w:p>
    <w:p>
      <w:pPr>
        <w:spacing w:after="0" w:line="221" w:lineRule="exact"/>
        <w:rPr>
          <w:sz w:val="20"/>
          <w:szCs w:val="20"/>
          <w:color w:val="auto"/>
        </w:rPr>
      </w:pPr>
    </w:p>
    <w:p>
      <w:pPr>
        <w:jc w:val="both"/>
        <w:ind w:left="200" w:right="219" w:firstLine="324"/>
        <w:spacing w:after="0" w:line="266" w:lineRule="auto"/>
        <w:rPr>
          <w:sz w:val="20"/>
          <w:szCs w:val="20"/>
          <w:color w:val="auto"/>
        </w:rPr>
      </w:pPr>
      <w:r>
        <w:rPr>
          <w:rFonts w:ascii="Arial" w:cs="Arial" w:eastAsia="Arial" w:hAnsi="Arial"/>
          <w:sz w:val="20"/>
          <w:szCs w:val="20"/>
          <w:color w:val="auto"/>
        </w:rPr>
        <w:t xml:space="preserve">SECTION 9.21. </w:t>
      </w:r>
      <w:r>
        <w:rPr>
          <w:rFonts w:ascii="Arial" w:cs="Arial" w:eastAsia="Arial" w:hAnsi="Arial"/>
          <w:sz w:val="20"/>
          <w:szCs w:val="20"/>
          <w:u w:val="single" w:color="auto"/>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9" w:lineRule="exact"/>
        <w:rPr>
          <w:sz w:val="20"/>
          <w:szCs w:val="20"/>
          <w:color w:val="auto"/>
        </w:rPr>
      </w:pPr>
    </w:p>
    <w:p>
      <w:pPr>
        <w:jc w:val="both"/>
        <w:ind w:left="200" w:right="219" w:firstLine="1305"/>
        <w:spacing w:after="0" w:line="278" w:lineRule="auto"/>
        <w:tabs>
          <w:tab w:leader="none" w:pos="2144"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Arial" w:cs="Arial" w:eastAsia="Arial" w:hAnsi="Arial"/>
          <w:sz w:val="20"/>
          <w:szCs w:val="20"/>
          <w:color w:val="auto"/>
        </w:rPr>
      </w:pPr>
    </w:p>
    <w:p>
      <w:pPr>
        <w:ind w:left="2160" w:hanging="655"/>
        <w:spacing w:after="0"/>
        <w:tabs>
          <w:tab w:leader="none" w:pos="216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368935</wp:posOffset>
            </wp:positionV>
            <wp:extent cx="54521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40" w:name="page241"/>
    <w:bookmarkEnd w:id="240"/>
    <w:p>
      <w:pPr>
        <w:ind w:left="2800" w:hanging="647"/>
        <w:spacing w:after="0"/>
        <w:tabs>
          <w:tab w:leader="none" w:pos="280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500" w:right="219" w:firstLine="653"/>
        <w:spacing w:after="0" w:line="286" w:lineRule="auto"/>
        <w:tabs>
          <w:tab w:leader="none" w:pos="2796" w:val="left"/>
        </w:tabs>
        <w:numPr>
          <w:ilvl w:val="1"/>
          <w:numId w:val="229"/>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6" w:lineRule="exact"/>
        <w:rPr>
          <w:rFonts w:ascii="Arial" w:cs="Arial" w:eastAsia="Arial" w:hAnsi="Arial"/>
          <w:sz w:val="19"/>
          <w:szCs w:val="19"/>
          <w:color w:val="auto"/>
        </w:rPr>
      </w:pPr>
    </w:p>
    <w:p>
      <w:pPr>
        <w:ind w:left="200" w:right="219" w:firstLine="657"/>
        <w:spacing w:after="0" w:line="260" w:lineRule="auto"/>
        <w:tabs>
          <w:tab w:leader="none" w:pos="1496"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204"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20"/>
          <w:szCs w:val="20"/>
          <w:color w:val="auto"/>
        </w:rPr>
        <w:t>SECTION 9.22.</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56" w:lineRule="exact"/>
        <w:rPr>
          <w:sz w:val="20"/>
          <w:szCs w:val="20"/>
          <w:color w:val="auto"/>
        </w:rPr>
      </w:pPr>
    </w:p>
    <w:p>
      <w:pPr>
        <w:jc w:val="both"/>
        <w:ind w:left="200" w:right="219" w:firstLine="657"/>
        <w:spacing w:after="0" w:line="276" w:lineRule="auto"/>
        <w:tabs>
          <w:tab w:leader="none" w:pos="1496" w:val="left"/>
        </w:tabs>
        <w:numPr>
          <w:ilvl w:val="0"/>
          <w:numId w:val="231"/>
        </w:numPr>
        <w:rPr>
          <w:rFonts w:ascii="Arial" w:cs="Arial" w:eastAsia="Arial" w:hAnsi="Arial"/>
          <w:sz w:val="19"/>
          <w:szCs w:val="19"/>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Michigan and/or of the United States or any other state of the United States):</w:t>
      </w:r>
    </w:p>
    <w:p>
      <w:pPr>
        <w:spacing w:after="0" w:line="206" w:lineRule="exact"/>
        <w:rPr>
          <w:rFonts w:ascii="Arial" w:cs="Arial" w:eastAsia="Arial" w:hAnsi="Arial"/>
          <w:sz w:val="19"/>
          <w:szCs w:val="19"/>
          <w:color w:val="auto"/>
        </w:rPr>
      </w:pPr>
    </w:p>
    <w:p>
      <w:pPr>
        <w:jc w:val="both"/>
        <w:ind w:left="200" w:right="219" w:firstLine="657"/>
        <w:spacing w:after="0" w:line="274" w:lineRule="auto"/>
        <w:tabs>
          <w:tab w:leader="none" w:pos="1496" w:val="left"/>
        </w:tabs>
        <w:numPr>
          <w:ilvl w:val="0"/>
          <w:numId w:val="231"/>
        </w:numPr>
        <w:rPr>
          <w:rFonts w:ascii="Arial" w:cs="Arial" w:eastAsia="Arial" w:hAnsi="Arial"/>
          <w:sz w:val="19"/>
          <w:szCs w:val="19"/>
          <w:color w:val="auto"/>
        </w:rPr>
      </w:pPr>
      <w:r>
        <w:rPr>
          <w:rFonts w:ascii="Arial" w:cs="Arial" w:eastAsia="Arial" w:hAnsi="Arial"/>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Loan Guaranty</w:t>
      </w:r>
    </w:p>
    <w:p>
      <w:pPr>
        <w:spacing w:after="0" w:line="243" w:lineRule="exact"/>
        <w:rPr>
          <w:sz w:val="20"/>
          <w:szCs w:val="20"/>
          <w:color w:val="auto"/>
        </w:rPr>
      </w:pPr>
    </w:p>
    <w:p>
      <w:pPr>
        <w:jc w:val="both"/>
        <w:ind w:left="200" w:right="219" w:firstLine="1296"/>
        <w:spacing w:after="0" w:line="286"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Guaranty</w:t>
      </w:r>
      <w:r>
        <w:rPr>
          <w:rFonts w:ascii="Arial" w:cs="Arial" w:eastAsia="Arial" w:hAnsi="Arial"/>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316230</wp:posOffset>
            </wp:positionV>
            <wp:extent cx="545211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41" w:name="page242"/>
    <w:bookmarkEnd w:id="241"/>
    <w:p>
      <w:pPr>
        <w:jc w:val="both"/>
        <w:ind w:left="200" w:right="219"/>
        <w:spacing w:after="0" w:line="276" w:lineRule="auto"/>
        <w:rPr>
          <w:sz w:val="20"/>
          <w:szCs w:val="20"/>
          <w:color w:val="auto"/>
        </w:rPr>
      </w:pPr>
      <w:r>
        <w:rPr>
          <w:rFonts w:ascii="Arial" w:cs="Arial" w:eastAsia="Arial" w:hAnsi="Arial"/>
          <w:sz w:val="18"/>
          <w:szCs w:val="18"/>
          <w:color w:val="auto"/>
        </w:rPr>
        <w:t>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376" w:lineRule="exact"/>
        <w:rPr>
          <w:sz w:val="20"/>
          <w:szCs w:val="20"/>
          <w:color w:val="auto"/>
        </w:rPr>
      </w:pPr>
    </w:p>
    <w:p>
      <w:pPr>
        <w:jc w:val="both"/>
        <w:ind w:left="200" w:right="219" w:firstLine="1296"/>
        <w:spacing w:after="0" w:line="306"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This Loan Guaranty is a guaranty of payment and not of collection. Each Loan Guarantor waives any right to require the Administrative Agent, the Issuing Bank or any Lender to sue the Borrower, any Loan Guarantor, any other guarantor of, or any other Person obligated for all or any part of the Guaranteed Obligations (each, an “</w:t>
      </w:r>
      <w:r>
        <w:rPr>
          <w:rFonts w:ascii="Arial" w:cs="Arial" w:eastAsia="Arial" w:hAnsi="Arial"/>
          <w:sz w:val="18"/>
          <w:szCs w:val="18"/>
          <w:u w:val="single" w:color="auto"/>
          <w:color w:val="auto"/>
        </w:rPr>
        <w:t>Obligated Party</w:t>
      </w:r>
      <w:r>
        <w:rPr>
          <w:rFonts w:ascii="Arial" w:cs="Arial" w:eastAsia="Arial" w:hAnsi="Arial"/>
          <w:sz w:val="18"/>
          <w:szCs w:val="18"/>
          <w:color w:val="auto"/>
        </w:rPr>
        <w:t>”), or otherwise to enforce its payment against any collateral securing all or any part of the Guaranteed Obligations.</w:t>
      </w:r>
    </w:p>
    <w:p>
      <w:pPr>
        <w:spacing w:after="0" w:line="200" w:lineRule="exact"/>
        <w:rPr>
          <w:sz w:val="20"/>
          <w:szCs w:val="20"/>
          <w:color w:val="auto"/>
        </w:rPr>
      </w:pPr>
    </w:p>
    <w:p>
      <w:pPr>
        <w:spacing w:after="0" w:line="2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No Discharge or Diminishment of Loan Guaranty</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305"/>
        <w:spacing w:after="0" w:line="297" w:lineRule="auto"/>
        <w:tabs>
          <w:tab w:leader="none" w:pos="181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327" w:lineRule="exact"/>
        <w:rPr>
          <w:rFonts w:ascii="Arial" w:cs="Arial" w:eastAsia="Arial" w:hAnsi="Arial"/>
          <w:sz w:val="18"/>
          <w:szCs w:val="18"/>
          <w:color w:val="auto"/>
        </w:rPr>
      </w:pPr>
    </w:p>
    <w:p>
      <w:pPr>
        <w:jc w:val="both"/>
        <w:ind w:left="200" w:right="219" w:firstLine="1305"/>
        <w:spacing w:after="0" w:line="251" w:lineRule="auto"/>
        <w:tabs>
          <w:tab w:leader="none" w:pos="2144"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87" w:lineRule="exact"/>
        <w:rPr>
          <w:rFonts w:ascii="Arial" w:cs="Arial" w:eastAsia="Arial" w:hAnsi="Arial"/>
          <w:sz w:val="20"/>
          <w:szCs w:val="20"/>
          <w:color w:val="auto"/>
        </w:rPr>
      </w:pPr>
    </w:p>
    <w:p>
      <w:pPr>
        <w:jc w:val="both"/>
        <w:ind w:left="200" w:right="219" w:firstLine="1305"/>
        <w:spacing w:after="0" w:line="286" w:lineRule="auto"/>
        <w:tabs>
          <w:tab w:leader="none" w:pos="21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316230</wp:posOffset>
            </wp:positionV>
            <wp:extent cx="545211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42" w:name="page243"/>
    <w:bookmarkEnd w:id="242"/>
    <w:p>
      <w:pPr>
        <w:jc w:val="both"/>
        <w:ind w:left="200" w:right="219"/>
        <w:spacing w:after="0" w:line="263" w:lineRule="auto"/>
        <w:rPr>
          <w:sz w:val="20"/>
          <w:szCs w:val="20"/>
          <w:color w:val="auto"/>
        </w:rPr>
      </w:pPr>
      <w:r>
        <w:rPr>
          <w:rFonts w:ascii="Arial" w:cs="Arial" w:eastAsia="Arial" w:hAnsi="Arial"/>
          <w:sz w:val="19"/>
          <w:szCs w:val="19"/>
          <w:color w:val="auto"/>
        </w:rPr>
        <w:t>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205" w:lineRule="exact"/>
        <w:rPr>
          <w:sz w:val="20"/>
          <w:szCs w:val="20"/>
          <w:color w:val="auto"/>
        </w:rPr>
      </w:pPr>
    </w:p>
    <w:p>
      <w:pPr>
        <w:jc w:val="both"/>
        <w:ind w:left="200" w:right="219" w:firstLine="1296"/>
        <w:spacing w:after="0" w:line="33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Defenses Waived</w:t>
      </w:r>
      <w:r>
        <w:rPr>
          <w:rFonts w:ascii="Arial" w:cs="Arial" w:eastAsia="Arial" w:hAnsi="Arial"/>
          <w:sz w:val="16"/>
          <w:szCs w:val="16"/>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0" w:right="219" w:firstLine="1296"/>
        <w:spacing w:after="0" w:line="308"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00" w:lineRule="exact"/>
        <w:rPr>
          <w:sz w:val="20"/>
          <w:szCs w:val="20"/>
          <w:color w:val="auto"/>
        </w:rPr>
      </w:pPr>
    </w:p>
    <w:p>
      <w:pPr>
        <w:spacing w:after="0" w:line="290"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Reinstatement; Stay of Acceleration</w:t>
      </w:r>
      <w:r>
        <w:rPr>
          <w:rFonts w:ascii="Arial" w:cs="Arial" w:eastAsia="Arial" w:hAnsi="Arial"/>
          <w:sz w:val="19"/>
          <w:szCs w:val="19"/>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43" w:name="page244"/>
    <w:bookmarkEnd w:id="243"/>
    <w:p>
      <w:pPr>
        <w:jc w:val="both"/>
        <w:ind w:left="200" w:right="219" w:firstLine="1296"/>
        <w:spacing w:after="0" w:line="304"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Information</w:t>
      </w:r>
      <w:r>
        <w:rPr>
          <w:rFonts w:ascii="Arial" w:cs="Arial" w:eastAsia="Arial" w:hAnsi="Arial"/>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200" w:lineRule="exact"/>
        <w:rPr>
          <w:sz w:val="20"/>
          <w:szCs w:val="20"/>
          <w:color w:val="auto"/>
        </w:rPr>
      </w:pPr>
    </w:p>
    <w:p>
      <w:pPr>
        <w:spacing w:after="0" w:line="292"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Termination</w:t>
      </w:r>
      <w:r>
        <w:rPr>
          <w:rFonts w:ascii="Arial" w:cs="Arial" w:eastAsia="Arial" w:hAnsi="Arial"/>
          <w:sz w:val="19"/>
          <w:szCs w:val="19"/>
          <w:color w:val="auto"/>
        </w:rPr>
        <w:t>. Each of the Lenders and the Issuing Bank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200" w:lineRule="exact"/>
        <w:rPr>
          <w:sz w:val="20"/>
          <w:szCs w:val="20"/>
          <w:color w:val="auto"/>
        </w:rPr>
      </w:pPr>
    </w:p>
    <w:p>
      <w:pPr>
        <w:spacing w:after="0" w:line="311"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Taxes</w:t>
      </w:r>
      <w:r>
        <w:rPr>
          <w:rFonts w:ascii="Arial" w:cs="Arial" w:eastAsia="Arial" w:hAnsi="Arial"/>
          <w:sz w:val="19"/>
          <w:szCs w:val="19"/>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200" w:lineRule="exact"/>
        <w:rPr>
          <w:sz w:val="20"/>
          <w:szCs w:val="20"/>
          <w:color w:val="auto"/>
        </w:rPr>
      </w:pPr>
    </w:p>
    <w:p>
      <w:pPr>
        <w:spacing w:after="0" w:line="298" w:lineRule="exact"/>
        <w:rPr>
          <w:sz w:val="20"/>
          <w:szCs w:val="20"/>
          <w:color w:val="auto"/>
        </w:rPr>
      </w:pPr>
    </w:p>
    <w:p>
      <w:pPr>
        <w:jc w:val="both"/>
        <w:ind w:left="200" w:right="219" w:firstLine="1296"/>
        <w:spacing w:after="0" w:line="344"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Maximum Liability</w:t>
      </w:r>
      <w:r>
        <w:rPr>
          <w:rFonts w:ascii="Arial" w:cs="Arial" w:eastAsia="Arial" w:hAnsi="Arial"/>
          <w:sz w:val="16"/>
          <w:szCs w:val="16"/>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200" w:lineRule="exact"/>
        <w:rPr>
          <w:sz w:val="20"/>
          <w:szCs w:val="20"/>
          <w:color w:val="auto"/>
        </w:rPr>
      </w:pPr>
    </w:p>
    <w:p>
      <w:pPr>
        <w:spacing w:after="0" w:line="25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10.11. </w:t>
      </w:r>
      <w:r>
        <w:rPr>
          <w:rFonts w:ascii="Arial" w:cs="Arial" w:eastAsia="Arial" w:hAnsi="Arial"/>
          <w:sz w:val="20"/>
          <w:szCs w:val="20"/>
          <w:u w:val="single" w:color="auto"/>
          <w:color w:val="auto"/>
        </w:rPr>
        <w:t>Contribution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44" w:name="page245"/>
    <w:bookmarkEnd w:id="244"/>
    <w:p>
      <w:pPr>
        <w:jc w:val="both"/>
        <w:ind w:left="200" w:right="219" w:firstLine="1305"/>
        <w:spacing w:after="0" w:line="277" w:lineRule="auto"/>
        <w:tabs>
          <w:tab w:leader="none" w:pos="21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71" w:lineRule="exact"/>
        <w:rPr>
          <w:rFonts w:ascii="Arial" w:cs="Arial" w:eastAsia="Arial" w:hAnsi="Arial"/>
          <w:sz w:val="18"/>
          <w:szCs w:val="18"/>
          <w:color w:val="auto"/>
        </w:rPr>
      </w:pPr>
    </w:p>
    <w:p>
      <w:pPr>
        <w:jc w:val="both"/>
        <w:ind w:left="200" w:right="219" w:firstLine="1305"/>
        <w:spacing w:after="0" w:line="282" w:lineRule="auto"/>
        <w:tabs>
          <w:tab w:leader="none" w:pos="21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of any date of determination, the “</w:t>
      </w:r>
      <w:r>
        <w:rPr>
          <w:rFonts w:ascii="Arial" w:cs="Arial" w:eastAsia="Arial" w:hAnsi="Arial"/>
          <w:sz w:val="18"/>
          <w:szCs w:val="18"/>
          <w:u w:val="single" w:color="auto"/>
          <w:color w:val="auto"/>
        </w:rPr>
        <w:t>Allocable Amount</w:t>
      </w:r>
      <w:r>
        <w:rPr>
          <w:rFonts w:ascii="Arial" w:cs="Arial" w:eastAsia="Arial" w:hAnsi="Arial"/>
          <w:sz w:val="18"/>
          <w:szCs w:val="18"/>
          <w:color w:val="auto"/>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74" w:lineRule="exact"/>
        <w:rPr>
          <w:rFonts w:ascii="Arial" w:cs="Arial" w:eastAsia="Arial" w:hAnsi="Arial"/>
          <w:sz w:val="18"/>
          <w:szCs w:val="18"/>
          <w:color w:val="auto"/>
        </w:rPr>
      </w:pPr>
    </w:p>
    <w:p>
      <w:pPr>
        <w:jc w:val="both"/>
        <w:ind w:left="200" w:right="219" w:firstLine="1305"/>
        <w:spacing w:after="0" w:line="251" w:lineRule="auto"/>
        <w:tabs>
          <w:tab w:leader="none" w:pos="2144"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98" w:lineRule="exact"/>
        <w:rPr>
          <w:rFonts w:ascii="Arial" w:cs="Arial" w:eastAsia="Arial" w:hAnsi="Arial"/>
          <w:sz w:val="20"/>
          <w:szCs w:val="20"/>
          <w:color w:val="auto"/>
        </w:rPr>
      </w:pPr>
    </w:p>
    <w:p>
      <w:pPr>
        <w:jc w:val="both"/>
        <w:ind w:left="200" w:right="219" w:firstLine="1305"/>
        <w:spacing w:after="0" w:line="257" w:lineRule="auto"/>
        <w:tabs>
          <w:tab w:leader="none" w:pos="2144"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79" w:lineRule="exact"/>
        <w:rPr>
          <w:rFonts w:ascii="Arial" w:cs="Arial" w:eastAsia="Arial" w:hAnsi="Arial"/>
          <w:sz w:val="20"/>
          <w:szCs w:val="20"/>
          <w:color w:val="auto"/>
        </w:rPr>
      </w:pPr>
    </w:p>
    <w:p>
      <w:pPr>
        <w:jc w:val="both"/>
        <w:ind w:left="200" w:right="219" w:firstLine="1305"/>
        <w:spacing w:after="0" w:line="257" w:lineRule="auto"/>
        <w:tabs>
          <w:tab w:leader="none" w:pos="2144"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93" w:lineRule="exact"/>
        <w:rPr>
          <w:sz w:val="20"/>
          <w:szCs w:val="20"/>
          <w:color w:val="auto"/>
        </w:rPr>
      </w:pPr>
    </w:p>
    <w:p>
      <w:pPr>
        <w:jc w:val="both"/>
        <w:ind w:left="200" w:right="219" w:firstLine="1296"/>
        <w:spacing w:after="0" w:line="285"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Liability Cumulative</w:t>
      </w:r>
      <w:r>
        <w:rPr>
          <w:rFonts w:ascii="Arial" w:cs="Arial" w:eastAsia="Arial" w:hAnsi="Arial"/>
          <w:sz w:val="19"/>
          <w:szCs w:val="19"/>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00" w:lineRule="exact"/>
        <w:rPr>
          <w:sz w:val="20"/>
          <w:szCs w:val="20"/>
          <w:color w:val="auto"/>
        </w:rPr>
      </w:pPr>
    </w:p>
    <w:p>
      <w:pPr>
        <w:spacing w:after="0" w:line="295"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45" w:name="page246"/>
    <w:bookmarkEnd w:id="245"/>
    <w:p>
      <w:pPr>
        <w:jc w:val="both"/>
        <w:ind w:left="200" w:right="219"/>
        <w:spacing w:after="0" w:line="257" w:lineRule="auto"/>
        <w:rPr>
          <w:sz w:val="20"/>
          <w:szCs w:val="20"/>
          <w:color w:val="auto"/>
        </w:rPr>
      </w:pPr>
      <w:r>
        <w:rPr>
          <w:rFonts w:ascii="Arial" w:cs="Arial" w:eastAsia="Arial" w:hAnsi="Arial"/>
          <w:sz w:val="20"/>
          <w:szCs w:val="20"/>
          <w:color w:val="auto"/>
        </w:rPr>
        <w:t>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46" w:name="page247"/>
    <w:bookmarkEnd w:id="246"/>
    <w:p>
      <w:pPr>
        <w:ind w:left="200" w:right="219" w:firstLine="1296"/>
        <w:spacing w:after="0" w:line="31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as of the day and year first above written.</w:t>
      </w:r>
    </w:p>
    <w:p>
      <w:pPr>
        <w:spacing w:after="0" w:line="33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By:_____________________________</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Samuel D. Bush</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RADIO NETWORKS,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BROADCASTING,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NEW ENGLAND, LLC</w:t>
      </w:r>
    </w:p>
    <w:p>
      <w:pPr>
        <w:spacing w:after="0" w:line="17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ARKANSAS,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NORTH CAROLINA, LLC</w:t>
      </w:r>
    </w:p>
    <w:p>
      <w:pPr>
        <w:spacing w:after="0" w:line="17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TIDEWATER COMMUNICATIONS,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ILLINOIS,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SOUTH DAKOTA, LLC</w:t>
      </w:r>
    </w:p>
    <w:p>
      <w:pPr>
        <w:spacing w:after="0" w:line="17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LAKEFRONT COMMUNICATIONS,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IOWA, LLC</w:t>
      </w:r>
    </w:p>
    <w:p>
      <w:pPr>
        <w:spacing w:after="0" w:line="17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SOUTH COMMUNICATIONS,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SAGA COMMUNICATIONS OF TUCKESSEE, LLC</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WATER DRAGON, LLC</w:t>
      </w: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By:_____________________________</w:t>
      </w:r>
    </w:p>
    <w:p>
      <w:pPr>
        <w:spacing w:after="0" w:line="17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Samuel D. Bush</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867410</wp:posOffset>
            </wp:positionV>
            <wp:extent cx="545211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47" w:name="page248"/>
    <w:bookmarkEnd w:id="247"/>
    <w:p>
      <w:pPr>
        <w:ind w:left="4100" w:right="259"/>
        <w:spacing w:after="0" w:line="347" w:lineRule="auto"/>
        <w:rPr>
          <w:sz w:val="20"/>
          <w:szCs w:val="20"/>
          <w:color w:val="auto"/>
        </w:rPr>
      </w:pPr>
      <w:r>
        <w:rPr>
          <w:rFonts w:ascii="Arial" w:cs="Arial" w:eastAsia="Arial" w:hAnsi="Arial"/>
          <w:sz w:val="18"/>
          <w:szCs w:val="18"/>
          <w:color w:val="auto"/>
        </w:rPr>
        <w:t>JPMORGAN CHASE BANK, N.A., individually, and as Administrative Agent, Swingline Lender and Issuing Bank</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By:_____________________________</w:t>
      </w:r>
    </w:p>
    <w:p>
      <w:pPr>
        <w:spacing w:after="0" w:line="17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Name:___________________________</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33" w:right="1440" w:bottom="1440" w:gutter="0" w:footer="0" w:header="0"/>
        </w:sectPr>
      </w:pPr>
    </w:p>
    <w:bookmarkStart w:id="248" w:name="page249"/>
    <w:bookmarkEnd w:id="248"/>
    <w:p>
      <w:pPr>
        <w:ind w:left="4100"/>
        <w:spacing w:after="0"/>
        <w:rPr>
          <w:sz w:val="20"/>
          <w:szCs w:val="20"/>
          <w:color w:val="auto"/>
        </w:rPr>
      </w:pPr>
      <w:r>
        <w:rPr>
          <w:rFonts w:ascii="Arial" w:cs="Arial" w:eastAsia="Arial" w:hAnsi="Arial"/>
          <w:sz w:val="19"/>
          <w:szCs w:val="19"/>
          <w:color w:val="auto"/>
        </w:rPr>
        <w:t>THE HUNTINGTON 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By:_____________________________</w:t>
      </w:r>
    </w:p>
    <w:p>
      <w:pPr>
        <w:spacing w:after="0" w:line="17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Name:___________________________</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875030</wp:posOffset>
            </wp:positionV>
            <wp:extent cx="545211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20"/>
          <w:szCs w:val="20"/>
          <w:color w:val="auto"/>
        </w:rPr>
        <w:t>COMMITMENT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100" w:type="dxa"/>
            <w:vAlign w:val="bottom"/>
            <w:tcBorders>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b w:val="1"/>
                <w:bCs w:val="1"/>
                <w:color w:val="auto"/>
              </w:rPr>
              <w:t>Lender</w:t>
            </w:r>
          </w:p>
        </w:tc>
        <w:tc>
          <w:tcPr>
            <w:tcW w:w="228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20"/>
                <w:szCs w:val="20"/>
                <w:b w:val="1"/>
                <w:bCs w:val="1"/>
                <w:color w:val="auto"/>
              </w:rPr>
              <w:t>Title</w:t>
            </w:r>
          </w:p>
        </w:tc>
        <w:tc>
          <w:tcPr>
            <w:tcW w:w="3660" w:type="dxa"/>
            <w:vAlign w:val="bottom"/>
            <w:tcBorders>
              <w:top w:val="single" w:sz="8" w:color="auto"/>
              <w:right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Revolving Commitment</w:t>
            </w:r>
          </w:p>
        </w:tc>
        <w:tc>
          <w:tcPr>
            <w:tcW w:w="420" w:type="dxa"/>
            <w:vAlign w:val="bottom"/>
          </w:tcPr>
          <w:p>
            <w:pPr>
              <w:spacing w:after="0"/>
              <w:rPr>
                <w:sz w:val="23"/>
                <w:szCs w:val="23"/>
                <w:color w:val="auto"/>
              </w:rPr>
            </w:pPr>
          </w:p>
        </w:tc>
      </w:tr>
      <w:tr>
        <w:trPr>
          <w:trHeight w:val="540"/>
        </w:trPr>
        <w:tc>
          <w:tcPr>
            <w:tcW w:w="100" w:type="dxa"/>
            <w:vAlign w:val="bottom"/>
            <w:tcBorders>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0"/>
        </w:trPr>
        <w:tc>
          <w:tcPr>
            <w:tcW w:w="1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w w:val="93"/>
              </w:rPr>
              <w:t>JPMorgan Chase Bank,</w:t>
            </w:r>
          </w:p>
        </w:tc>
        <w:tc>
          <w:tcPr>
            <w:tcW w:w="228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rPr>
              <w:t>Administrative Agent</w:t>
            </w:r>
          </w:p>
        </w:tc>
        <w:tc>
          <w:tcPr>
            <w:tcW w:w="3660" w:type="dxa"/>
            <w:vAlign w:val="bottom"/>
            <w:tcBorders>
              <w:right w:val="single" w:sz="8" w:color="auto"/>
            </w:tcBorders>
          </w:tcPr>
          <w:p>
            <w:pPr>
              <w:jc w:val="right"/>
              <w:ind w:right="2501"/>
              <w:spacing w:after="0" w:line="220" w:lineRule="exact"/>
              <w:rPr>
                <w:sz w:val="20"/>
                <w:szCs w:val="20"/>
                <w:color w:val="auto"/>
              </w:rPr>
            </w:pPr>
            <w:r>
              <w:rPr>
                <w:rFonts w:ascii="Arial" w:cs="Arial" w:eastAsia="Arial" w:hAnsi="Arial"/>
                <w:sz w:val="20"/>
                <w:szCs w:val="20"/>
                <w:color w:val="auto"/>
                <w:w w:val="93"/>
              </w:rPr>
              <w:t>$30,000,000</w:t>
            </w:r>
          </w:p>
        </w:tc>
        <w:tc>
          <w:tcPr>
            <w:tcW w:w="420" w:type="dxa"/>
            <w:vAlign w:val="bottom"/>
          </w:tcPr>
          <w:p>
            <w:pPr>
              <w:spacing w:after="0"/>
              <w:rPr>
                <w:sz w:val="19"/>
                <w:szCs w:val="19"/>
                <w:color w:val="auto"/>
              </w:rPr>
            </w:pPr>
          </w:p>
        </w:tc>
      </w:tr>
      <w:tr>
        <w:trPr>
          <w:trHeight w:val="246"/>
        </w:trPr>
        <w:tc>
          <w:tcPr>
            <w:tcW w:w="100" w:type="dxa"/>
            <w:vAlign w:val="bottom"/>
            <w:tcBorders>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N.A.</w:t>
            </w:r>
          </w:p>
        </w:tc>
        <w:tc>
          <w:tcPr>
            <w:tcW w:w="2280" w:type="dxa"/>
            <w:vAlign w:val="bottom"/>
            <w:tcBorders>
              <w:bottom w:val="single" w:sz="8" w:color="auto"/>
              <w:right w:val="single" w:sz="8" w:color="auto"/>
            </w:tcBorders>
          </w:tcPr>
          <w:p>
            <w:pPr>
              <w:spacing w:after="0"/>
              <w:rPr>
                <w:sz w:val="21"/>
                <w:szCs w:val="21"/>
                <w:color w:val="auto"/>
              </w:rPr>
            </w:pPr>
          </w:p>
        </w:tc>
        <w:tc>
          <w:tcPr>
            <w:tcW w:w="3660" w:type="dxa"/>
            <w:vAlign w:val="bottom"/>
            <w:tcBorders>
              <w:bottom w:val="single" w:sz="8" w:color="auto"/>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44"/>
        </w:trPr>
        <w:tc>
          <w:tcPr>
            <w:tcW w:w="1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Huntington</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Syndication Agent</w:t>
            </w:r>
          </w:p>
        </w:tc>
        <w:tc>
          <w:tcPr>
            <w:tcW w:w="3660" w:type="dxa"/>
            <w:vAlign w:val="bottom"/>
            <w:tcBorders>
              <w:right w:val="single" w:sz="8" w:color="auto"/>
            </w:tcBorders>
          </w:tcPr>
          <w:p>
            <w:pPr>
              <w:jc w:val="right"/>
              <w:ind w:right="2501"/>
              <w:spacing w:after="0"/>
              <w:rPr>
                <w:sz w:val="20"/>
                <w:szCs w:val="20"/>
                <w:color w:val="auto"/>
              </w:rPr>
            </w:pPr>
            <w:r>
              <w:rPr>
                <w:rFonts w:ascii="Arial" w:cs="Arial" w:eastAsia="Arial" w:hAnsi="Arial"/>
                <w:sz w:val="20"/>
                <w:szCs w:val="20"/>
                <w:color w:val="auto"/>
                <w:w w:val="93"/>
              </w:rPr>
              <w:t>$20,000,000</w:t>
            </w:r>
          </w:p>
        </w:tc>
        <w:tc>
          <w:tcPr>
            <w:tcW w:w="420" w:type="dxa"/>
            <w:vAlign w:val="bottom"/>
          </w:tcPr>
          <w:p>
            <w:pPr>
              <w:spacing w:after="0"/>
              <w:rPr>
                <w:sz w:val="21"/>
                <w:szCs w:val="21"/>
                <w:color w:val="auto"/>
              </w:rPr>
            </w:pPr>
          </w:p>
        </w:tc>
      </w:tr>
      <w:tr>
        <w:trPr>
          <w:trHeight w:val="253"/>
        </w:trPr>
        <w:tc>
          <w:tcPr>
            <w:tcW w:w="1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National Bank</w:t>
            </w:r>
          </w:p>
        </w:tc>
        <w:tc>
          <w:tcPr>
            <w:tcW w:w="228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250"/>
        </w:trPr>
        <w:tc>
          <w:tcPr>
            <w:tcW w:w="1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ind w:left="840"/>
              <w:spacing w:after="0"/>
              <w:rPr>
                <w:sz w:val="20"/>
                <w:szCs w:val="20"/>
                <w:color w:val="auto"/>
              </w:rPr>
            </w:pPr>
            <w:r>
              <w:rPr>
                <w:rFonts w:ascii="Arial" w:cs="Arial" w:eastAsia="Arial" w:hAnsi="Arial"/>
                <w:sz w:val="20"/>
                <w:szCs w:val="20"/>
                <w:b w:val="1"/>
                <w:bCs w:val="1"/>
                <w:color w:val="auto"/>
              </w:rPr>
              <w:t>Total</w:t>
            </w:r>
          </w:p>
        </w:tc>
        <w:tc>
          <w:tcPr>
            <w:tcW w:w="2280" w:type="dxa"/>
            <w:vAlign w:val="bottom"/>
            <w:tcBorders>
              <w:right w:val="single" w:sz="8" w:color="auto"/>
            </w:tcBorders>
          </w:tcPr>
          <w:p>
            <w:pPr>
              <w:spacing w:after="0"/>
              <w:rPr>
                <w:sz w:val="21"/>
                <w:szCs w:val="21"/>
                <w:color w:val="auto"/>
              </w:rPr>
            </w:pPr>
          </w:p>
        </w:tc>
        <w:tc>
          <w:tcPr>
            <w:tcW w:w="3660" w:type="dxa"/>
            <w:vAlign w:val="bottom"/>
            <w:tcBorders>
              <w:right w:val="single" w:sz="8" w:color="auto"/>
            </w:tcBorders>
          </w:tcPr>
          <w:p>
            <w:pPr>
              <w:jc w:val="right"/>
              <w:ind w:right="2501"/>
              <w:spacing w:after="0"/>
              <w:rPr>
                <w:sz w:val="20"/>
                <w:szCs w:val="20"/>
                <w:color w:val="auto"/>
              </w:rPr>
            </w:pPr>
            <w:r>
              <w:rPr>
                <w:rFonts w:ascii="Arial" w:cs="Arial" w:eastAsia="Arial" w:hAnsi="Arial"/>
                <w:sz w:val="20"/>
                <w:szCs w:val="20"/>
                <w:b w:val="1"/>
                <w:bCs w:val="1"/>
                <w:color w:val="auto"/>
                <w:w w:val="93"/>
              </w:rPr>
              <w:t>$50,000,000</w:t>
            </w:r>
          </w:p>
        </w:tc>
        <w:tc>
          <w:tcPr>
            <w:tcW w:w="420" w:type="dxa"/>
            <w:vAlign w:val="bottom"/>
          </w:tcPr>
          <w:p>
            <w:pPr>
              <w:spacing w:after="0"/>
              <w:rPr>
                <w:sz w:val="21"/>
                <w:szCs w:val="21"/>
                <w:color w:val="auto"/>
              </w:rPr>
            </w:pPr>
          </w:p>
        </w:tc>
      </w:tr>
      <w:tr>
        <w:trPr>
          <w:trHeight w:val="135"/>
        </w:trPr>
        <w:tc>
          <w:tcPr>
            <w:tcW w:w="100" w:type="dxa"/>
            <w:vAlign w:val="bottom"/>
            <w:tcBorders>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660" w:type="dxa"/>
            <w:vAlign w:val="bottom"/>
            <w:tcBorders>
              <w:bottom w:val="single" w:sz="8" w:color="auto"/>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r>
      <w:tr>
        <w:trPr>
          <w:trHeight w:val="1202"/>
        </w:trPr>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6" w:right="1440"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20"/>
          <w:szCs w:val="20"/>
          <w:b w:val="1"/>
          <w:bCs w:val="1"/>
          <w:color w:val="auto"/>
        </w:rPr>
        <w:t>Schedule 3.03</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Governmental Authorizations; Other Consents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3.05</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Statements; No Material Adverse Effect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3.08(b)</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Liens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3.08(c)</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Owned Properties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3.08(d)(i)</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Leased Properties as Lessee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3.08(d)(ii)</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Leased Properties as Lessor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3.08(e)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Investments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20"/>
          <w:szCs w:val="20"/>
          <w:color w:val="auto"/>
        </w:rPr>
        <w:t>Part (a) – Subsidiaries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Part (b) – Equity Interests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Part (c) – Loan Parties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3.17</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Broadcasting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3.23</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ETC Assets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6.02</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Indebtedness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6.09</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Burdensome Agreements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6.16</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Local Marketing Agreements and Time Brokerage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882015</wp:posOffset>
            </wp:positionV>
            <wp:extent cx="54521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00" w:right="219" w:firstLine="1296"/>
        <w:spacing w:after="0" w:line="282"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(the “</w:t>
      </w:r>
      <w:r>
        <w:rPr>
          <w:rFonts w:ascii="Arial" w:cs="Arial" w:eastAsia="Arial" w:hAnsi="Arial"/>
          <w:sz w:val="19"/>
          <w:szCs w:val="19"/>
          <w:u w:val="single" w:color="auto"/>
          <w:color w:val="auto"/>
        </w:rPr>
        <w:t>Assignor</w:t>
      </w:r>
      <w:r>
        <w:rPr>
          <w:rFonts w:ascii="Arial" w:cs="Arial" w:eastAsia="Arial" w:hAnsi="Arial"/>
          <w:sz w:val="19"/>
          <w:szCs w:val="19"/>
          <w:color w:val="auto"/>
        </w:rPr>
        <w:t>”)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(the “</w:t>
      </w:r>
      <w:r>
        <w:rPr>
          <w:rFonts w:ascii="Arial" w:cs="Arial" w:eastAsia="Arial" w:hAnsi="Arial"/>
          <w:sz w:val="19"/>
          <w:szCs w:val="19"/>
          <w:u w:val="single" w:color="auto"/>
          <w:color w:val="auto"/>
        </w:rPr>
        <w:t>Assignee</w:t>
      </w:r>
      <w:r>
        <w:rPr>
          <w:rFonts w:ascii="Arial" w:cs="Arial" w:eastAsia="Arial" w:hAnsi="Arial"/>
          <w:sz w:val="19"/>
          <w:szCs w:val="19"/>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spacing w:after="0" w:line="311" w:lineRule="exact"/>
        <w:rPr>
          <w:sz w:val="20"/>
          <w:szCs w:val="20"/>
          <w:color w:val="auto"/>
        </w:rPr>
      </w:pPr>
    </w:p>
    <w:p>
      <w:pPr>
        <w:jc w:val="both"/>
        <w:ind w:left="200" w:right="219" w:firstLine="1296"/>
        <w:spacing w:after="0" w:line="296"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200" w:lineRule="exact"/>
        <w:rPr>
          <w:sz w:val="20"/>
          <w:szCs w:val="20"/>
          <w:color w:val="auto"/>
        </w:rPr>
      </w:pPr>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400" w:type="dxa"/>
            <w:vAlign w:val="bottom"/>
          </w:tcPr>
          <w:p>
            <w:pPr>
              <w:jc w:val="right"/>
              <w:ind w:right="141"/>
              <w:spacing w:after="0"/>
              <w:rPr>
                <w:sz w:val="20"/>
                <w:szCs w:val="20"/>
                <w:color w:val="auto"/>
              </w:rPr>
            </w:pPr>
            <w:r>
              <w:rPr>
                <w:rFonts w:ascii="Arial" w:cs="Arial" w:eastAsia="Arial" w:hAnsi="Arial"/>
                <w:sz w:val="20"/>
                <w:szCs w:val="20"/>
                <w:color w:val="auto"/>
                <w:w w:val="83"/>
              </w:rPr>
              <w:t>1.</w:t>
            </w:r>
          </w:p>
        </w:tc>
        <w:tc>
          <w:tcPr>
            <w:tcW w:w="1640" w:type="dxa"/>
            <w:vAlign w:val="bottom"/>
          </w:tcPr>
          <w:p>
            <w:pPr>
              <w:ind w:left="260"/>
              <w:spacing w:after="0"/>
              <w:rPr>
                <w:sz w:val="20"/>
                <w:szCs w:val="20"/>
                <w:color w:val="auto"/>
              </w:rPr>
            </w:pPr>
            <w:r>
              <w:rPr>
                <w:rFonts w:ascii="Arial" w:cs="Arial" w:eastAsia="Arial" w:hAnsi="Arial"/>
                <w:sz w:val="20"/>
                <w:szCs w:val="20"/>
                <w:color w:val="auto"/>
              </w:rPr>
              <w:t>Assignor:</w:t>
            </w:r>
          </w:p>
        </w:tc>
        <w:tc>
          <w:tcPr>
            <w:tcW w:w="5020" w:type="dxa"/>
            <w:vAlign w:val="bottom"/>
          </w:tcPr>
          <w:p>
            <w:pPr>
              <w:ind w:left="560"/>
              <w:spacing w:after="0"/>
              <w:rPr>
                <w:sz w:val="20"/>
                <w:szCs w:val="20"/>
                <w:color w:val="auto"/>
              </w:rPr>
            </w:pPr>
            <w:r>
              <w:rPr>
                <w:rFonts w:ascii="Arial" w:cs="Arial" w:eastAsia="Arial" w:hAnsi="Arial"/>
                <w:sz w:val="20"/>
                <w:szCs w:val="20"/>
                <w:color w:val="auto"/>
              </w:rPr>
              <w:t>______________________________</w:t>
            </w:r>
          </w:p>
        </w:tc>
      </w:tr>
      <w:tr>
        <w:trPr>
          <w:trHeight w:val="783"/>
        </w:trPr>
        <w:tc>
          <w:tcPr>
            <w:tcW w:w="400" w:type="dxa"/>
            <w:vAlign w:val="bottom"/>
          </w:tcPr>
          <w:p>
            <w:pPr>
              <w:jc w:val="right"/>
              <w:ind w:right="141"/>
              <w:spacing w:after="0"/>
              <w:rPr>
                <w:sz w:val="20"/>
                <w:szCs w:val="20"/>
                <w:color w:val="auto"/>
              </w:rPr>
            </w:pPr>
            <w:r>
              <w:rPr>
                <w:rFonts w:ascii="Arial" w:cs="Arial" w:eastAsia="Arial" w:hAnsi="Arial"/>
                <w:sz w:val="20"/>
                <w:szCs w:val="20"/>
                <w:color w:val="auto"/>
                <w:w w:val="83"/>
              </w:rPr>
              <w:t>2.</w:t>
            </w:r>
          </w:p>
        </w:tc>
        <w:tc>
          <w:tcPr>
            <w:tcW w:w="1640" w:type="dxa"/>
            <w:vAlign w:val="bottom"/>
          </w:tcPr>
          <w:p>
            <w:pPr>
              <w:ind w:left="260"/>
              <w:spacing w:after="0"/>
              <w:rPr>
                <w:sz w:val="20"/>
                <w:szCs w:val="20"/>
                <w:color w:val="auto"/>
              </w:rPr>
            </w:pPr>
            <w:r>
              <w:rPr>
                <w:rFonts w:ascii="Arial" w:cs="Arial" w:eastAsia="Arial" w:hAnsi="Arial"/>
                <w:sz w:val="20"/>
                <w:szCs w:val="20"/>
                <w:color w:val="auto"/>
              </w:rPr>
              <w:t>Assignee:</w:t>
            </w:r>
          </w:p>
        </w:tc>
        <w:tc>
          <w:tcPr>
            <w:tcW w:w="5020" w:type="dxa"/>
            <w:vAlign w:val="bottom"/>
          </w:tcPr>
          <w:p>
            <w:pPr>
              <w:ind w:left="560"/>
              <w:spacing w:after="0"/>
              <w:rPr>
                <w:sz w:val="20"/>
                <w:szCs w:val="20"/>
                <w:color w:val="auto"/>
              </w:rPr>
            </w:pPr>
            <w:r>
              <w:rPr>
                <w:rFonts w:ascii="Arial" w:cs="Arial" w:eastAsia="Arial" w:hAnsi="Arial"/>
                <w:sz w:val="20"/>
                <w:szCs w:val="20"/>
                <w:color w:val="auto"/>
              </w:rPr>
              <w:t>______________________________</w:t>
            </w:r>
          </w:p>
        </w:tc>
      </w:tr>
      <w:tr>
        <w:trPr>
          <w:trHeight w:val="405"/>
        </w:trPr>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20" w:type="dxa"/>
            <w:vAlign w:val="bottom"/>
          </w:tcPr>
          <w:p>
            <w:pPr>
              <w:ind w:left="560"/>
              <w:spacing w:after="0"/>
              <w:rPr>
                <w:sz w:val="20"/>
                <w:szCs w:val="20"/>
                <w:color w:val="auto"/>
              </w:rPr>
            </w:pPr>
            <w:r>
              <w:rPr>
                <w:rFonts w:ascii="Arial" w:cs="Arial" w:eastAsia="Arial" w:hAnsi="Arial"/>
                <w:sz w:val="20"/>
                <w:szCs w:val="20"/>
                <w:color w:val="auto"/>
                <w:w w:val="93"/>
              </w:rPr>
              <w:t>[and is an Affiliate/Approved Fund of [</w:t>
            </w:r>
            <w:r>
              <w:rPr>
                <w:rFonts w:ascii="Arial" w:cs="Arial" w:eastAsia="Arial" w:hAnsi="Arial"/>
                <w:sz w:val="20"/>
                <w:szCs w:val="20"/>
                <w:i w:val="1"/>
                <w:iCs w:val="1"/>
                <w:color w:val="auto"/>
                <w:w w:val="93"/>
              </w:rPr>
              <w:t>identify Lender</w:t>
            </w:r>
            <w:r>
              <w:rPr>
                <w:rFonts w:ascii="Arial" w:cs="Arial" w:eastAsia="Arial" w:hAnsi="Arial"/>
                <w:sz w:val="20"/>
                <w:szCs w:val="20"/>
                <w:color w:val="auto"/>
                <w:w w:val="93"/>
              </w:rPr>
              <w:t>]]</w:t>
            </w:r>
          </w:p>
        </w:tc>
      </w:tr>
      <w:tr>
        <w:trPr>
          <w:trHeight w:val="796"/>
        </w:trPr>
        <w:tc>
          <w:tcPr>
            <w:tcW w:w="400" w:type="dxa"/>
            <w:vAlign w:val="bottom"/>
          </w:tcPr>
          <w:p>
            <w:pPr>
              <w:jc w:val="right"/>
              <w:ind w:right="141"/>
              <w:spacing w:after="0"/>
              <w:rPr>
                <w:sz w:val="20"/>
                <w:szCs w:val="20"/>
                <w:color w:val="auto"/>
              </w:rPr>
            </w:pPr>
            <w:r>
              <w:rPr>
                <w:rFonts w:ascii="Arial" w:cs="Arial" w:eastAsia="Arial" w:hAnsi="Arial"/>
                <w:sz w:val="20"/>
                <w:szCs w:val="20"/>
                <w:color w:val="auto"/>
                <w:w w:val="83"/>
              </w:rPr>
              <w:t>3.</w:t>
            </w:r>
          </w:p>
        </w:tc>
        <w:tc>
          <w:tcPr>
            <w:tcW w:w="1640" w:type="dxa"/>
            <w:vAlign w:val="bottom"/>
          </w:tcPr>
          <w:p>
            <w:pPr>
              <w:ind w:left="260"/>
              <w:spacing w:after="0"/>
              <w:rPr>
                <w:sz w:val="20"/>
                <w:szCs w:val="20"/>
                <w:color w:val="auto"/>
              </w:rPr>
            </w:pPr>
            <w:r>
              <w:rPr>
                <w:rFonts w:ascii="Arial" w:cs="Arial" w:eastAsia="Arial" w:hAnsi="Arial"/>
                <w:sz w:val="20"/>
                <w:szCs w:val="20"/>
                <w:color w:val="auto"/>
              </w:rPr>
              <w:t>Borrower:</w:t>
            </w:r>
          </w:p>
        </w:tc>
        <w:tc>
          <w:tcPr>
            <w:tcW w:w="5020" w:type="dxa"/>
            <w:vAlign w:val="bottom"/>
          </w:tcPr>
          <w:p>
            <w:pPr>
              <w:ind w:left="560"/>
              <w:spacing w:after="0"/>
              <w:rPr>
                <w:sz w:val="20"/>
                <w:szCs w:val="20"/>
                <w:color w:val="auto"/>
              </w:rPr>
            </w:pPr>
            <w:r>
              <w:rPr>
                <w:rFonts w:ascii="Arial" w:cs="Arial" w:eastAsia="Arial" w:hAnsi="Arial"/>
                <w:sz w:val="20"/>
                <w:szCs w:val="20"/>
                <w:color w:val="auto"/>
              </w:rPr>
              <w:t>Saga Communications, Inc.</w:t>
            </w:r>
          </w:p>
        </w:tc>
      </w:tr>
    </w:tbl>
    <w:p>
      <w:pPr>
        <w:spacing w:after="0" w:line="200" w:lineRule="exact"/>
        <w:rPr>
          <w:sz w:val="20"/>
          <w:szCs w:val="20"/>
          <w:color w:val="auto"/>
        </w:rPr>
      </w:pPr>
    </w:p>
    <w:p>
      <w:pPr>
        <w:spacing w:after="0" w:line="333" w:lineRule="exact"/>
        <w:rPr>
          <w:sz w:val="20"/>
          <w:szCs w:val="20"/>
          <w:color w:val="auto"/>
        </w:rPr>
      </w:pPr>
    </w:p>
    <w:p>
      <w:pPr>
        <w:ind w:left="3440" w:right="379" w:hanging="3231"/>
        <w:spacing w:after="0" w:line="288" w:lineRule="auto"/>
        <w:tabs>
          <w:tab w:leader="none" w:pos="84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53" w:name="page254"/>
    <w:bookmarkEnd w:id="253"/>
    <w:tbl>
      <w:tblPr>
        <w:tblLayout w:type="fixed"/>
        <w:tblInd w:w="200" w:type="dxa"/>
        <w:tblCellMar>
          <w:top w:w="0" w:type="dxa"/>
          <w:left w:w="0" w:type="dxa"/>
          <w:bottom w:w="0" w:type="dxa"/>
          <w:right w:w="0" w:type="dxa"/>
        </w:tblCellMar>
      </w:tblPr>
      <w:tr>
        <w:trPr>
          <w:trHeight w:val="250"/>
        </w:trPr>
        <w:tc>
          <w:tcPr>
            <w:tcW w:w="400" w:type="dxa"/>
            <w:vAlign w:val="bottom"/>
            <w:gridSpan w:val="2"/>
          </w:tcPr>
          <w:p>
            <w:pPr>
              <w:jc w:val="right"/>
              <w:ind w:right="240"/>
              <w:spacing w:after="0"/>
              <w:rPr>
                <w:sz w:val="20"/>
                <w:szCs w:val="20"/>
                <w:color w:val="auto"/>
              </w:rPr>
            </w:pPr>
            <w:r>
              <w:rPr>
                <w:rFonts w:ascii="Arial" w:cs="Arial" w:eastAsia="Arial" w:hAnsi="Arial"/>
                <w:sz w:val="20"/>
                <w:szCs w:val="20"/>
                <w:color w:val="auto"/>
                <w:w w:val="83"/>
              </w:rPr>
              <w:t>5.</w:t>
            </w:r>
          </w:p>
        </w:tc>
        <w:tc>
          <w:tcPr>
            <w:tcW w:w="1960" w:type="dxa"/>
            <w:vAlign w:val="bottom"/>
          </w:tcPr>
          <w:p>
            <w:pPr>
              <w:ind w:left="260"/>
              <w:spacing w:after="0"/>
              <w:rPr>
                <w:sz w:val="20"/>
                <w:szCs w:val="20"/>
                <w:color w:val="auto"/>
              </w:rPr>
            </w:pPr>
            <w:r>
              <w:rPr>
                <w:rFonts w:ascii="Arial" w:cs="Arial" w:eastAsia="Arial" w:hAnsi="Arial"/>
                <w:sz w:val="20"/>
                <w:szCs w:val="20"/>
                <w:color w:val="auto"/>
              </w:rPr>
              <w:t>Credit Agreement:</w:t>
            </w:r>
          </w:p>
        </w:tc>
        <w:tc>
          <w:tcPr>
            <w:tcW w:w="6240" w:type="dxa"/>
            <w:vAlign w:val="bottom"/>
          </w:tcPr>
          <w:p>
            <w:pPr>
              <w:ind w:left="240"/>
              <w:spacing w:after="0"/>
              <w:rPr>
                <w:sz w:val="20"/>
                <w:szCs w:val="20"/>
                <w:color w:val="auto"/>
              </w:rPr>
            </w:pPr>
            <w:r>
              <w:rPr>
                <w:rFonts w:ascii="Arial" w:cs="Arial" w:eastAsia="Arial" w:hAnsi="Arial"/>
                <w:sz w:val="20"/>
                <w:szCs w:val="20"/>
                <w:color w:val="auto"/>
              </w:rPr>
              <w:t>Credit Agreement dated as of August 18, 2015 among Saga</w:t>
            </w:r>
          </w:p>
        </w:tc>
      </w:tr>
      <w:tr>
        <w:trPr>
          <w:trHeight w:val="257"/>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240" w:type="dxa"/>
            <w:vAlign w:val="bottom"/>
          </w:tcPr>
          <w:p>
            <w:pPr>
              <w:ind w:left="240"/>
              <w:spacing w:after="0"/>
              <w:rPr>
                <w:sz w:val="20"/>
                <w:szCs w:val="20"/>
                <w:color w:val="auto"/>
              </w:rPr>
            </w:pPr>
            <w:r>
              <w:rPr>
                <w:rFonts w:ascii="Arial" w:cs="Arial" w:eastAsia="Arial" w:hAnsi="Arial"/>
                <w:sz w:val="20"/>
                <w:szCs w:val="20"/>
                <w:color w:val="auto"/>
                <w:w w:val="92"/>
              </w:rPr>
              <w:t>Communications, Inc., the Lenders party thereto, JPMorgan Chase Bank,</w:t>
            </w:r>
          </w:p>
        </w:tc>
      </w:tr>
      <w:tr>
        <w:trPr>
          <w:trHeight w:val="256"/>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240" w:type="dxa"/>
            <w:vAlign w:val="bottom"/>
          </w:tcPr>
          <w:p>
            <w:pPr>
              <w:ind w:left="240"/>
              <w:spacing w:after="0"/>
              <w:rPr>
                <w:sz w:val="20"/>
                <w:szCs w:val="20"/>
                <w:color w:val="auto"/>
              </w:rPr>
            </w:pPr>
            <w:r>
              <w:rPr>
                <w:rFonts w:ascii="Arial" w:cs="Arial" w:eastAsia="Arial" w:hAnsi="Arial"/>
                <w:sz w:val="20"/>
                <w:szCs w:val="20"/>
                <w:color w:val="auto"/>
              </w:rPr>
              <w:t>N.A., as Administrative Agent, and the other parties thereto</w:t>
            </w:r>
          </w:p>
        </w:tc>
      </w:tr>
      <w:tr>
        <w:trPr>
          <w:trHeight w:val="96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8" w:right="1440" w:bottom="1440" w:gutter="0" w:footer="0" w:header="0"/>
        </w:sectPr>
      </w:pPr>
    </w:p>
    <w:bookmarkStart w:id="254" w:name="page255"/>
    <w:bookmarkEnd w:id="254"/>
    <w:p>
      <w:pPr>
        <w:ind w:left="900" w:hanging="691"/>
        <w:spacing w:after="0"/>
        <w:tabs>
          <w:tab w:leader="none" w:pos="9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161"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158" w:lineRule="exact"/>
        <w:rPr>
          <w:sz w:val="20"/>
          <w:szCs w:val="20"/>
          <w:color w:val="auto"/>
        </w:rPr>
      </w:pPr>
    </w:p>
    <w:tbl>
      <w:tblPr>
        <w:tblLayout w:type="fixed"/>
        <w:tblInd w:w="230" w:type="dxa"/>
        <w:tblCellMar>
          <w:top w:w="0" w:type="dxa"/>
          <w:left w:w="0" w:type="dxa"/>
          <w:bottom w:w="0" w:type="dxa"/>
          <w:right w:w="0" w:type="dxa"/>
        </w:tblCellMar>
      </w:tblPr>
      <w:tr>
        <w:trPr>
          <w:trHeight w:val="264"/>
        </w:trPr>
        <w:tc>
          <w:tcPr>
            <w:tcW w:w="218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Facility Assigned</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Aggregate Amount of</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Amount of Revolving</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Percentage Assigned of</w:t>
            </w:r>
          </w:p>
        </w:tc>
      </w:tr>
      <w:tr>
        <w:trPr>
          <w:trHeight w:val="246"/>
        </w:trPr>
        <w:tc>
          <w:tcPr>
            <w:tcW w:w="2180" w:type="dxa"/>
            <w:vAlign w:val="bottom"/>
            <w:tcBorders>
              <w:left w:val="single" w:sz="8" w:color="auto"/>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Commitment/Loans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r>
      <w:tr>
        <w:trPr>
          <w:trHeight w:val="250"/>
        </w:trPr>
        <w:tc>
          <w:tcPr>
            <w:tcW w:w="2180" w:type="dxa"/>
            <w:vAlign w:val="bottom"/>
            <w:tcBorders>
              <w:left w:val="single" w:sz="8" w:color="auto"/>
              <w:right w:val="single" w:sz="8" w:color="auto"/>
            </w:tcBorders>
          </w:tcPr>
          <w:p>
            <w:pPr>
              <w:spacing w:after="0"/>
              <w:rPr>
                <w:sz w:val="21"/>
                <w:szCs w:val="21"/>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Commitment/Loans for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Assigned</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Commitment/Loans</w:t>
            </w:r>
          </w:p>
        </w:tc>
      </w:tr>
      <w:tr>
        <w:trPr>
          <w:trHeight w:val="257"/>
        </w:trPr>
        <w:tc>
          <w:tcPr>
            <w:tcW w:w="218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all Lenders</w:t>
            </w:r>
          </w:p>
        </w:tc>
        <w:tc>
          <w:tcPr>
            <w:tcW w:w="222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r>
      <w:tr>
        <w:trPr>
          <w:trHeight w:val="158"/>
        </w:trPr>
        <w:tc>
          <w:tcPr>
            <w:tcW w:w="218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spacing w:after="0"/>
              <w:rPr>
                <w:sz w:val="13"/>
                <w:szCs w:val="13"/>
                <w:color w:val="auto"/>
              </w:rPr>
            </w:pPr>
          </w:p>
        </w:tc>
      </w:tr>
      <w:tr>
        <w:trPr>
          <w:trHeight w:val="244"/>
        </w:trPr>
        <w:tc>
          <w:tcPr>
            <w:tcW w:w="2180" w:type="dxa"/>
            <w:vAlign w:val="bottom"/>
            <w:tcBorders>
              <w:left w:val="single" w:sz="8" w:color="auto"/>
              <w:right w:val="single" w:sz="8" w:color="auto"/>
            </w:tcBorders>
          </w:tcPr>
          <w:p>
            <w:pPr>
              <w:spacing w:after="0"/>
              <w:rPr>
                <w:sz w:val="21"/>
                <w:szCs w:val="21"/>
                <w:color w:val="auto"/>
              </w:rPr>
            </w:pP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r>
      <w:tr>
        <w:trPr>
          <w:trHeight w:val="141"/>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r>
      <w:tr>
        <w:trPr>
          <w:trHeight w:val="244"/>
        </w:trPr>
        <w:tc>
          <w:tcPr>
            <w:tcW w:w="2180" w:type="dxa"/>
            <w:vAlign w:val="bottom"/>
            <w:tcBorders>
              <w:left w:val="single" w:sz="8" w:color="auto"/>
              <w:right w:val="single" w:sz="8" w:color="auto"/>
            </w:tcBorders>
          </w:tcPr>
          <w:p>
            <w:pPr>
              <w:spacing w:after="0"/>
              <w:rPr>
                <w:sz w:val="21"/>
                <w:szCs w:val="21"/>
                <w:color w:val="auto"/>
              </w:rPr>
            </w:pP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r>
      <w:tr>
        <w:trPr>
          <w:trHeight w:val="141"/>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r>
      <w:tr>
        <w:trPr>
          <w:trHeight w:val="244"/>
        </w:trPr>
        <w:tc>
          <w:tcPr>
            <w:tcW w:w="2180" w:type="dxa"/>
            <w:vAlign w:val="bottom"/>
            <w:tcBorders>
              <w:left w:val="single" w:sz="8" w:color="auto"/>
              <w:right w:val="single" w:sz="8" w:color="auto"/>
            </w:tcBorders>
          </w:tcPr>
          <w:p>
            <w:pPr>
              <w:spacing w:after="0"/>
              <w:rPr>
                <w:sz w:val="21"/>
                <w:szCs w:val="21"/>
                <w:color w:val="auto"/>
              </w:rPr>
            </w:pP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22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r>
      <w:tr>
        <w:trPr>
          <w:trHeight w:val="141"/>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20"/>
          <w:szCs w:val="20"/>
          <w:color w:val="auto"/>
        </w:rPr>
        <w:t>Effective Date:</w:t>
      </w:r>
      <w:r>
        <w:rPr>
          <w:sz w:val="20"/>
          <w:szCs w:val="20"/>
          <w:color w:val="auto"/>
        </w:rPr>
        <w:tab/>
      </w:r>
      <w:r>
        <w:rPr>
          <w:rFonts w:ascii="Arial" w:cs="Arial" w:eastAsia="Arial" w:hAnsi="Arial"/>
          <w:sz w:val="19"/>
          <w:szCs w:val="19"/>
          <w:color w:val="auto"/>
        </w:rPr>
        <w:t>_____________ ___, 20___ [TO BE INSERTED BY ADMINISTRATIVE AGENT AND</w:t>
      </w:r>
    </w:p>
    <w:p>
      <w:pPr>
        <w:spacing w:after="0" w:line="20" w:lineRule="exact"/>
        <w:rPr>
          <w:sz w:val="20"/>
          <w:szCs w:val="20"/>
          <w:color w:val="auto"/>
        </w:rPr>
      </w:pPr>
    </w:p>
    <w:p>
      <w:pPr>
        <w:jc w:val="both"/>
        <w:ind w:left="200" w:right="59"/>
        <w:spacing w:after="0" w:line="281" w:lineRule="auto"/>
        <w:rPr>
          <w:sz w:val="20"/>
          <w:szCs w:val="20"/>
          <w:color w:val="auto"/>
        </w:rPr>
      </w:pPr>
      <w:r>
        <w:rPr>
          <w:rFonts w:ascii="Arial" w:cs="Arial" w:eastAsia="Arial" w:hAnsi="Arial"/>
          <w:sz w:val="20"/>
          <w:szCs w:val="20"/>
          <w:color w:val="auto"/>
        </w:rPr>
        <w:t>WHICH SHALL BE THE EFFECTIVE DATE OF RECORDATION OF TRANSFER IN THE REGISTER THEREFOR.]</w:t>
      </w:r>
    </w:p>
    <w:p>
      <w:pPr>
        <w:spacing w:after="0" w:line="200" w:lineRule="exact"/>
        <w:rPr>
          <w:sz w:val="20"/>
          <w:szCs w:val="20"/>
          <w:color w:val="auto"/>
        </w:rPr>
      </w:pPr>
    </w:p>
    <w:p>
      <w:pPr>
        <w:spacing w:after="0" w:line="307" w:lineRule="exact"/>
        <w:rPr>
          <w:sz w:val="20"/>
          <w:szCs w:val="20"/>
          <w:color w:val="auto"/>
        </w:rPr>
      </w:pPr>
    </w:p>
    <w:p>
      <w:pPr>
        <w:jc w:val="both"/>
        <w:ind w:left="200" w:right="219"/>
        <w:spacing w:after="0" w:line="306"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00" w:lineRule="exact"/>
        <w:rPr>
          <w:sz w:val="20"/>
          <w:szCs w:val="20"/>
          <w:color w:val="auto"/>
        </w:rPr>
      </w:pPr>
    </w:p>
    <w:p>
      <w:pPr>
        <w:spacing w:after="0" w:line="367" w:lineRule="exact"/>
        <w:rPr>
          <w:sz w:val="20"/>
          <w:szCs w:val="20"/>
          <w:color w:val="auto"/>
        </w:rPr>
      </w:pPr>
    </w:p>
    <w:p>
      <w:pPr>
        <w:jc w:val="center"/>
        <w:ind w:right="-160"/>
        <w:spacing w:after="0"/>
        <w:rPr>
          <w:sz w:val="20"/>
          <w:szCs w:val="20"/>
          <w:color w:val="auto"/>
        </w:rPr>
      </w:pPr>
      <w:r>
        <w:rPr>
          <w:rFonts w:ascii="Arial" w:cs="Arial" w:eastAsia="Arial" w:hAnsi="Arial"/>
          <w:sz w:val="20"/>
          <w:szCs w:val="20"/>
          <w:u w:val="single" w:color="auto"/>
          <w:color w:val="auto"/>
        </w:rPr>
        <w:t>ASSIGNOR</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By:______________________________</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Name:____________________________</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867410</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5" w:name="page256"/>
    <w:bookmarkEnd w:id="255"/>
    <w:p>
      <w:pPr>
        <w:jc w:val="center"/>
        <w:ind w:right="-14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39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By:______________________________</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Name:___________________________</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Title:_____________________________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888365</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6" w:name="page257"/>
    <w:bookmarkEnd w:id="256"/>
    <w:p>
      <w:pPr>
        <w:ind w:left="200"/>
        <w:spacing w:after="0"/>
        <w:rPr>
          <w:sz w:val="20"/>
          <w:szCs w:val="20"/>
          <w:color w:val="auto"/>
        </w:rPr>
      </w:pPr>
      <w:r>
        <w:rPr>
          <w:rFonts w:ascii="Arial" w:cs="Arial" w:eastAsia="Arial" w:hAnsi="Arial"/>
          <w:sz w:val="20"/>
          <w:szCs w:val="20"/>
          <w:color w:val="auto"/>
        </w:rPr>
        <w:t>Consented to and Accepted:</w:t>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JPMORGAN CHASE BANK, N.A., as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Administrative Agent, Issuing Bank and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By:_________________________________</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[if required - Consented to:]</w:t>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SAGA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867410</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20"/>
          <w:szCs w:val="20"/>
          <w:color w:val="auto"/>
        </w:rPr>
        <w:t>ANNEX 1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SAGA COMMUNICATIONS, INC.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STANDARD TERMS AND CONDITIONS FOR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205" w:lineRule="exact"/>
        <w:rPr>
          <w:sz w:val="20"/>
          <w:szCs w:val="20"/>
          <w:color w:val="auto"/>
        </w:rPr>
      </w:pPr>
    </w:p>
    <w:p>
      <w:pPr>
        <w:ind w:left="1760" w:hanging="255"/>
        <w:spacing w:after="0"/>
        <w:tabs>
          <w:tab w:leader="none" w:pos="1760" w:val="left"/>
        </w:tabs>
        <w:numPr>
          <w:ilvl w:val="0"/>
          <w:numId w:val="23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00" w:lineRule="exact"/>
        <w:rPr>
          <w:sz w:val="20"/>
          <w:szCs w:val="20"/>
          <w:color w:val="auto"/>
        </w:rPr>
      </w:pPr>
    </w:p>
    <w:p>
      <w:pPr>
        <w:spacing w:after="0" w:line="367" w:lineRule="exact"/>
        <w:rPr>
          <w:sz w:val="20"/>
          <w:szCs w:val="20"/>
          <w:color w:val="auto"/>
        </w:rPr>
      </w:pPr>
    </w:p>
    <w:p>
      <w:pPr>
        <w:jc w:val="both"/>
        <w:ind w:left="200" w:right="219" w:firstLine="1296"/>
        <w:spacing w:after="0" w:line="29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Subsidiary or Affiliate or any other Person obligated in respect of any Loan Document, (iv) any requirements under applicable law for the Assignee to become a lender under the Credit Agreement or any other Loan Document or to charge interest at the rate set forth therein from time to time or (v) the performance or observance by the Borrower, any Subsidiary or Affiliate, or any other Person of any of their respective obligations under any Loan Document.</w:t>
      </w:r>
    </w:p>
    <w:p>
      <w:pPr>
        <w:spacing w:after="0" w:line="200" w:lineRule="exact"/>
        <w:rPr>
          <w:sz w:val="20"/>
          <w:szCs w:val="20"/>
          <w:color w:val="auto"/>
        </w:rPr>
      </w:pPr>
    </w:p>
    <w:p>
      <w:pPr>
        <w:spacing w:after="0" w:line="304" w:lineRule="exact"/>
        <w:rPr>
          <w:sz w:val="20"/>
          <w:szCs w:val="20"/>
          <w:color w:val="auto"/>
        </w:rPr>
      </w:pPr>
    </w:p>
    <w:p>
      <w:pPr>
        <w:jc w:val="both"/>
        <w:ind w:left="200" w:right="219" w:firstLine="1296"/>
        <w:spacing w:after="0" w:line="29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Arranger or any other Lender or their respective Related Parties,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Arranger, the Assignor or any other Lender or their respective Related Parties, and based on such documents and information as it shall deem appropriate at the time, continue to make its own credit decisions in taking or not taking action under the Loan Documents, and (ii) it will perform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8" w:name="page259"/>
    <w:bookmarkEnd w:id="258"/>
    <w:p>
      <w:pPr>
        <w:ind w:left="200" w:right="219"/>
        <w:spacing w:after="0" w:line="288" w:lineRule="auto"/>
        <w:rPr>
          <w:sz w:val="20"/>
          <w:szCs w:val="20"/>
          <w:color w:val="auto"/>
        </w:rPr>
      </w:pPr>
      <w:r>
        <w:rPr>
          <w:rFonts w:ascii="Arial" w:cs="Arial" w:eastAsia="Arial" w:hAnsi="Arial"/>
          <w:sz w:val="20"/>
          <w:szCs w:val="20"/>
          <w:color w:val="auto"/>
        </w:rPr>
        <w:t>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301" w:lineRule="exact"/>
        <w:rPr>
          <w:sz w:val="20"/>
          <w:szCs w:val="20"/>
          <w:color w:val="auto"/>
        </w:rPr>
      </w:pPr>
    </w:p>
    <w:p>
      <w:pPr>
        <w:jc w:val="both"/>
        <w:ind w:left="200" w:right="219" w:firstLine="1305"/>
        <w:spacing w:after="0" w:line="288" w:lineRule="auto"/>
        <w:tabs>
          <w:tab w:leader="none" w:pos="1793"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0" w:lineRule="exact"/>
        <w:rPr>
          <w:rFonts w:ascii="Arial" w:cs="Arial" w:eastAsia="Arial" w:hAnsi="Arial"/>
          <w:sz w:val="19"/>
          <w:szCs w:val="19"/>
          <w:color w:val="auto"/>
        </w:rPr>
      </w:pPr>
    </w:p>
    <w:p>
      <w:pPr>
        <w:spacing w:after="0" w:line="303" w:lineRule="exact"/>
        <w:rPr>
          <w:rFonts w:ascii="Arial" w:cs="Arial" w:eastAsia="Arial" w:hAnsi="Arial"/>
          <w:sz w:val="19"/>
          <w:szCs w:val="19"/>
          <w:color w:val="auto"/>
        </w:rPr>
      </w:pPr>
    </w:p>
    <w:p>
      <w:pPr>
        <w:jc w:val="both"/>
        <w:ind w:left="200" w:right="219" w:firstLine="1305"/>
        <w:spacing w:after="0" w:line="369" w:lineRule="auto"/>
        <w:tabs>
          <w:tab w:leader="none" w:pos="1757"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200" w:lineRule="exact"/>
        <w:rPr>
          <w:sz w:val="20"/>
          <w:szCs w:val="20"/>
          <w:color w:val="auto"/>
        </w:rPr>
      </w:pPr>
    </w:p>
    <w:p>
      <w:pPr>
        <w:spacing w:after="0" w:line="247"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Acceptance and adoption of the terms of this Assignment and Assumption by the Assignee and the Assignor by Electronic Signature (as defined in the Credit Agreement) or delivery of an executed counterpart of a signature page of this Assignment and Assumption by any Approved Electronic Platform (as defined in the Credit Agreement) shall be effective as delivery of a manually executed counterpart of this Assignment and Assumption. This Assignment and Assumption shall be governed by, and construed in accordance with, the law of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1079500</wp:posOffset>
            </wp:positionV>
            <wp:extent cx="54521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59" w:name="page260"/>
    <w:bookmarkEnd w:id="259"/>
    <w:p>
      <w:pPr>
        <w:jc w:val="center"/>
        <w:spacing w:after="0"/>
        <w:rPr>
          <w:sz w:val="20"/>
          <w:szCs w:val="20"/>
          <w:color w:val="auto"/>
        </w:rPr>
      </w:pPr>
      <w:r>
        <w:rPr>
          <w:rFonts w:ascii="Arial" w:cs="Arial" w:eastAsia="Arial" w:hAnsi="Arial"/>
          <w:sz w:val="20"/>
          <w:szCs w:val="20"/>
          <w:b w:val="1"/>
          <w:bCs w:val="1"/>
          <w:u w:val="single" w:color="auto"/>
          <w:color w:val="auto"/>
        </w:rPr>
        <w:t>EXHIBIT B-1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 TAX COMPLIANCE CERTIFICATE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Reference is hereby made to the Credit Agreement dated as of August 18, 2015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Saga Communications, Inc., the other Loan Parties party thereto, each Lender from time to time party thereto, and JPMorgan Chase Bank, N.A., as Administrative Agent.</w:t>
      </w:r>
    </w:p>
    <w:p>
      <w:pPr>
        <w:spacing w:after="0" w:line="212"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9"/>
          <w:szCs w:val="19"/>
          <w:color w:val="auto"/>
        </w:rPr>
        <w:t>Pursuant to the provisions of Section 2.16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200"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as applicable (or any successor form).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3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670560</wp:posOffset>
            </wp:positionV>
            <wp:extent cx="545211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20"/>
          <w:szCs w:val="20"/>
          <w:b w:val="1"/>
          <w:bCs w:val="1"/>
          <w:u w:val="single" w:color="auto"/>
          <w:color w:val="auto"/>
        </w:rPr>
        <w:t>EXHIBIT B-2</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U.S. TAX COMPLIANCE CERTIFICATE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Reference is hereby made to the Credit Agreement dated as of August 18, 2015 (as amended, supplemented or otherwise modified from time to time, the “Credit Agreement”), among Saga Communications, Inc., the other Loan Parties party thereto, each Lender from time to time party thereto, and JPMorgan Chase Bank, N.A., as Administrative Agent.</w:t>
      </w:r>
    </w:p>
    <w:p>
      <w:pPr>
        <w:spacing w:after="0" w:line="212"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0"/>
          <w:szCs w:val="20"/>
          <w:color w:val="auto"/>
        </w:rPr>
        <w:t>Pursuant to the provisions of Section 2.16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9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as applicable (or any successor form).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13"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PARTICIPANT]</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653415</wp:posOffset>
            </wp:positionV>
            <wp:extent cx="545211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20"/>
          <w:szCs w:val="20"/>
          <w:b w:val="1"/>
          <w:bCs w:val="1"/>
          <w:u w:val="single" w:color="auto"/>
          <w:color w:val="auto"/>
        </w:rPr>
        <w:t>EXHIBIT B-3</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U.S. TAX COMPLIANCE CERTIFICATE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Reference is hereby made to the Credit Agreement dated as of August 18, 2015 (as amended, supplemented or otherwise modified from time to time, the “Credit Agreement”), among Saga Communications, Inc., the other Loan Parties party thereto, each Lender from time to time party thereto, and JPMorgan Chase Bank, N.A., as Administrative Agent.</w:t>
      </w:r>
    </w:p>
    <w:p>
      <w:pPr>
        <w:spacing w:after="0" w:line="212"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8"/>
          <w:szCs w:val="18"/>
          <w:color w:val="auto"/>
        </w:rPr>
        <w:t>Pursuant to the provisions of Section 2.16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any successor form) or (ii) an IRS Form W-8IMY accompanied by an IRS Form W-8BEN or IRS Form W-8BEN-E, as applicable (or any successor form)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7"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PARTICIPANT]</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815975</wp:posOffset>
            </wp:positionV>
            <wp:extent cx="545211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20"/>
          <w:szCs w:val="20"/>
          <w:b w:val="1"/>
          <w:bCs w:val="1"/>
          <w:u w:val="single" w:color="auto"/>
          <w:color w:val="auto"/>
        </w:rPr>
        <w:t>EXHIBIT B-4</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U.S. TAX COMPLIANCE CERTIFICATE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spacing w:after="0" w:line="353"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0"/>
          <w:szCs w:val="20"/>
          <w:color w:val="auto"/>
        </w:rPr>
        <w:t>Reference is hereby made to the Credit Agreement dated as of August 18, 2015 (as amended, supplemented or otherwise modified from time to time, the “Credit Agreement”), among Saga Communications, Inc., the other Loan Parties party thereto, each Lender from time to time party thereto, and JPMorgan Chase Bank, N.A., as Administrative Agent.</w:t>
      </w:r>
    </w:p>
    <w:p>
      <w:pPr>
        <w:spacing w:after="0" w:line="212"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Pursuant to the provisions of Section 2.16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94"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9"/>
          <w:szCs w:val="19"/>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any successor form) or (ii) an IRS Form W-8IMY accompanied by an IRS Form W-8BEN or IRS Form W-8BEN-E, as applicable (or any successor form)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LENDER]</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By:_________________________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Name:_______________________</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516255</wp:posOffset>
            </wp:positionV>
            <wp:extent cx="545211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COMPLIANCE CERTIFICATE</w:t>
      </w:r>
    </w:p>
    <w:p>
      <w:pPr>
        <w:sectPr>
          <w:pgSz w:w="11900" w:h="16838" w:orient="portrait"/>
          <w:cols w:equalWidth="0" w:num="1">
            <w:col w:w="9019"/>
          </w:cols>
          <w:pgMar w:left="1440" w:top="130"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Lenders party to the</w:t>
      </w:r>
    </w:p>
    <w:p>
      <w:pPr>
        <w:spacing w:after="0" w:line="200" w:lineRule="exact"/>
        <w:rPr>
          <w:sz w:val="20"/>
          <w:szCs w:val="20"/>
          <w:color w:val="auto"/>
        </w:rPr>
      </w:pPr>
    </w:p>
    <w:p>
      <w:pPr>
        <w:sectPr>
          <w:pgSz w:w="11900" w:h="16838" w:orient="portrait"/>
          <w:cols w:equalWidth="0" w:num="2">
            <w:col w:w="460" w:space="400"/>
            <w:col w:w="8159"/>
          </w:cols>
          <w:pgMar w:left="1440" w:top="130" w:right="1440" w:bottom="1440" w:gutter="0" w:footer="0" w:header="0"/>
          <w:type w:val="continuous"/>
        </w:sectPr>
      </w:pPr>
    </w:p>
    <w:p>
      <w:pPr>
        <w:spacing w:after="0" w:line="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Credit Agreement described below</w:t>
      </w:r>
    </w:p>
    <w:p>
      <w:pPr>
        <w:sectPr>
          <w:pgSz w:w="11900" w:h="16838" w:orient="portrait"/>
          <w:cols w:equalWidth="0" w:num="1">
            <w:col w:w="9019"/>
          </w:cols>
          <w:pgMar w:left="1440" w:top="1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This Compliance Certificate (“</w:t>
      </w:r>
      <w:r>
        <w:rPr>
          <w:rFonts w:ascii="Arial" w:cs="Arial" w:eastAsia="Arial" w:hAnsi="Arial"/>
          <w:sz w:val="18"/>
          <w:szCs w:val="18"/>
          <w:u w:val="single" w:color="auto"/>
          <w:color w:val="auto"/>
        </w:rPr>
        <w:t>Certificate</w:t>
      </w:r>
      <w:r>
        <w:rPr>
          <w:rFonts w:ascii="Arial" w:cs="Arial" w:eastAsia="Arial" w:hAnsi="Arial"/>
          <w:sz w:val="18"/>
          <w:szCs w:val="18"/>
          <w:color w:val="auto"/>
        </w:rPr>
        <w:t>”), for the period ended _______ __, 201_, is furnished</w:t>
      </w:r>
    </w:p>
    <w:p>
      <w:pPr>
        <w:spacing w:after="0" w:line="50" w:lineRule="exact"/>
        <w:rPr>
          <w:sz w:val="20"/>
          <w:szCs w:val="20"/>
          <w:color w:val="auto"/>
        </w:rPr>
      </w:pPr>
    </w:p>
    <w:p>
      <w:pPr>
        <w:jc w:val="both"/>
        <w:ind w:left="200" w:right="219"/>
        <w:spacing w:after="0" w:line="306" w:lineRule="auto"/>
        <w:rPr>
          <w:sz w:val="20"/>
          <w:szCs w:val="20"/>
          <w:color w:val="auto"/>
        </w:rPr>
      </w:pPr>
      <w:r>
        <w:rPr>
          <w:rFonts w:ascii="Arial" w:cs="Arial" w:eastAsia="Arial" w:hAnsi="Arial"/>
          <w:sz w:val="18"/>
          <w:szCs w:val="18"/>
          <w:color w:val="auto"/>
        </w:rPr>
        <w:t>pursuant to that certain Credit Agreement dated as of August 18, 2015 (as amended, modified, renewed or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Saga Communications,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the Lenders party thereto and JPMorgan Chase Bank, N.A., as Administrative Agent for the Lenders and as the Issuing Bank and Swingline Lender. Unless otherwise defined herein, capitalized terms used in this Certificate have the meanings ascribed thereto in the Agreement.</w:t>
      </w:r>
    </w:p>
    <w:p>
      <w:pPr>
        <w:spacing w:after="0" w:line="200" w:lineRule="exact"/>
        <w:rPr>
          <w:sz w:val="20"/>
          <w:szCs w:val="20"/>
          <w:color w:val="auto"/>
        </w:rPr>
      </w:pP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8180" w:type="dxa"/>
            <w:vAlign w:val="bottom"/>
            <w:gridSpan w:val="2"/>
          </w:tcPr>
          <w:p>
            <w:pPr>
              <w:ind w:left="260"/>
              <w:spacing w:after="0"/>
              <w:rPr>
                <w:sz w:val="20"/>
                <w:szCs w:val="20"/>
                <w:color w:val="auto"/>
              </w:rPr>
            </w:pPr>
            <w:r>
              <w:rPr>
                <w:rFonts w:ascii="Arial" w:cs="Arial" w:eastAsia="Arial" w:hAnsi="Arial"/>
                <w:sz w:val="20"/>
                <w:szCs w:val="20"/>
                <w:color w:val="auto"/>
              </w:rPr>
              <w:t>THE UNDERSIGNED HEREBY CERTIFIES THAT:</w:t>
            </w:r>
          </w:p>
        </w:tc>
      </w:tr>
      <w:tr>
        <w:trPr>
          <w:trHeight w:val="776"/>
        </w:trPr>
        <w:tc>
          <w:tcPr>
            <w:tcW w:w="400" w:type="dxa"/>
            <w:vAlign w:val="bottom"/>
          </w:tcPr>
          <w:p>
            <w:pPr>
              <w:jc w:val="right"/>
              <w:ind w:right="141"/>
              <w:spacing w:after="0"/>
              <w:rPr>
                <w:sz w:val="20"/>
                <w:szCs w:val="20"/>
                <w:color w:val="auto"/>
              </w:rPr>
            </w:pPr>
            <w:r>
              <w:rPr>
                <w:rFonts w:ascii="Arial" w:cs="Arial" w:eastAsia="Arial" w:hAnsi="Arial"/>
                <w:sz w:val="20"/>
                <w:szCs w:val="20"/>
                <w:color w:val="auto"/>
                <w:w w:val="83"/>
              </w:rPr>
              <w:t>1.</w:t>
            </w:r>
          </w:p>
        </w:tc>
        <w:tc>
          <w:tcPr>
            <w:tcW w:w="1560" w:type="dxa"/>
            <w:vAlign w:val="bottom"/>
          </w:tcPr>
          <w:p>
            <w:pPr>
              <w:ind w:left="260"/>
              <w:spacing w:after="0"/>
              <w:rPr>
                <w:sz w:val="20"/>
                <w:szCs w:val="20"/>
                <w:color w:val="auto"/>
              </w:rPr>
            </w:pPr>
            <w:r>
              <w:rPr>
                <w:rFonts w:ascii="Arial" w:cs="Arial" w:eastAsia="Arial" w:hAnsi="Arial"/>
                <w:sz w:val="20"/>
                <w:szCs w:val="20"/>
                <w:color w:val="auto"/>
              </w:rPr>
              <w:t>I am the</w:t>
            </w:r>
          </w:p>
        </w:tc>
        <w:tc>
          <w:tcPr>
            <w:tcW w:w="6620" w:type="dxa"/>
            <w:vAlign w:val="bottom"/>
          </w:tcPr>
          <w:p>
            <w:pPr>
              <w:ind w:left="640"/>
              <w:spacing w:after="0"/>
              <w:rPr>
                <w:sz w:val="20"/>
                <w:szCs w:val="20"/>
                <w:color w:val="auto"/>
              </w:rPr>
            </w:pPr>
            <w:r>
              <w:rPr>
                <w:rFonts w:ascii="Arial" w:cs="Arial" w:eastAsia="Arial" w:hAnsi="Arial"/>
                <w:sz w:val="20"/>
                <w:szCs w:val="20"/>
                <w:color w:val="auto"/>
                <w:w w:val="91"/>
              </w:rPr>
              <w:t>of the Borrower and I am authorized to deliver this Certificate on behalf of</w:t>
            </w:r>
          </w:p>
        </w:tc>
      </w:tr>
      <w:tr>
        <w:trPr>
          <w:trHeight w:val="250"/>
        </w:trPr>
        <w:tc>
          <w:tcPr>
            <w:tcW w:w="400" w:type="dxa"/>
            <w:vAlign w:val="bottom"/>
          </w:tcPr>
          <w:p>
            <w:pPr>
              <w:spacing w:after="0"/>
              <w:rPr>
                <w:sz w:val="21"/>
                <w:szCs w:val="21"/>
                <w:color w:val="auto"/>
              </w:rPr>
            </w:pPr>
          </w:p>
        </w:tc>
        <w:tc>
          <w:tcPr>
            <w:tcW w:w="8180" w:type="dxa"/>
            <w:vAlign w:val="bottom"/>
            <w:gridSpan w:val="2"/>
          </w:tcPr>
          <w:p>
            <w:pPr>
              <w:ind w:left="260"/>
              <w:spacing w:after="0"/>
              <w:rPr>
                <w:sz w:val="20"/>
                <w:szCs w:val="20"/>
                <w:color w:val="auto"/>
              </w:rPr>
            </w:pPr>
            <w:r>
              <w:rPr>
                <w:rFonts w:ascii="Arial" w:cs="Arial" w:eastAsia="Arial" w:hAnsi="Arial"/>
                <w:sz w:val="20"/>
                <w:szCs w:val="20"/>
                <w:color w:val="auto"/>
              </w:rPr>
              <w:t>the Borrower and its Subsidiaries;</w:t>
            </w:r>
          </w:p>
        </w:tc>
      </w:tr>
    </w:tbl>
    <w:p>
      <w:pPr>
        <w:spacing w:after="0" w:line="222" w:lineRule="exact"/>
        <w:rPr>
          <w:sz w:val="20"/>
          <w:szCs w:val="20"/>
          <w:color w:val="auto"/>
        </w:rPr>
      </w:pPr>
    </w:p>
    <w:p>
      <w:pPr>
        <w:jc w:val="both"/>
        <w:ind w:left="860" w:right="219" w:hanging="651"/>
        <w:spacing w:after="0" w:line="251" w:lineRule="auto"/>
        <w:tabs>
          <w:tab w:leader="none" w:pos="86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w:t>
      </w:r>
      <w:r>
        <w:rPr>
          <w:rFonts w:ascii="Arial" w:cs="Arial" w:eastAsia="Arial" w:hAnsi="Arial"/>
          <w:sz w:val="20"/>
          <w:szCs w:val="20"/>
          <w:u w:val="single" w:color="auto"/>
          <w:color w:val="auto"/>
        </w:rPr>
        <w:t>Relevant Period</w:t>
      </w:r>
      <w:r>
        <w:rPr>
          <w:rFonts w:ascii="Arial" w:cs="Arial" w:eastAsia="Arial" w:hAnsi="Arial"/>
          <w:sz w:val="20"/>
          <w:szCs w:val="20"/>
          <w:color w:val="auto"/>
        </w:rPr>
        <w:t>”);</w:t>
      </w:r>
    </w:p>
    <w:p>
      <w:pPr>
        <w:spacing w:after="0" w:line="374" w:lineRule="exact"/>
        <w:rPr>
          <w:rFonts w:ascii="Arial" w:cs="Arial" w:eastAsia="Arial" w:hAnsi="Arial"/>
          <w:sz w:val="20"/>
          <w:szCs w:val="20"/>
          <w:color w:val="auto"/>
        </w:rPr>
      </w:pPr>
    </w:p>
    <w:p>
      <w:pPr>
        <w:jc w:val="both"/>
        <w:ind w:left="860" w:right="219" w:hanging="651"/>
        <w:spacing w:after="0" w:line="282" w:lineRule="auto"/>
        <w:tabs>
          <w:tab w:leader="none" w:pos="8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attached financial statements of the Borrower and, as applicable, its Subsidiaries and/or Affiliates for the Relevant Period: (a) have been prepared on an accounting basis (the “</w:t>
      </w:r>
      <w:r>
        <w:rPr>
          <w:rFonts w:ascii="Arial" w:cs="Arial" w:eastAsia="Arial" w:hAnsi="Arial"/>
          <w:sz w:val="18"/>
          <w:szCs w:val="18"/>
          <w:u w:val="single" w:color="auto"/>
          <w:color w:val="auto"/>
        </w:rPr>
        <w:t>Accounting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Method</w:t>
      </w:r>
      <w:r>
        <w:rPr>
          <w:rFonts w:ascii="Arial" w:cs="Arial" w:eastAsia="Arial" w:hAnsi="Arial"/>
          <w:sz w:val="18"/>
          <w:szCs w:val="18"/>
          <w:color w:val="auto"/>
        </w:rPr>
        <w:t>”)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349" w:lineRule="exact"/>
        <w:rPr>
          <w:rFonts w:ascii="Arial" w:cs="Arial" w:eastAsia="Arial" w:hAnsi="Arial"/>
          <w:sz w:val="18"/>
          <w:szCs w:val="18"/>
          <w:color w:val="auto"/>
        </w:rPr>
      </w:pPr>
    </w:p>
    <w:p>
      <w:pPr>
        <w:jc w:val="both"/>
        <w:ind w:left="860" w:right="219" w:hanging="651"/>
        <w:spacing w:after="0" w:line="250" w:lineRule="auto"/>
        <w:tabs>
          <w:tab w:leader="none" w:pos="86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Administrative Agent in connection with the closing of the Agreement or subsequently delivered as required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type w:val="continuous"/>
        </w:sectPr>
      </w:pPr>
    </w:p>
    <w:bookmarkStart w:id="264" w:name="page265"/>
    <w:bookmarkEnd w:id="264"/>
    <w:p>
      <w:pPr>
        <w:jc w:val="both"/>
        <w:ind w:left="860" w:right="219" w:hanging="651"/>
        <w:spacing w:after="0" w:line="251" w:lineRule="auto"/>
        <w:tabs>
          <w:tab w:leader="none" w:pos="86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Section 4.15 of the Security Agreement;</w:t>
      </w:r>
    </w:p>
    <w:p>
      <w:pPr>
        <w:spacing w:after="0" w:line="213" w:lineRule="exact"/>
        <w:rPr>
          <w:rFonts w:ascii="Arial" w:cs="Arial" w:eastAsia="Arial" w:hAnsi="Arial"/>
          <w:sz w:val="20"/>
          <w:szCs w:val="20"/>
          <w:color w:val="auto"/>
        </w:rPr>
      </w:pPr>
    </w:p>
    <w:p>
      <w:pPr>
        <w:jc w:val="both"/>
        <w:ind w:left="860" w:right="219" w:hanging="651"/>
        <w:spacing w:after="0" w:line="257" w:lineRule="auto"/>
        <w:tabs>
          <w:tab w:leader="none" w:pos="860"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sets forth financial data and computations evidencing the Borrower’s compliance with certain covenants of the Agreement, all of which data and computations are true, complete and correct; and</w:t>
      </w:r>
    </w:p>
    <w:p>
      <w:pPr>
        <w:spacing w:after="0" w:line="206" w:lineRule="exact"/>
        <w:rPr>
          <w:rFonts w:ascii="Arial" w:cs="Arial" w:eastAsia="Arial" w:hAnsi="Arial"/>
          <w:sz w:val="20"/>
          <w:szCs w:val="20"/>
          <w:color w:val="auto"/>
        </w:rPr>
      </w:pPr>
    </w:p>
    <w:p>
      <w:pPr>
        <w:ind w:left="860" w:right="239" w:hanging="651"/>
        <w:spacing w:after="0" w:line="260" w:lineRule="auto"/>
        <w:tabs>
          <w:tab w:leader="none" w:pos="860"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hereto sets forth the computations necessary to determine the Applicable Rate commencing on the Business Day this Certificate is delivered.</w:t>
      </w:r>
    </w:p>
    <w:p>
      <w:pPr>
        <w:spacing w:after="0" w:line="3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Described below are the exceptions, if any, referred to in paragraph 4 hereof by listing, in detail, the</w:t>
      </w:r>
    </w:p>
    <w:p>
      <w:pPr>
        <w:spacing w:after="0" w:line="50" w:lineRule="exact"/>
        <w:rPr>
          <w:sz w:val="20"/>
          <w:szCs w:val="20"/>
          <w:color w:val="auto"/>
        </w:rPr>
      </w:pPr>
    </w:p>
    <w:p>
      <w:pPr>
        <w:jc w:val="both"/>
        <w:ind w:left="200" w:right="219" w:firstLine="9"/>
        <w:spacing w:after="0" w:line="270" w:lineRule="auto"/>
        <w:tabs>
          <w:tab w:leader="none" w:pos="481" w:val="left"/>
        </w:tabs>
        <w:numPr>
          <w:ilvl w:val="0"/>
          <w:numId w:val="240"/>
        </w:numPr>
        <w:rPr>
          <w:rFonts w:ascii="Arial" w:cs="Arial" w:eastAsia="Arial" w:hAnsi="Arial"/>
          <w:sz w:val="20"/>
          <w:szCs w:val="20"/>
          <w:color w:val="auto"/>
        </w:rPr>
      </w:pPr>
      <w:r>
        <w:rPr>
          <w:rFonts w:ascii="Arial" w:cs="Arial" w:eastAsia="Arial" w:hAnsi="Arial"/>
          <w:sz w:val="20"/>
          <w:szCs w:val="20"/>
          <w:color w:val="auto"/>
        </w:rPr>
        <w:t>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210820</wp:posOffset>
            </wp:positionV>
            <wp:extent cx="4933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493331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373380</wp:posOffset>
            </wp:positionV>
            <wp:extent cx="49333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493331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622300</wp:posOffset>
            </wp:positionV>
            <wp:extent cx="49333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4933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right="219" w:firstLine="648"/>
        <w:spacing w:after="0" w:line="293" w:lineRule="auto"/>
        <w:rPr>
          <w:sz w:val="20"/>
          <w:szCs w:val="20"/>
          <w:color w:val="auto"/>
        </w:rPr>
      </w:pPr>
      <w:r>
        <w:rPr>
          <w:rFonts w:ascii="Arial" w:cs="Arial" w:eastAsia="Arial" w:hAnsi="Arial"/>
          <w:sz w:val="18"/>
          <w:szCs w:val="18"/>
          <w:color w:val="auto"/>
        </w:rPr>
        <w:t>The foregoing certifications, together with the computations set forth in Schedule I and Schedule II hereto and the financial statements delivered with this Certificate in support hereof, are made and delivered</w:t>
      </w:r>
    </w:p>
    <w:tbl>
      <w:tblPr>
        <w:tblLayout w:type="fixed"/>
        <w:tblInd w:w="200" w:type="dxa"/>
        <w:tblCellMar>
          <w:top w:w="0" w:type="dxa"/>
          <w:left w:w="0" w:type="dxa"/>
          <w:bottom w:w="0" w:type="dxa"/>
          <w:right w:w="0" w:type="dxa"/>
        </w:tblCellMar>
      </w:tblPr>
      <w:tr>
        <w:trPr>
          <w:trHeight w:val="200"/>
        </w:trPr>
        <w:tc>
          <w:tcPr>
            <w:tcW w:w="1100" w:type="dxa"/>
            <w:vAlign w:val="bottom"/>
            <w:gridSpan w:val="3"/>
          </w:tcPr>
          <w:p>
            <w:pPr>
              <w:spacing w:after="0" w:line="200" w:lineRule="exact"/>
              <w:rPr>
                <w:sz w:val="20"/>
                <w:szCs w:val="20"/>
                <w:color w:val="auto"/>
              </w:rPr>
            </w:pPr>
            <w:r>
              <w:rPr>
                <w:rFonts w:ascii="Arial" w:cs="Arial" w:eastAsia="Arial" w:hAnsi="Arial"/>
                <w:sz w:val="20"/>
                <w:szCs w:val="20"/>
                <w:color w:val="auto"/>
              </w:rPr>
              <w:t>this   day of</w:t>
            </w:r>
          </w:p>
        </w:tc>
        <w:tc>
          <w:tcPr>
            <w:tcW w:w="740" w:type="dxa"/>
            <w:vAlign w:val="bottom"/>
            <w:gridSpan w:val="2"/>
          </w:tcPr>
          <w:p>
            <w:pPr>
              <w:jc w:val="right"/>
              <w:ind w:right="60"/>
              <w:spacing w:after="0" w:line="200" w:lineRule="exact"/>
              <w:rPr>
                <w:sz w:val="20"/>
                <w:szCs w:val="20"/>
                <w:color w:val="auto"/>
              </w:rPr>
            </w:pPr>
            <w:r>
              <w:rPr>
                <w:rFonts w:ascii="Arial" w:cs="Arial" w:eastAsia="Arial" w:hAnsi="Arial"/>
                <w:sz w:val="20"/>
                <w:szCs w:val="20"/>
                <w:color w:val="auto"/>
              </w:rPr>
              <w:t>,</w:t>
            </w:r>
          </w:p>
        </w:tc>
        <w:tc>
          <w:tcPr>
            <w:tcW w:w="6220" w:type="dxa"/>
            <w:vAlign w:val="bottom"/>
            <w:gridSpan w:val="2"/>
          </w:tcPr>
          <w:p>
            <w:pPr>
              <w:jc w:val="right"/>
              <w:ind w:right="5781"/>
              <w:spacing w:after="0" w:line="200" w:lineRule="exact"/>
              <w:rPr>
                <w:sz w:val="20"/>
                <w:szCs w:val="20"/>
                <w:color w:val="auto"/>
              </w:rPr>
            </w:pPr>
            <w:r>
              <w:rPr>
                <w:rFonts w:ascii="Arial" w:cs="Arial" w:eastAsia="Arial" w:hAnsi="Arial"/>
                <w:sz w:val="20"/>
                <w:szCs w:val="20"/>
                <w:color w:val="auto"/>
              </w:rPr>
              <w:t>.</w:t>
            </w:r>
          </w:p>
        </w:tc>
      </w:tr>
      <w:tr>
        <w:trPr>
          <w:trHeight w:val="430"/>
        </w:trPr>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940" w:type="dxa"/>
            <w:vAlign w:val="bottom"/>
          </w:tcPr>
          <w:p>
            <w:pPr>
              <w:jc w:val="right"/>
              <w:spacing w:after="0"/>
              <w:rPr>
                <w:sz w:val="20"/>
                <w:szCs w:val="20"/>
                <w:color w:val="auto"/>
              </w:rPr>
            </w:pPr>
            <w:r>
              <w:rPr>
                <w:rFonts w:ascii="Arial" w:cs="Arial" w:eastAsia="Arial" w:hAnsi="Arial"/>
                <w:sz w:val="20"/>
                <w:szCs w:val="20"/>
                <w:color w:val="auto"/>
              </w:rPr>
              <w:t>_____________________________</w:t>
            </w:r>
          </w:p>
        </w:tc>
      </w:tr>
    </w:tbl>
    <w:p>
      <w:pPr>
        <w:spacing w:after="0" w:line="200" w:lineRule="exact"/>
        <w:rPr>
          <w:sz w:val="20"/>
          <w:szCs w:val="20"/>
          <w:color w:val="auto"/>
        </w:rPr>
      </w:pPr>
    </w:p>
    <w:p>
      <w:pPr>
        <w:spacing w:after="0" w:line="34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18726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142"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13068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spacing w:after="0" w:line="142" w:lineRule="exact"/>
        <w:rPr>
          <w:sz w:val="20"/>
          <w:szCs w:val="20"/>
          <w:color w:val="auto"/>
        </w:rPr>
      </w:pPr>
    </w:p>
    <w:p>
      <w:pPr>
        <w:ind w:left="6040"/>
        <w:spacing w:after="0"/>
        <w:tabs>
          <w:tab w:leader="none" w:pos="6660" w:val="left"/>
          <w:tab w:leader="none" w:pos="7300" w:val="left"/>
          <w:tab w:leader="none" w:pos="7960" w:val="left"/>
        </w:tabs>
        <w:rPr>
          <w:sz w:val="20"/>
          <w:szCs w:val="20"/>
          <w:color w:val="auto"/>
        </w:rPr>
      </w:pPr>
      <w:r>
        <w:rPr>
          <w:rFonts w:ascii="Arial" w:cs="Arial" w:eastAsia="Arial" w:hAnsi="Arial"/>
          <w:sz w:val="20"/>
          <w:szCs w:val="20"/>
          <w:color w:val="auto"/>
        </w:rPr>
        <w:t>Title:​</w:t>
        <w:tab/>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-14605</wp:posOffset>
            </wp:positionV>
            <wp:extent cx="13703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20"/>
          <w:szCs w:val="20"/>
          <w:color w:val="auto"/>
        </w:rPr>
        <w:t>Schedule I to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Compliance as of _________, ____ with</w:t>
      </w:r>
    </w:p>
    <w:p>
      <w:pPr>
        <w:spacing w:after="0" w:line="187" w:lineRule="exact"/>
        <w:rPr>
          <w:sz w:val="20"/>
          <w:szCs w:val="20"/>
          <w:color w:val="auto"/>
        </w:rPr>
      </w:pPr>
    </w:p>
    <w:p>
      <w:pPr>
        <w:ind w:left="2700"/>
        <w:spacing w:after="0"/>
        <w:tabs>
          <w:tab w:leader="none" w:pos="4120" w:val="left"/>
          <w:tab w:leader="none" w:pos="4900" w:val="left"/>
        </w:tabs>
        <w:rPr>
          <w:sz w:val="20"/>
          <w:szCs w:val="20"/>
          <w:color w:val="auto"/>
        </w:rPr>
      </w:pPr>
      <w:r>
        <w:rPr>
          <w:rFonts w:ascii="Arial" w:cs="Arial" w:eastAsia="Arial" w:hAnsi="Arial"/>
          <w:sz w:val="20"/>
          <w:szCs w:val="20"/>
          <w:color w:val="auto"/>
        </w:rPr>
        <w:t>Provisions of</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16"/>
          <w:szCs w:val="16"/>
          <w:color w:val="auto"/>
        </w:rPr>
        <w:t>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2118995</wp:posOffset>
            </wp:positionV>
            <wp:extent cx="545211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-14605</wp:posOffset>
            </wp:positionV>
            <wp:extent cx="1885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-14605</wp:posOffset>
            </wp:positionV>
            <wp:extent cx="2514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9"/>
          <w:szCs w:val="19"/>
          <w:color w:val="auto"/>
        </w:rPr>
        <w:t>Schedule II to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Borrower’s Applicable Rate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1885315</wp:posOffset>
            </wp:positionV>
            <wp:extent cx="545211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20"/>
          <w:szCs w:val="20"/>
          <w:b w:val="1"/>
          <w:bCs w:val="1"/>
          <w:color w:val="auto"/>
        </w:rPr>
        <w:t>EXHIBIT 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0"/>
        <w:spacing w:after="0"/>
        <w:tabs>
          <w:tab w:leader="none" w:pos="6640" w:val="left"/>
        </w:tabs>
        <w:rPr>
          <w:sz w:val="20"/>
          <w:szCs w:val="20"/>
          <w:color w:val="auto"/>
        </w:rPr>
      </w:pPr>
      <w:r>
        <w:rPr>
          <w:rFonts w:ascii="Arial" w:cs="Arial" w:eastAsia="Arial" w:hAnsi="Arial"/>
          <w:sz w:val="20"/>
          <w:szCs w:val="20"/>
          <w:color w:val="auto"/>
        </w:rPr>
        <w:t>THIS JOINDER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w:t>
      </w:r>
      <w:r>
        <w:rPr>
          <w:sz w:val="20"/>
          <w:szCs w:val="20"/>
          <w:color w:val="auto"/>
        </w:rPr>
        <w:tab/>
      </w:r>
      <w:r>
        <w:rPr>
          <w:rFonts w:ascii="Arial" w:cs="Arial" w:eastAsia="Arial" w:hAnsi="Arial"/>
          <w:sz w:val="18"/>
          <w:szCs w:val="18"/>
          <w:color w:val="auto"/>
        </w:rPr>
        <w:t>], is entered into between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________________________________, a _________________ (the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JPMORGAN</w:t>
      </w:r>
    </w:p>
    <w:p>
      <w:pPr>
        <w:spacing w:after="0" w:line="50"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20"/>
          <w:szCs w:val="20"/>
          <w:color w:val="auto"/>
        </w:rPr>
        <w:t>CHASE BANK, N.A., in its capacity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under that certain Credit Agreement dated as of August 18, 2015 (as the same may be amended, modified, extended or restated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Saga Communications,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200" w:lineRule="exact"/>
        <w:rPr>
          <w:sz w:val="20"/>
          <w:szCs w:val="20"/>
          <w:color w:val="auto"/>
        </w:rPr>
      </w:pPr>
    </w:p>
    <w:p>
      <w:pPr>
        <w:spacing w:after="0" w:line="319"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20"/>
          <w:szCs w:val="20"/>
          <w:color w:val="auto"/>
        </w:rPr>
        <w:t>The New Subsidiary and the Administrative Agent, for the benefit of the Secured Parties, hereby agree as follows:</w:t>
      </w:r>
    </w:p>
    <w:p>
      <w:pPr>
        <w:spacing w:after="0" w:line="200" w:lineRule="exact"/>
        <w:rPr>
          <w:sz w:val="20"/>
          <w:szCs w:val="20"/>
          <w:color w:val="auto"/>
        </w:rPr>
      </w:pPr>
    </w:p>
    <w:p>
      <w:pPr>
        <w:spacing w:after="0" w:line="314" w:lineRule="exact"/>
        <w:rPr>
          <w:sz w:val="20"/>
          <w:szCs w:val="20"/>
          <w:color w:val="auto"/>
        </w:rPr>
      </w:pPr>
    </w:p>
    <w:p>
      <w:pPr>
        <w:jc w:val="both"/>
        <w:ind w:left="200" w:right="219" w:firstLine="657"/>
        <w:spacing w:after="0" w:line="295" w:lineRule="auto"/>
        <w:tabs>
          <w:tab w:leader="none" w:pos="149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577215</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268" w:name="page269"/>
    <w:bookmarkEnd w:id="268"/>
    <w:p>
      <w:pPr>
        <w:jc w:val="both"/>
        <w:ind w:left="200" w:right="219" w:firstLine="657"/>
        <w:spacing w:after="0" w:line="278" w:lineRule="auto"/>
        <w:tabs>
          <w:tab w:leader="none" w:pos="149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ind w:left="1500" w:hanging="643"/>
        <w:spacing w:after="0"/>
        <w:tabs>
          <w:tab w:leader="none" w:pos="15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9.01 of the Credit Agreement is</w:t>
      </w:r>
    </w:p>
    <w:p>
      <w:pPr>
        <w:spacing w:after="0" w:line="4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233045</wp:posOffset>
            </wp:positionV>
            <wp:extent cx="2464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246443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490220</wp:posOffset>
            </wp:positionV>
            <wp:extent cx="2464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246443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739140</wp:posOffset>
            </wp:positionV>
            <wp:extent cx="2464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2464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200" w:right="219" w:firstLine="657"/>
        <w:spacing w:after="0" w:line="278" w:lineRule="auto"/>
        <w:tabs>
          <w:tab w:leader="none" w:pos="149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Lenders of the guaranty by the New Subsidiary upon the execution of this Agreement by the New Subsidiary.</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jc w:val="both"/>
        <w:ind w:left="200" w:right="219" w:firstLine="657"/>
        <w:spacing w:after="0" w:line="278" w:lineRule="auto"/>
        <w:tabs>
          <w:tab w:leader="none" w:pos="149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when so executed and delivered shall be an original, but all of which together shall constitute one and the same instrument.</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jc w:val="both"/>
        <w:ind w:left="200" w:right="219" w:firstLine="657"/>
        <w:spacing w:after="0" w:line="271" w:lineRule="auto"/>
        <w:tabs>
          <w:tab w:leader="none" w:pos="149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THIS AGREEMENT AND THE RIGHTS AND OBLIGATIONS OF THE PARTIES HEREUNDER SHALL BE GOVERNED BY AND CONSTRUED AND INTERPRETED IN ACCORDANCE WITH THE LAWS OF THE STATE OF MICHIGAN.</w:t>
      </w:r>
    </w:p>
    <w:p>
      <w:pPr>
        <w:spacing w:after="0" w:line="200" w:lineRule="exact"/>
        <w:rPr>
          <w:sz w:val="20"/>
          <w:szCs w:val="20"/>
          <w:color w:val="auto"/>
        </w:rPr>
      </w:pPr>
    </w:p>
    <w:p>
      <w:pPr>
        <w:spacing w:after="0" w:line="317" w:lineRule="exact"/>
        <w:rPr>
          <w:sz w:val="20"/>
          <w:szCs w:val="20"/>
          <w:color w:val="auto"/>
        </w:rPr>
      </w:pPr>
    </w:p>
    <w:p>
      <w:pPr>
        <w:jc w:val="both"/>
        <w:ind w:left="200" w:right="239" w:firstLine="648"/>
        <w:spacing w:after="0" w:line="299" w:lineRule="auto"/>
        <w:rPr>
          <w:sz w:val="20"/>
          <w:szCs w:val="20"/>
          <w:color w:val="auto"/>
        </w:rPr>
      </w:pPr>
      <w:r>
        <w:rPr>
          <w:rFonts w:ascii="Arial" w:cs="Arial" w:eastAsia="Arial" w:hAnsi="Arial"/>
          <w:sz w:val="19"/>
          <w:szCs w:val="19"/>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[NEW SUBSIDIARY]</w:t>
      </w:r>
    </w:p>
    <w:p>
      <w:pPr>
        <w:spacing w:after="0" w:line="200" w:lineRule="exact"/>
        <w:rPr>
          <w:sz w:val="20"/>
          <w:szCs w:val="20"/>
          <w:color w:val="auto"/>
        </w:rPr>
      </w:pPr>
    </w:p>
    <w:p>
      <w:pPr>
        <w:spacing w:after="0" w:line="36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22840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2284095" cy="8890"/>
                    </a:xfrm>
                    <a:prstGeom prst="rect">
                      <a:avLst/>
                    </a:prstGeom>
                    <a:noFill/>
                  </pic:spPr>
                </pic:pic>
              </a:graphicData>
            </a:graphic>
          </wp:anchor>
        </w:drawing>
      </w:r>
    </w:p>
    <w:p>
      <w:pPr>
        <w:spacing w:after="0" w:line="15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21297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2129790" cy="8890"/>
                    </a:xfrm>
                    <a:prstGeom prst="rect">
                      <a:avLst/>
                    </a:prstGeom>
                    <a:noFill/>
                  </pic:spPr>
                </pic:pic>
              </a:graphicData>
            </a:graphic>
          </wp:anchor>
        </w:drawing>
      </w:r>
    </w:p>
    <w:p>
      <w:pPr>
        <w:spacing w:after="0" w:line="142" w:lineRule="exact"/>
        <w:rPr>
          <w:sz w:val="20"/>
          <w:szCs w:val="20"/>
          <w:color w:val="auto"/>
        </w:rPr>
      </w:pPr>
    </w:p>
    <w:p>
      <w:pPr>
        <w:ind w:left="4100"/>
        <w:spacing w:after="0"/>
        <w:tabs>
          <w:tab w:leader="none" w:pos="4720" w:val="left"/>
          <w:tab w:leader="none" w:pos="5360" w:val="left"/>
          <w:tab w:leader="none" w:pos="6020" w:val="left"/>
          <w:tab w:leader="none" w:pos="6660" w:val="left"/>
          <w:tab w:leader="none" w:pos="7300" w:val="left"/>
        </w:tabs>
        <w:rPr>
          <w:sz w:val="20"/>
          <w:szCs w:val="20"/>
          <w:color w:val="auto"/>
        </w:rPr>
      </w:pPr>
      <w:r>
        <w:rPr>
          <w:rFonts w:ascii="Arial" w:cs="Arial" w:eastAsia="Arial" w:hAnsi="Arial"/>
          <w:sz w:val="20"/>
          <w:szCs w:val="20"/>
          <w:color w:val="auto"/>
        </w:rPr>
        <w:t>Title:​</w:t>
        <w:tab/>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-14605</wp:posOffset>
            </wp:positionV>
            <wp:extent cx="2193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219329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Acknowledged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610235</wp:posOffset>
            </wp:positionV>
            <wp:extent cx="545211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69" w:name="page270"/>
    <w:bookmarkEnd w:id="269"/>
    <w:p>
      <w:pPr>
        <w:ind w:left="4100"/>
        <w:spacing w:after="0"/>
        <w:rPr>
          <w:sz w:val="20"/>
          <w:szCs w:val="20"/>
          <w:color w:val="auto"/>
        </w:rPr>
      </w:pPr>
      <w:r>
        <w:rPr>
          <w:rFonts w:ascii="Arial" w:cs="Arial" w:eastAsia="Arial" w:hAnsi="Arial"/>
          <w:sz w:val="18"/>
          <w:szCs w:val="18"/>
          <w:color w:val="auto"/>
        </w:rPr>
        <w:t>JPMORGAN CHASE BANK, N.A., as Administrative</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36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22840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2284095" cy="8890"/>
                    </a:xfrm>
                    <a:prstGeom prst="rect">
                      <a:avLst/>
                    </a:prstGeom>
                    <a:noFill/>
                  </pic:spPr>
                </pic:pic>
              </a:graphicData>
            </a:graphic>
          </wp:anchor>
        </w:drawing>
      </w:r>
    </w:p>
    <w:p>
      <w:pPr>
        <w:spacing w:after="0" w:line="15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21297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2129790"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p>
      <w:pPr>
        <w:spacing w:after="0" w:line="1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2376170</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-14605</wp:posOffset>
            </wp:positionV>
            <wp:extent cx="1339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083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083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4083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083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083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ectPr>
          <w:pgSz w:w="11900" w:h="16838" w:orient="portrait"/>
          <w:cols w:equalWidth="0" w:num="6">
            <w:col w:w="4560" w:space="180"/>
            <w:col w:w="40" w:space="600"/>
            <w:col w:w="60" w:space="600"/>
            <w:col w:w="40" w:space="600"/>
            <w:col w:w="60" w:space="580"/>
            <w:col w:w="1699"/>
          </w:cols>
          <w:pgMar w:left="1440" w:top="136" w:right="1440" w:bottom="1440" w:gutter="0" w:footer="0" w:header="0"/>
          <w:type w:val="continuous"/>
        </w:sectPr>
      </w:pPr>
    </w:p>
    <w:bookmarkStart w:id="270" w:name="page271"/>
    <w:bookmarkEnd w:id="270"/>
    <w:p>
      <w:pPr>
        <w:ind w:left="200"/>
        <w:spacing w:after="0"/>
        <w:rPr>
          <w:sz w:val="20"/>
          <w:szCs w:val="20"/>
          <w:color w:val="auto"/>
        </w:rPr>
      </w:pPr>
      <w:r>
        <w:rPr>
          <w:rFonts w:ascii="Arial" w:cs="Arial" w:eastAsia="Arial" w:hAnsi="Arial"/>
          <w:sz w:val="20"/>
          <w:szCs w:val="20"/>
          <w:color w:val="auto"/>
        </w:rPr>
        <w:t>Schedule 3.23</w:t>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ETC Assets: The Assets, as defined below.</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Assets</w:t>
      </w:r>
      <w:r>
        <w:rPr>
          <w:rFonts w:ascii="Arial" w:cs="Arial" w:eastAsia="Arial" w:hAnsi="Arial"/>
          <w:sz w:val="20"/>
          <w:szCs w:val="20"/>
          <w:color w:val="auto"/>
        </w:rPr>
        <w:t>” means all of the assets of Seller used, directly or indirectly, useful or held for use in the operation of the business of the Stations (excluding only the Excluded Assets), which assets include Seller’s right, title and interest to the following:</w:t>
      </w:r>
    </w:p>
    <w:p>
      <w:pPr>
        <w:spacing w:after="0" w:line="179" w:lineRule="exact"/>
        <w:rPr>
          <w:sz w:val="20"/>
          <w:szCs w:val="20"/>
          <w:color w:val="auto"/>
        </w:rPr>
      </w:pPr>
    </w:p>
    <w:p>
      <w:pPr>
        <w:jc w:val="both"/>
        <w:ind w:left="860" w:right="239" w:hanging="327"/>
        <w:spacing w:after="0" w:line="257" w:lineRule="auto"/>
        <w:tabs>
          <w:tab w:leader="none" w:pos="8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FCC Licenses (including any pending applications therefor or renewals thereof) related to the Stations, including those listed on Schedule 1.1(a) of the ETC APA and the Antenna Structure Registrations;</w:t>
      </w:r>
    </w:p>
    <w:p>
      <w:pPr>
        <w:spacing w:after="0" w:line="354" w:lineRule="exact"/>
        <w:rPr>
          <w:rFonts w:ascii="Arial" w:cs="Arial" w:eastAsia="Arial" w:hAnsi="Arial"/>
          <w:sz w:val="20"/>
          <w:szCs w:val="20"/>
          <w:color w:val="auto"/>
        </w:rPr>
      </w:pPr>
    </w:p>
    <w:p>
      <w:pPr>
        <w:jc w:val="both"/>
        <w:ind w:left="860" w:right="219" w:hanging="327"/>
        <w:spacing w:after="0" w:line="277" w:lineRule="auto"/>
        <w:tabs>
          <w:tab w:leader="none" w:pos="8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Licenses (including any pending applications therefor or renewals thereof) of Seller (other than the FCC Licenses) related, directly or indirectly, to the Stations, the operations of the Stations or the other Assets, including those listed on Schedule 1.1(b) of the ETC APA;</w:t>
      </w:r>
    </w:p>
    <w:p>
      <w:pPr>
        <w:spacing w:after="0" w:line="350" w:lineRule="exact"/>
        <w:rPr>
          <w:rFonts w:ascii="Arial" w:cs="Arial" w:eastAsia="Arial" w:hAnsi="Arial"/>
          <w:sz w:val="19"/>
          <w:szCs w:val="19"/>
          <w:color w:val="auto"/>
        </w:rPr>
      </w:pPr>
    </w:p>
    <w:p>
      <w:pPr>
        <w:jc w:val="both"/>
        <w:ind w:left="860" w:right="219" w:hanging="327"/>
        <w:spacing w:after="0" w:line="274" w:lineRule="auto"/>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the Stations’ equipment (including computers and office equipment), transmitting towers, transmitters, supplies, vehicles, furniture, fixtures and leasehold improvements, improvements on land being acquired by Buyer pursuant to Section 1.1 of the ETC APA, and all other tangible personal property, wherever located, in each case that is owned by Seller and used exclusively in the operation of the Stations, including, but not limited to, the items listed on Schedule 1.1(b) of the</w:t>
      </w:r>
    </w:p>
    <w:p>
      <w:pPr>
        <w:ind w:left="860"/>
        <w:spacing w:after="0"/>
        <w:rPr>
          <w:rFonts w:ascii="Arial" w:cs="Arial" w:eastAsia="Arial" w:hAnsi="Arial"/>
          <w:sz w:val="18"/>
          <w:szCs w:val="18"/>
          <w:color w:val="auto"/>
        </w:rPr>
      </w:pPr>
      <w:r>
        <w:rPr>
          <w:rFonts w:ascii="Arial" w:cs="Arial" w:eastAsia="Arial" w:hAnsi="Arial"/>
          <w:sz w:val="20"/>
          <w:szCs w:val="20"/>
          <w:color w:val="auto"/>
        </w:rPr>
        <w:t>ETC APA;</w:t>
      </w:r>
    </w:p>
    <w:p>
      <w:pPr>
        <w:spacing w:after="0" w:line="397" w:lineRule="exact"/>
        <w:rPr>
          <w:rFonts w:ascii="Arial" w:cs="Arial" w:eastAsia="Arial" w:hAnsi="Arial"/>
          <w:sz w:val="18"/>
          <w:szCs w:val="18"/>
          <w:color w:val="auto"/>
        </w:rPr>
      </w:pPr>
    </w:p>
    <w:p>
      <w:pPr>
        <w:ind w:left="860" w:hanging="327"/>
        <w:spacing w:after="0"/>
        <w:tabs>
          <w:tab w:leader="none" w:pos="8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Owned Real Property;</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ind w:left="860" w:hanging="327"/>
        <w:spacing w:after="0"/>
        <w:tabs>
          <w:tab w:leader="none" w:pos="8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Station Intellectual Property, excluding rights under Programming Agreements;</w:t>
      </w:r>
    </w:p>
    <w:p>
      <w:pPr>
        <w:spacing w:after="0" w:line="391" w:lineRule="exact"/>
        <w:rPr>
          <w:rFonts w:ascii="Arial" w:cs="Arial" w:eastAsia="Arial" w:hAnsi="Arial"/>
          <w:sz w:val="20"/>
          <w:szCs w:val="20"/>
          <w:color w:val="auto"/>
        </w:rPr>
      </w:pPr>
    </w:p>
    <w:p>
      <w:pPr>
        <w:jc w:val="both"/>
        <w:ind w:left="860" w:right="219" w:hanging="327"/>
        <w:spacing w:after="0" w:line="276" w:lineRule="auto"/>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rights of Seller under leases, commitments and other agreements affecting the business and operations of the Stations or the Assets, including (i) all commitments and other agreements relating to the acquisition of programming rights for the Stations, including rights to the film and videotape prints of motion pictures and television programs, with respect to programming currently being broadcast or currently scheduled to be broadcast by the Stations (“Programming Agreements”), (ii) all commitments and other agreements relating to the sale of broadcast and advertising time on the Stations, (iii) all network affiliation agreements related to the Stations, (iv) the leases, commitments and other agreements listed on Schedules 4.20(a)(i) through 4.20(a)(xiii) of the ETC APA, (v) any other leases, commitments and other agreements relating exclusively to the business and operations of the Stations or the Assets that are entered into consistent with the provisions of Section 6.2 of the ETC APA between the date of the ETC APA and the Closing Date and (vi) any other outstanding offers or solicitations made by or to Seller to enter into any lease, commitment or agreement affecting the Stations or the Assets;</w:t>
      </w:r>
    </w:p>
    <w:p>
      <w:pPr>
        <w:spacing w:after="0" w:line="361" w:lineRule="exact"/>
        <w:rPr>
          <w:rFonts w:ascii="Arial" w:cs="Arial" w:eastAsia="Arial" w:hAnsi="Arial"/>
          <w:sz w:val="18"/>
          <w:szCs w:val="18"/>
          <w:color w:val="auto"/>
        </w:rPr>
      </w:pPr>
    </w:p>
    <w:p>
      <w:pPr>
        <w:ind w:left="860" w:right="239" w:hanging="327"/>
        <w:spacing w:after="0" w:line="274" w:lineRule="auto"/>
        <w:tabs>
          <w:tab w:leader="none" w:pos="8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of Seller’s rights in connection with any “barter” transactions and “trade” agreements affecting to the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271" w:name="page272"/>
    <w:bookmarkEnd w:id="271"/>
    <w:p>
      <w:pPr>
        <w:jc w:val="both"/>
        <w:ind w:left="860" w:right="239" w:hanging="327"/>
        <w:spacing w:after="0" w:line="257"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of Seller’s rights under manufacturers’ and vendors’ warranties to the extent relating to items included in the Assets and all similar rights against third parties relating to items included in the Assets;</w:t>
      </w:r>
    </w:p>
    <w:p>
      <w:pPr>
        <w:spacing w:after="0" w:line="368" w:lineRule="exact"/>
        <w:rPr>
          <w:rFonts w:ascii="Arial" w:cs="Arial" w:eastAsia="Arial" w:hAnsi="Arial"/>
          <w:sz w:val="20"/>
          <w:szCs w:val="20"/>
          <w:color w:val="auto"/>
        </w:rPr>
      </w:pPr>
    </w:p>
    <w:p>
      <w:pPr>
        <w:jc w:val="both"/>
        <w:ind w:left="860" w:right="219" w:hanging="327"/>
        <w:spacing w:after="0" w:line="251"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files, logs and business records of every kind to the extent relating to the operations of the Stations and owned by Seller, including, but not limited to, programming information and studies, technical information and engineering data, news and advertising studies or consulting reports, sales correspondence, lists of advertisers, promotional materials, credit and sales records, and copies of personnel files for Transferred Employees;</w:t>
      </w:r>
    </w:p>
    <w:p>
      <w:pPr>
        <w:spacing w:after="0" w:line="363" w:lineRule="exact"/>
        <w:rPr>
          <w:rFonts w:ascii="Arial" w:cs="Arial" w:eastAsia="Arial" w:hAnsi="Arial"/>
          <w:sz w:val="20"/>
          <w:szCs w:val="20"/>
          <w:color w:val="auto"/>
        </w:rPr>
      </w:pPr>
    </w:p>
    <w:p>
      <w:pPr>
        <w:jc w:val="both"/>
        <w:ind w:left="860" w:right="239" w:hanging="327"/>
        <w:spacing w:after="0" w:line="257"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Seller’s Contracts relating to or affecting the operations of the Stations or the Assets, and all outstanding offers or solicitations made by or to Seller to enter into any Contract affecting the Stations or the Assets;</w:t>
      </w:r>
    </w:p>
    <w:p>
      <w:pPr>
        <w:spacing w:after="0" w:line="368" w:lineRule="exact"/>
        <w:rPr>
          <w:rFonts w:ascii="Arial" w:cs="Arial" w:eastAsia="Arial" w:hAnsi="Arial"/>
          <w:sz w:val="20"/>
          <w:szCs w:val="20"/>
          <w:color w:val="auto"/>
        </w:rPr>
      </w:pPr>
    </w:p>
    <w:p>
      <w:pPr>
        <w:jc w:val="both"/>
        <w:ind w:left="860" w:right="239" w:hanging="327"/>
        <w:spacing w:after="0" w:line="257"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Seller’s insurance benefits, including rights and proceeds, arising from or relating to the Assets or the Assumed Liabilities prior to the Effective Time, unless expended in accordance with this Agreement;</w:t>
      </w:r>
    </w:p>
    <w:p>
      <w:pPr>
        <w:spacing w:after="0" w:line="354" w:lineRule="exact"/>
        <w:rPr>
          <w:rFonts w:ascii="Arial" w:cs="Arial" w:eastAsia="Arial" w:hAnsi="Arial"/>
          <w:sz w:val="20"/>
          <w:szCs w:val="20"/>
          <w:color w:val="auto"/>
        </w:rPr>
      </w:pPr>
    </w:p>
    <w:p>
      <w:pPr>
        <w:ind w:left="860" w:right="239" w:hanging="327"/>
        <w:spacing w:after="0" w:line="260"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claims of Seller against third parties relating to the Assets, whether choate or inchoate, known or unknown, contingent or non-contingent; and</w:t>
      </w:r>
    </w:p>
    <w:p>
      <w:pPr>
        <w:spacing w:after="0" w:line="365" w:lineRule="exact"/>
        <w:rPr>
          <w:rFonts w:ascii="Arial" w:cs="Arial" w:eastAsia="Arial" w:hAnsi="Arial"/>
          <w:sz w:val="20"/>
          <w:szCs w:val="20"/>
          <w:color w:val="auto"/>
        </w:rPr>
      </w:pPr>
    </w:p>
    <w:p>
      <w:pPr>
        <w:ind w:left="860" w:right="239" w:hanging="327"/>
        <w:spacing w:after="0" w:line="274" w:lineRule="auto"/>
        <w:tabs>
          <w:tab w:leader="none" w:pos="86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all rights of Seller relating to deposits and prepaid expenses, claims for refunds and rights to offset in respect thereof that are not otherwise Excluded Assets.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right="639"/>
        <w:spacing w:after="0" w:line="278" w:lineRule="auto"/>
        <w:rPr>
          <w:sz w:val="20"/>
          <w:szCs w:val="20"/>
          <w:color w:val="auto"/>
        </w:rPr>
      </w:pPr>
      <w:r>
        <w:rPr>
          <w:rFonts w:ascii="Arial" w:cs="Arial" w:eastAsia="Arial" w:hAnsi="Arial"/>
          <w:sz w:val="20"/>
          <w:szCs w:val="20"/>
          <w:color w:val="auto"/>
        </w:rPr>
        <w:t>Capitalized terms used in the definition of “Assets” above shall have the meanings given to them in the ETC APA, other than the term “ETC APA”, which shall have the meaning given to it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326390</wp:posOffset>
            </wp:positionV>
            <wp:extent cx="545211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Saga Communications, Inc. Subsidiaries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Jurisdiction of</w:t>
            </w:r>
          </w:p>
        </w:tc>
        <w:tc>
          <w:tcPr>
            <w:tcW w:w="2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Name Under Which Subsidiary does</w:t>
            </w:r>
          </w:p>
        </w:tc>
      </w:tr>
      <w:tr>
        <w:trPr>
          <w:trHeight w:val="234"/>
        </w:trPr>
        <w:tc>
          <w:tcPr>
            <w:tcW w:w="20" w:type="dxa"/>
            <w:vAlign w:val="bottom"/>
          </w:tcPr>
          <w:p>
            <w:pPr>
              <w:spacing w:after="0"/>
              <w:rPr>
                <w:sz w:val="20"/>
                <w:szCs w:val="20"/>
                <w:color w:val="auto"/>
              </w:rPr>
            </w:pPr>
          </w:p>
        </w:tc>
        <w:tc>
          <w:tcPr>
            <w:tcW w:w="42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Organization</w:t>
            </w:r>
          </w:p>
        </w:tc>
        <w:tc>
          <w:tcPr>
            <w:tcW w:w="20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r>
      <w:tr>
        <w:trPr>
          <w:trHeight w:val="195"/>
        </w:trPr>
        <w:tc>
          <w:tcPr>
            <w:tcW w:w="2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rPr>
              <w:t>Franklin Communications, Inc.</w:t>
            </w:r>
          </w:p>
        </w:tc>
        <w:tc>
          <w:tcPr>
            <w:tcW w:w="20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200" w:type="dxa"/>
            <w:vAlign w:val="bottom"/>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South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Iowa,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Lakefront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8"/>
              </w:rPr>
              <w:t>Saga Communications of Tuckessee,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Broadcasting,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Broadcasting,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Illinois,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South Dakota,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Tidewater Communications,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Arkansas,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Arkansas,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Illinois,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Illinois,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Iowa,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Iowa,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New England,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New England, LLC</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Communications of North Carolina,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North Carolina,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South Dakota,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Saga Communications of South Dakota,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Communications of Tuckessee,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8"/>
              </w:rPr>
              <w:t>Saga Communications of Tuckessee,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Saga South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Saga South Communications, LLC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Tidewater Communications,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Tidewater Communications, LLC</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Water Dragon, LLC</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Florida</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Water Dragon, LLC</w:t>
            </w:r>
          </w:p>
        </w:tc>
      </w:tr>
      <w:tr>
        <w:trPr>
          <w:trHeight w:val="8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gridSpan w:val="2"/>
          </w:tcPr>
          <w:p>
            <w:pPr>
              <w:ind w:left="6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Registration Statement (Form S-8 No. 333-63321) of Saga Communications, Inc. Employees’ 401(k) Savings &amp; Investment Plan,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Registration Statement (Form S-8 No. 333-125361) of Saga Communications, Inc. 2005 Incentive Compensation Plan, and</w:t>
      </w:r>
    </w:p>
    <w:p>
      <w:pPr>
        <w:spacing w:after="0" w:line="20" w:lineRule="exact"/>
        <w:rPr>
          <w:rFonts w:ascii="Arial" w:cs="Arial" w:eastAsia="Arial" w:hAnsi="Arial"/>
          <w:sz w:val="17"/>
          <w:szCs w:val="17"/>
          <w:color w:val="auto"/>
        </w:rPr>
      </w:pPr>
    </w:p>
    <w:p>
      <w:pPr>
        <w:ind w:left="340" w:right="560" w:hanging="332"/>
        <w:spacing w:after="0" w:line="250" w:lineRule="auto"/>
        <w:tabs>
          <w:tab w:leader="none" w:pos="26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Registration Statement (Form S-8 No. 333-192101) of Saga Communications, Inc. 2005 Incentive Compensation Plan Second Amended and Restated;</w:t>
      </w:r>
    </w:p>
    <w:p>
      <w:pPr>
        <w:ind w:left="340" w:right="560" w:hanging="332"/>
        <w:spacing w:after="0" w:line="260" w:lineRule="auto"/>
        <w:tabs>
          <w:tab w:leader="none" w:pos="26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Registration Statement (Form S-8 No. 333-228307) of Saga Communications, Inc. 2005 Incentive Compensation Plan Second Amended and Restated, as amended</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of our reports dated March 16, 2023, with respect to the consolidated financial statements of Saga Communications, Inc. and the effectiveness of internal control over financial reporting of Saga Communications, Inc. included in this Annual Report (Form 10-K) of Saga Communications, Inc. for the year ended December 31, 2022.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Forgy, Chief Executive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Saga Communications, Inc.;</w:t>
      </w:r>
    </w:p>
    <w:p>
      <w:pPr>
        <w:spacing w:after="0" w:line="225" w:lineRule="exact"/>
        <w:rPr>
          <w:rFonts w:ascii="Arial" w:cs="Arial" w:eastAsia="Arial" w:hAnsi="Arial"/>
          <w:sz w:val="18"/>
          <w:szCs w:val="18"/>
          <w:color w:val="auto"/>
        </w:rPr>
      </w:pPr>
    </w:p>
    <w:p>
      <w:pPr>
        <w:ind w:left="800" w:right="80" w:hanging="648"/>
        <w:spacing w:after="0" w:line="263" w:lineRule="auto"/>
        <w:tabs>
          <w:tab w:leader="none" w:pos="7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160" w:hanging="648"/>
        <w:spacing w:after="0" w:line="263" w:lineRule="auto"/>
        <w:tabs>
          <w:tab w:leader="none" w:pos="7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800" w:right="440" w:hanging="648"/>
        <w:spacing w:after="0" w:line="286" w:lineRule="auto"/>
        <w:tabs>
          <w:tab w:leader="none" w:pos="78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00" w:right="180" w:hanging="644"/>
        <w:spacing w:after="0" w:line="259" w:lineRule="auto"/>
        <w:tabs>
          <w:tab w:leader="none" w:pos="128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00" w:right="240" w:hanging="648"/>
        <w:spacing w:after="0" w:line="263" w:lineRule="auto"/>
        <w:tabs>
          <w:tab w:leader="none" w:pos="7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3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20" w:hanging="644"/>
        <w:spacing w:after="0" w:line="277" w:lineRule="auto"/>
        <w:tabs>
          <w:tab w:leader="none" w:pos="129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March 16,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Forgy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Christopher S. Forgy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62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Saga Communications, Inc.;</w:t>
      </w:r>
    </w:p>
    <w:p>
      <w:pPr>
        <w:spacing w:after="0" w:line="225" w:lineRule="exact"/>
        <w:rPr>
          <w:rFonts w:ascii="Arial" w:cs="Arial" w:eastAsia="Arial" w:hAnsi="Arial"/>
          <w:sz w:val="18"/>
          <w:szCs w:val="18"/>
          <w:color w:val="auto"/>
        </w:rPr>
      </w:pPr>
    </w:p>
    <w:p>
      <w:pPr>
        <w:ind w:left="800" w:right="80" w:hanging="648"/>
        <w:spacing w:after="0" w:line="263" w:lineRule="auto"/>
        <w:tabs>
          <w:tab w:leader="none" w:pos="7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00" w:right="160" w:hanging="648"/>
        <w:spacing w:after="0" w:line="263" w:lineRule="auto"/>
        <w:tabs>
          <w:tab w:leader="none" w:pos="7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800" w:right="440" w:hanging="648"/>
        <w:spacing w:after="0" w:line="286" w:lineRule="auto"/>
        <w:tabs>
          <w:tab w:leader="none" w:pos="78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00" w:right="180" w:hanging="644"/>
        <w:spacing w:after="0" w:line="259" w:lineRule="auto"/>
        <w:tabs>
          <w:tab w:leader="none" w:pos="128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3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29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00" w:right="240" w:hanging="648"/>
        <w:spacing w:after="0" w:line="263" w:lineRule="auto"/>
        <w:tabs>
          <w:tab w:leader="none" w:pos="78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3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20" w:hanging="644"/>
        <w:spacing w:after="0" w:line="277" w:lineRule="auto"/>
        <w:tabs>
          <w:tab w:leader="none" w:pos="129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March 16,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00" w:right="1300"/>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Annual Report of Saga Communications, Inc. (the “Company”) on Form 10-K for the period ended</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December 31, 2022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spacing w:after="0" w:line="155" w:lineRule="exact"/>
        <w:rPr>
          <w:sz w:val="20"/>
          <w:szCs w:val="20"/>
          <w:color w:val="auto"/>
        </w:rPr>
      </w:pPr>
    </w:p>
    <w:p>
      <w:pPr>
        <w:ind w:left="1500" w:right="180" w:hanging="916"/>
        <w:spacing w:after="0" w:line="277" w:lineRule="auto"/>
        <w:tabs>
          <w:tab w:leader="none" w:pos="14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40" w:hanging="916"/>
        <w:spacing w:after="0" w:line="277" w:lineRule="auto"/>
        <w:tabs>
          <w:tab w:leader="none" w:pos="14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16,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Forgy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Christopher S. Forgy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Dated: March 16,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1)"/>
      <w:numFmt w:val="decimal"/>
      <w:start w:val="1"/>
    </w:lvl>
  </w:abstractNum>
  <w:abstractNum w:abstractNumId="3">
    <w:nsid w:val="2C6E4AFD"/>
    <w:multiLevelType w:val="hybridMultilevel"/>
    <w:lvl w:ilvl="0">
      <w:lvlJc w:val="left"/>
      <w:lvlText w:val="(%1)"/>
      <w:numFmt w:val="decimal"/>
      <w:start w:val="1"/>
    </w:lvl>
  </w:abstractNum>
  <w:abstractNum w:abstractNumId="4">
    <w:nsid w:val="17A1B582"/>
    <w:multiLevelType w:val="hybridMultilevel"/>
    <w:lvl w:ilvl="0">
      <w:lvlJc w:val="left"/>
      <w:lvlText w:val="(%1)"/>
      <w:numFmt w:val="decimal"/>
      <w:start w:val="3"/>
    </w:lvl>
  </w:abstractNum>
  <w:abstractNum w:abstractNumId="5">
    <w:nsid w:val="4DF72E4E"/>
    <w:multiLevelType w:val="hybridMultilevel"/>
    <w:lvl w:ilvl="0">
      <w:lvlJc w:val="left"/>
      <w:lvlText w:val="(%1)"/>
      <w:numFmt w:val="decimal"/>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1)"/>
      <w:numFmt w:val="lowerRoman"/>
      <w:start w:val="1"/>
    </w:lvl>
  </w:abstractNum>
  <w:abstractNum w:abstractNumId="8">
    <w:nsid w:val="2A082C70"/>
    <w:multiLevelType w:val="hybridMultilevel"/>
    <w:lvl w:ilvl="0">
      <w:lvlJc w:val="left"/>
      <w:lvlText w:val="(%1)"/>
      <w:numFmt w:val="decimal"/>
      <w:start w:val="1"/>
    </w:lvl>
  </w:abstractNum>
  <w:abstractNum w:abstractNumId="9">
    <w:nsid w:val="5EC6AFD4"/>
    <w:multiLevelType w:val="hybridMultilevel"/>
    <w:lvl w:ilvl="0">
      <w:lvlJc w:val="left"/>
      <w:lvlText w:val="(%1)"/>
      <w:numFmt w:val="decimal"/>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1)"/>
      <w:numFmt w:val="decimal"/>
      <w:start w:val="1"/>
    </w:lvl>
  </w:abstractNum>
  <w:abstractNum w:abstractNumId="12">
    <w:nsid w:val="57A61A29"/>
    <w:multiLevelType w:val="hybridMultilevel"/>
    <w:lvl w:ilvl="0">
      <w:lvlJc w:val="left"/>
      <w:lvlText w:val="(%1)"/>
      <w:numFmt w:val="decimal"/>
      <w:start w:val="5"/>
    </w:lvl>
  </w:abstractNum>
  <w:abstractNum w:abstractNumId="13">
    <w:nsid w:val="5399C654"/>
    <w:multiLevelType w:val="hybridMultilevel"/>
    <w:lvl w:ilvl="0">
      <w:lvlJc w:val="left"/>
      <w:lvlText w:val="%1."/>
      <w:numFmt w:val="decimal"/>
      <w:start w:val="1"/>
    </w:lvl>
  </w:abstractNum>
  <w:abstractNum w:abstractNumId="14">
    <w:nsid w:val="20EE1348"/>
    <w:multiLevelType w:val="hybridMultilevel"/>
    <w:lvl w:ilvl="0">
      <w:lvlJc w:val="left"/>
      <w:lvlText w:val="%1."/>
      <w:numFmt w:val="decimal"/>
      <w:start w:val="2"/>
    </w:lvl>
  </w:abstractNum>
  <w:abstractNum w:abstractNumId="15">
    <w:nsid w:val="4427069A"/>
    <w:multiLevelType w:val="hybridMultilevel"/>
    <w:lvl w:ilvl="0">
      <w:lvlJc w:val="left"/>
      <w:lvlText w:val="%1."/>
      <w:numFmt w:val="decimal"/>
      <w:start w:val="3"/>
    </w:lvl>
  </w:abstractNum>
  <w:abstractNum w:abstractNumId="16">
    <w:nsid w:val="B37E80A"/>
    <w:multiLevelType w:val="hybridMultilevel"/>
    <w:lvl w:ilvl="0">
      <w:lvlJc w:val="left"/>
      <w:lvlText w:val="(%1)"/>
      <w:numFmt w:val="decimal"/>
      <w:start w:val="2"/>
    </w:lvl>
  </w:abstractNum>
  <w:abstractNum w:abstractNumId="17">
    <w:nsid w:val="2157F6BC"/>
    <w:multiLevelType w:val="hybridMultilevel"/>
    <w:lvl w:ilvl="0">
      <w:lvlJc w:val="left"/>
      <w:lvlText w:val="%1."/>
      <w:numFmt w:val="decimal"/>
      <w:start w:val="4"/>
    </w:lvl>
  </w:abstractNum>
  <w:abstractNum w:abstractNumId="18">
    <w:nsid w:val="704E1DD5"/>
    <w:multiLevelType w:val="hybridMultilevel"/>
    <w:lvl w:ilvl="0">
      <w:lvlJc w:val="left"/>
      <w:lvlText w:val="%1."/>
      <w:numFmt w:val="decimal"/>
      <w:start w:val="5"/>
    </w:lvl>
  </w:abstractNum>
  <w:abstractNum w:abstractNumId="19">
    <w:nsid w:val="57D2F10E"/>
    <w:multiLevelType w:val="hybridMultilevel"/>
    <w:lvl w:ilvl="0">
      <w:lvlJc w:val="left"/>
      <w:lvlText w:val="%1."/>
      <w:numFmt w:val="decimal"/>
      <w:start w:val="6"/>
    </w:lvl>
  </w:abstractNum>
  <w:abstractNum w:abstractNumId="20">
    <w:nsid w:val="BFFAE18"/>
    <w:multiLevelType w:val="hybridMultilevel"/>
    <w:lvl w:ilvl="0">
      <w:lvlJc w:val="left"/>
      <w:lvlText w:val="%1."/>
      <w:numFmt w:val="decimal"/>
      <w:start w:val="7"/>
    </w:lvl>
  </w:abstractNum>
  <w:abstractNum w:abstractNumId="21">
    <w:nsid w:val="E3E47A8"/>
    <w:multiLevelType w:val="hybridMultilevel"/>
    <w:lvl w:ilvl="0">
      <w:lvlJc w:val="left"/>
      <w:lvlText w:val="(%1)"/>
      <w:numFmt w:val="lowerRoman"/>
      <w:start w:val="1"/>
    </w:lvl>
  </w:abstractNum>
  <w:abstractNum w:abstractNumId="22">
    <w:nsid w:val="2E48F044"/>
    <w:multiLevelType w:val="hybridMultilevel"/>
    <w:lvl w:ilvl="0">
      <w:lvlJc w:val="left"/>
      <w:lvlText w:val="%1."/>
      <w:numFmt w:val="decimal"/>
      <w:start w:val="8"/>
    </w:lvl>
  </w:abstractNum>
  <w:abstractNum w:abstractNumId="23">
    <w:nsid w:val="49D0FEAC"/>
    <w:multiLevelType w:val="hybridMultilevel"/>
    <w:lvl w:ilvl="0">
      <w:lvlJc w:val="left"/>
      <w:lvlText w:val="%1."/>
      <w:numFmt w:val="decimal"/>
      <w:start w:val="10"/>
    </w:lvl>
  </w:abstractNum>
  <w:abstractNum w:abstractNumId="24">
    <w:nsid w:val="4BEE5A5B"/>
    <w:multiLevelType w:val="hybridMultilevel"/>
    <w:lvl w:ilvl="0">
      <w:lvlJc w:val="left"/>
      <w:lvlText w:val="(%1)"/>
      <w:numFmt w:val="lowerLetter"/>
      <w:start w:val="3"/>
    </w:lvl>
  </w:abstractNum>
  <w:abstractNum w:abstractNumId="25">
    <w:nsid w:val="5551B9F3"/>
    <w:multiLevelType w:val="hybridMultilevel"/>
    <w:lvl w:ilvl="0">
      <w:lvlJc w:val="left"/>
      <w:lvlText w:val="(%1)"/>
      <w:numFmt w:val="lowerLetter"/>
      <w:start w:val="4"/>
    </w:lvl>
  </w:abstractNum>
  <w:abstractNum w:abstractNumId="26">
    <w:nsid w:val="24F6AB8E"/>
    <w:multiLevelType w:val="hybridMultilevel"/>
    <w:lvl w:ilvl="0">
      <w:lvlJc w:val="left"/>
      <w:lvlText w:val="%1."/>
      <w:numFmt w:val="decimal"/>
      <w:start w:val="11"/>
    </w:lvl>
  </w:abstractNum>
  <w:abstractNum w:abstractNumId="27">
    <w:nsid w:val="634C574C"/>
    <w:multiLevelType w:val="hybridMultilevel"/>
    <w:lvl w:ilvl="0">
      <w:lvlJc w:val="left"/>
      <w:lvlText w:val="%1."/>
      <w:numFmt w:val="decimal"/>
      <w:start w:val="12"/>
    </w:lvl>
  </w:abstractNum>
  <w:abstractNum w:abstractNumId="28">
    <w:nsid w:val="24E99DD7"/>
    <w:multiLevelType w:val="hybridMultilevel"/>
    <w:lvl w:ilvl="0">
      <w:lvlJc w:val="left"/>
      <w:lvlText w:val="(%1)"/>
      <w:numFmt w:val="lowerLetter"/>
      <w:start w:val="1"/>
    </w:lvl>
  </w:abstractNum>
  <w:abstractNum w:abstractNumId="29">
    <w:nsid w:val="2A31B62D"/>
    <w:multiLevelType w:val="hybridMultilevel"/>
    <w:lvl w:ilvl="0">
      <w:lvlJc w:val="left"/>
      <w:lvlText w:val="%1."/>
      <w:numFmt w:val="decimal"/>
      <w:start w:val="14"/>
    </w:lvl>
  </w:abstractNum>
  <w:abstractNum w:abstractNumId="30">
    <w:nsid w:val="1849C29B"/>
    <w:multiLevelType w:val="hybridMultilevel"/>
    <w:lvl w:ilvl="0">
      <w:lvlJc w:val="left"/>
      <w:lvlText w:val="%1."/>
      <w:numFmt w:val="decimal"/>
      <w:start w:val="15"/>
    </w:lvl>
  </w:abstractNum>
  <w:abstractNum w:abstractNumId="31">
    <w:nsid w:val="7DFF9D09"/>
    <w:multiLevelType w:val="hybridMultilevel"/>
    <w:lvl w:ilvl="0">
      <w:lvlJc w:val="left"/>
      <w:lvlText w:val="%1."/>
      <w:numFmt w:val="decimal"/>
      <w:start w:val="17"/>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1"/>
      <w:numFmt w:val="bullet"/>
      <w:start w:val="1"/>
    </w:lvl>
  </w:abstractNum>
  <w:abstractNum w:abstractNumId="34">
    <w:nsid w:val="2A6DE806"/>
    <w:multiLevelType w:val="hybridMultilevel"/>
    <w:lvl w:ilvl="0">
      <w:lvlJc w:val="left"/>
      <w:lvlText w:val="2"/>
      <w:numFmt w:val="bullet"/>
      <w:start w:val="1"/>
    </w:lvl>
  </w:abstractNum>
  <w:abstractNum w:abstractNumId="35">
    <w:nsid w:val="1816F8C4"/>
    <w:multiLevelType w:val="hybridMultilevel"/>
    <w:lvl w:ilvl="0">
      <w:lvlJc w:val="left"/>
      <w:lvlText w:val="3"/>
      <w:numFmt w:val="bullet"/>
      <w:start w:val="1"/>
    </w:lvl>
  </w:abstractNum>
  <w:abstractNum w:abstractNumId="36">
    <w:nsid w:val="37DF2233"/>
    <w:multiLevelType w:val="hybridMultilevel"/>
    <w:lvl w:ilvl="0">
      <w:lvlJc w:val="left"/>
      <w:lvlText w:val="4"/>
      <w:numFmt w:val="bullet"/>
      <w:start w:val="1"/>
    </w:lvl>
  </w:abstractNum>
  <w:abstractNum w:abstractNumId="37">
    <w:nsid w:val="7AB49DAF"/>
    <w:multiLevelType w:val="hybridMultilevel"/>
    <w:lvl w:ilvl="0">
      <w:lvlJc w:val="left"/>
      <w:lvlText w:val="5"/>
      <w:numFmt w:val="bullet"/>
      <w:start w:val="1"/>
    </w:lvl>
  </w:abstractNum>
  <w:abstractNum w:abstractNumId="38">
    <w:nsid w:val="759F82CD"/>
    <w:multiLevelType w:val="hybridMultilevel"/>
    <w:lvl w:ilvl="0">
      <w:lvlJc w:val="left"/>
      <w:lvlText w:val="6"/>
      <w:numFmt w:val="bullet"/>
      <w:start w:val="1"/>
    </w:lvl>
  </w:abstractNum>
  <w:abstractNum w:abstractNumId="39">
    <w:nsid w:val="61E74EA3"/>
    <w:multiLevelType w:val="hybridMultilevel"/>
    <w:lvl w:ilvl="0">
      <w:lvlJc w:val="left"/>
      <w:lvlText w:val="7"/>
      <w:numFmt w:val="bullet"/>
      <w:start w:val="1"/>
    </w:lvl>
  </w:abstractNum>
  <w:abstractNum w:abstractNumId="40">
    <w:nsid w:val="597B4D84"/>
    <w:multiLevelType w:val="hybridMultilevel"/>
    <w:lvl w:ilvl="0">
      <w:lvlJc w:val="left"/>
      <w:lvlText w:val="9"/>
      <w:numFmt w:val="bullet"/>
      <w:start w:val="1"/>
    </w:lvl>
  </w:abstractNum>
  <w:abstractNum w:abstractNumId="41">
    <w:nsid w:val="F819E7F"/>
    <w:multiLevelType w:val="hybridMultilevel"/>
    <w:lvl w:ilvl="0">
      <w:lvlJc w:val="left"/>
      <w:lvlText w:val="%1"/>
      <w:numFmt w:val="decimal"/>
      <w:start w:val="10"/>
    </w:lvl>
  </w:abstractNum>
  <w:abstractNum w:abstractNumId="42">
    <w:nsid w:val="57C7D42D"/>
    <w:multiLevelType w:val="hybridMultilevel"/>
    <w:lvl w:ilvl="0">
      <w:lvlJc w:val="left"/>
      <w:lvlText w:val="%1"/>
      <w:numFmt w:val="decimal"/>
      <w:start w:val="125"/>
    </w:lvl>
  </w:abstractNum>
  <w:abstractNum w:abstractNumId="43">
    <w:nsid w:val="312167AD"/>
    <w:multiLevelType w:val="hybridMultilevel"/>
    <w:lvl w:ilvl="0">
      <w:lvlJc w:val="left"/>
      <w:lvlText w:val="%1"/>
      <w:numFmt w:val="decimal"/>
      <w:start w:val="13"/>
    </w:lvl>
  </w:abstractNum>
  <w:abstractNum w:abstractNumId="44">
    <w:nsid w:val="631B64D4"/>
    <w:multiLevelType w:val="hybridMultilevel"/>
    <w:lvl w:ilvl="0">
      <w:lvlJc w:val="left"/>
      <w:lvlText w:val="%1"/>
      <w:numFmt w:val="decimal"/>
      <w:start w:val="15"/>
    </w:lvl>
  </w:abstractNum>
  <w:abstractNum w:abstractNumId="45">
    <w:nsid w:val="78B5E776"/>
    <w:multiLevelType w:val="hybridMultilevel"/>
    <w:lvl w:ilvl="0">
      <w:lvlJc w:val="left"/>
      <w:lvlText w:val="%1."/>
      <w:numFmt w:val="upperLetter"/>
      <w:start w:val="1"/>
    </w:lvl>
  </w:abstractNum>
  <w:abstractNum w:abstractNumId="46">
    <w:nsid w:val="75486E47"/>
    <w:multiLevelType w:val="hybridMultilevel"/>
    <w:lvl w:ilvl="0">
      <w:lvlJc w:val="left"/>
      <w:lvlText w:val="(%1)"/>
      <w:numFmt w:val="lowerLetter"/>
      <w:start w:val="1"/>
    </w:lvl>
  </w:abstractNum>
  <w:abstractNum w:abstractNumId="47">
    <w:nsid w:val="6E534CDE"/>
    <w:multiLevelType w:val="hybridMultilevel"/>
    <w:lvl w:ilvl="0">
      <w:lvlJc w:val="left"/>
      <w:lvlText w:val="(%1)"/>
      <w:numFmt w:val="decimal"/>
      <w:start w:val="1"/>
    </w:lvl>
  </w:abstractNum>
  <w:abstractNum w:abstractNumId="48">
    <w:nsid w:val="1A0DDE32"/>
    <w:multiLevelType w:val="hybridMultilevel"/>
    <w:lvl w:ilvl="0">
      <w:lvlJc w:val="left"/>
      <w:lvlText w:val="(%1)"/>
      <w:numFmt w:val="decimal"/>
      <w:start w:val="1"/>
    </w:lvl>
  </w:abstractNum>
  <w:abstractNum w:abstractNumId="49">
    <w:nsid w:val="65968C1C"/>
    <w:multiLevelType w:val="hybridMultilevel"/>
    <w:lvl w:ilvl="0">
      <w:lvlJc w:val="left"/>
      <w:lvlText w:val="(%1)"/>
      <w:numFmt w:val="lowerRoman"/>
      <w:start w:val="2"/>
    </w:lvl>
  </w:abstractNum>
  <w:abstractNum w:abstractNumId="50">
    <w:nsid w:val="46263DEC"/>
    <w:multiLevelType w:val="hybridMultilevel"/>
    <w:lvl w:ilvl="0">
      <w:lvlJc w:val="left"/>
      <w:lvlText w:val="(%1)"/>
      <w:numFmt w:val="decimal"/>
      <w:start w:val="2"/>
    </w:lvl>
  </w:abstractNum>
  <w:abstractNum w:abstractNumId="51">
    <w:nsid w:val="260D8C4A"/>
    <w:multiLevelType w:val="hybridMultilevel"/>
    <w:lvl w:ilvl="0">
      <w:lvlJc w:val="left"/>
      <w:lvlText w:val="(%1)"/>
      <w:numFmt w:val="lowerLetter"/>
      <w:start w:val="1"/>
    </w:lvl>
  </w:abstractNum>
  <w:abstractNum w:abstractNumId="52">
    <w:nsid w:val="73D4D3C4"/>
    <w:multiLevelType w:val="hybridMultilevel"/>
    <w:lvl w:ilvl="0">
      <w:lvlJc w:val="left"/>
      <w:lvlText w:val="(%1)"/>
      <w:numFmt w:val="lowerLetter"/>
      <w:start w:val="3"/>
    </w:lvl>
  </w:abstractNum>
  <w:abstractNum w:abstractNumId="53">
    <w:nsid w:val="746F2E30"/>
    <w:multiLevelType w:val="hybridMultilevel"/>
    <w:lvl w:ilvl="0">
      <w:lvlJc w:val="left"/>
      <w:lvlText w:val="(%1)"/>
      <w:numFmt w:val="lowerLetter"/>
      <w:start w:val="1"/>
    </w:lvl>
  </w:abstractNum>
  <w:abstractNum w:abstractNumId="54">
    <w:nsid w:val="6FDE8AF6"/>
    <w:multiLevelType w:val="hybridMultilevel"/>
    <w:lvl w:ilvl="0">
      <w:lvlJc w:val="left"/>
      <w:lvlText w:val="(%1)"/>
      <w:numFmt w:val="lowerLetter"/>
      <w:start w:val="1"/>
    </w:lvl>
  </w:abstractNum>
  <w:abstractNum w:abstractNumId="55">
    <w:nsid w:val="3FC32E20"/>
    <w:multiLevelType w:val="hybridMultilevel"/>
    <w:lvl w:ilvl="0">
      <w:lvlJc w:val="left"/>
      <w:lvlText w:val="(%1)"/>
      <w:numFmt w:val="decimal"/>
      <w:start w:val="1"/>
    </w:lvl>
  </w:abstractNum>
  <w:abstractNum w:abstractNumId="56">
    <w:nsid w:val="49C0E823"/>
    <w:multiLevelType w:val="hybridMultilevel"/>
    <w:lvl w:ilvl="0">
      <w:lvlJc w:val="left"/>
      <w:lvlText w:val="(%1)"/>
      <w:numFmt w:val="lowerRoman"/>
      <w:start w:val="2"/>
    </w:lvl>
  </w:abstractNum>
  <w:abstractNum w:abstractNumId="57">
    <w:nsid w:val="14D53685"/>
    <w:multiLevelType w:val="hybridMultilevel"/>
    <w:lvl w:ilvl="0">
      <w:lvlJc w:val="left"/>
      <w:lvlText w:val="(%1)"/>
      <w:numFmt w:val="lowerLetter"/>
      <w:start w:val="7"/>
    </w:lvl>
  </w:abstractNum>
  <w:abstractNum w:abstractNumId="58">
    <w:nsid w:val="230F856C"/>
    <w:multiLevelType w:val="hybridMultilevel"/>
    <w:lvl w:ilvl="0">
      <w:lvlJc w:val="left"/>
      <w:lvlText w:val="(%1)"/>
      <w:numFmt w:val="lowerLetter"/>
      <w:start w:val="1"/>
    </w:lvl>
  </w:abstractNum>
  <w:abstractNum w:abstractNumId="59">
    <w:nsid w:val="6EAA85FB"/>
    <w:multiLevelType w:val="hybridMultilevel"/>
    <w:lvl w:ilvl="0">
      <w:lvlJc w:val="left"/>
      <w:lvlText w:val="(%1)"/>
      <w:numFmt w:val="lowerRoman"/>
      <w:start w:val="1"/>
    </w:lvl>
  </w:abstractNum>
  <w:abstractNum w:abstractNumId="60">
    <w:nsid w:val="3F06ECB2"/>
    <w:multiLevelType w:val="hybridMultilevel"/>
    <w:lvl w:ilvl="0">
      <w:lvlJc w:val="left"/>
      <w:lvlText w:val="(%1)"/>
      <w:numFmt w:val="lowerLetter"/>
      <w:start w:val="2"/>
    </w:lvl>
  </w:abstractNum>
  <w:abstractNum w:abstractNumId="61">
    <w:nsid w:val="3B594807"/>
    <w:multiLevelType w:val="hybridMultilevel"/>
    <w:lvl w:ilvl="0">
      <w:lvlJc w:val="left"/>
      <w:lvlText w:val="(%1)"/>
      <w:numFmt w:val="lowerLetter"/>
      <w:start w:val="2"/>
    </w:lvl>
  </w:abstractNum>
  <w:abstractNum w:abstractNumId="62">
    <w:nsid w:val="6CAA2304"/>
    <w:multiLevelType w:val="hybridMultilevel"/>
    <w:lvl w:ilvl="0">
      <w:lvlJc w:val="left"/>
      <w:lvlText w:val="(%1)"/>
      <w:numFmt w:val="lowerLetter"/>
      <w:start w:val="1"/>
    </w:lvl>
  </w:abstractNum>
  <w:abstractNum w:abstractNumId="63">
    <w:nsid w:val="3F7C2FF4"/>
    <w:multiLevelType w:val="hybridMultilevel"/>
    <w:lvl w:ilvl="0">
      <w:lvlJc w:val="left"/>
      <w:lvlText w:val="(%1)"/>
      <w:numFmt w:val="lowerLetter"/>
      <w:start w:val="2"/>
    </w:lvl>
  </w:abstractNum>
  <w:abstractNum w:abstractNumId="64">
    <w:nsid w:val="25413BEC"/>
    <w:multiLevelType w:val="hybridMultilevel"/>
    <w:lvl w:ilvl="0">
      <w:lvlJc w:val="left"/>
      <w:lvlText w:val="(%1)"/>
      <w:numFmt w:val="lowerLetter"/>
      <w:start w:val="1"/>
    </w:lvl>
  </w:abstractNum>
  <w:abstractNum w:abstractNumId="65">
    <w:nsid w:val="17180B0B"/>
    <w:multiLevelType w:val="hybridMultilevel"/>
    <w:lvl w:ilvl="0">
      <w:lvlJc w:val="left"/>
      <w:lvlText w:val="(%1)"/>
      <w:numFmt w:val="lowerLetter"/>
      <w:start w:val="7"/>
    </w:lvl>
  </w:abstractNum>
  <w:abstractNum w:abstractNumId="66">
    <w:nsid w:val="579328B9"/>
    <w:multiLevelType w:val="hybridMultilevel"/>
    <w:lvl w:ilvl="0">
      <w:lvlJc w:val="left"/>
      <w:lvlText w:val="(%1)"/>
      <w:numFmt w:val="lowerRoman"/>
      <w:start w:val="2"/>
    </w:lvl>
  </w:abstractNum>
  <w:abstractNum w:abstractNumId="67">
    <w:nsid w:val="5D205E20"/>
    <w:multiLevelType w:val="hybridMultilevel"/>
    <w:lvl w:ilvl="0">
      <w:lvlJc w:val="left"/>
      <w:lvlText w:val="(%1)"/>
      <w:numFmt w:val="lowerLetter"/>
      <w:start w:val="1"/>
    </w:lvl>
  </w:abstractNum>
  <w:abstractNum w:abstractNumId="68">
    <w:nsid w:val="11CCA8BA"/>
    <w:multiLevelType w:val="hybridMultilevel"/>
    <w:lvl w:ilvl="0">
      <w:lvlJc w:val="left"/>
      <w:lvlText w:val="(%1)"/>
      <w:numFmt w:val="lowerLetter"/>
      <w:start w:val="2"/>
    </w:lvl>
  </w:abstractNum>
  <w:abstractNum w:abstractNumId="69">
    <w:nsid w:val="4D32AB86"/>
    <w:multiLevelType w:val="hybridMultilevel"/>
    <w:lvl w:ilvl="0">
      <w:lvlJc w:val="left"/>
      <w:lvlText w:val="(%1)"/>
      <w:numFmt w:val="lowerLetter"/>
      <w:start w:val="1"/>
    </w:lvl>
  </w:abstractNum>
  <w:abstractNum w:abstractNumId="70">
    <w:nsid w:val="3F07ACC3"/>
    <w:multiLevelType w:val="hybridMultilevel"/>
    <w:lvl w:ilvl="0">
      <w:lvlJc w:val="left"/>
      <w:lvlText w:val="(%1)"/>
      <w:numFmt w:val="lowerRoman"/>
      <w:start w:val="1"/>
    </w:lvl>
  </w:abstractNum>
  <w:abstractNum w:abstractNumId="71">
    <w:nsid w:val="6B47F63E"/>
    <w:multiLevelType w:val="hybridMultilevel"/>
    <w:lvl w:ilvl="0">
      <w:lvlJc w:val="left"/>
      <w:lvlText w:val="(%1)"/>
      <w:numFmt w:val="lowerLetter"/>
      <w:start w:val="1"/>
    </w:lvl>
  </w:abstractNum>
  <w:abstractNum w:abstractNumId="72">
    <w:nsid w:val="5CB44A05"/>
    <w:multiLevelType w:val="hybridMultilevel"/>
    <w:lvl w:ilvl="0">
      <w:lvlJc w:val="left"/>
      <w:lvlText w:val="(%1)"/>
      <w:numFmt w:val="lowerLetter"/>
      <w:start w:val="2"/>
    </w:lvl>
  </w:abstractNum>
  <w:abstractNum w:abstractNumId="73">
    <w:nsid w:val="16CF80F1"/>
    <w:multiLevelType w:val="hybridMultilevel"/>
    <w:lvl w:ilvl="0">
      <w:lvlJc w:val="left"/>
      <w:lvlText w:val="(%1)"/>
      <w:numFmt w:val="lowerLetter"/>
      <w:start w:val="1"/>
    </w:lvl>
  </w:abstractNum>
  <w:abstractNum w:abstractNumId="74">
    <w:nsid w:val="1C695DEC"/>
    <w:multiLevelType w:val="hybridMultilevel"/>
    <w:lvl w:ilvl="0">
      <w:lvlJc w:val="left"/>
      <w:lvlText w:val="%1"/>
      <w:numFmt w:val="lowerLetter"/>
      <w:start w:val="1"/>
    </w:lvl>
    <w:lvl w:ilvl="1">
      <w:lvlJc w:val="left"/>
      <w:lvlText w:val="(%2)"/>
      <w:numFmt w:val="lowerLetter"/>
      <w:start w:val="2"/>
    </w:lvl>
  </w:abstractNum>
  <w:abstractNum w:abstractNumId="75">
    <w:nsid w:val="3FCFAED9"/>
    <w:multiLevelType w:val="hybridMultilevel"/>
    <w:lvl w:ilvl="0">
      <w:lvlJc w:val="left"/>
      <w:lvlText w:val="(%1)"/>
      <w:numFmt w:val="lowerLetter"/>
      <w:start w:val="61"/>
    </w:lvl>
    <w:lvl w:ilvl="1">
      <w:lvlJc w:val="left"/>
      <w:lvlText w:val="%2"/>
      <w:numFmt w:val="lowerLetter"/>
      <w:start w:val="1"/>
    </w:lvl>
  </w:abstractNum>
  <w:abstractNum w:abstractNumId="76">
    <w:nsid w:val="F856867"/>
    <w:multiLevelType w:val="hybridMultilevel"/>
    <w:lvl w:ilvl="0">
      <w:lvlJc w:val="left"/>
      <w:lvlText w:val="(%1)"/>
      <w:numFmt w:val="lowerLetter"/>
      <w:start w:val="3"/>
    </w:lvl>
  </w:abstractNum>
  <w:abstractNum w:abstractNumId="77">
    <w:nsid w:val="11B1CC33"/>
    <w:multiLevelType w:val="hybridMultilevel"/>
    <w:lvl w:ilvl="0">
      <w:lvlJc w:val="left"/>
      <w:lvlText w:val="(%1)"/>
      <w:numFmt w:val="lowerLetter"/>
      <w:start w:val="5"/>
    </w:lvl>
  </w:abstractNum>
  <w:abstractNum w:abstractNumId="78">
    <w:nsid w:val="2E22FBB7"/>
    <w:multiLevelType w:val="hybridMultilevel"/>
    <w:lvl w:ilvl="0">
      <w:lvlJc w:val="left"/>
      <w:lvlText w:val="(%1)"/>
      <w:numFmt w:val="lowerLetter"/>
      <w:start w:val="7"/>
    </w:lvl>
  </w:abstractNum>
  <w:abstractNum w:abstractNumId="79">
    <w:nsid w:val="29934699"/>
    <w:multiLevelType w:val="hybridMultilevel"/>
    <w:lvl w:ilvl="0">
      <w:lvlJc w:val="left"/>
      <w:lvlText w:val="(%1)"/>
      <w:numFmt w:val="lowerRoman"/>
      <w:start w:val="2"/>
    </w:lvl>
  </w:abstractNum>
  <w:abstractNum w:abstractNumId="80">
    <w:nsid w:val="77485850"/>
    <w:multiLevelType w:val="hybridMultilevel"/>
    <w:lvl w:ilvl="0">
      <w:lvlJc w:val="left"/>
      <w:lvlText w:val="(%1)"/>
      <w:numFmt w:val="lowerLetter"/>
      <w:start w:val="10"/>
    </w:lvl>
  </w:abstractNum>
  <w:abstractNum w:abstractNumId="81">
    <w:nsid w:val="744939A3"/>
    <w:multiLevelType w:val="hybridMultilevel"/>
    <w:lvl w:ilvl="0">
      <w:lvlJc w:val="left"/>
      <w:lvlText w:val="(%1)"/>
      <w:numFmt w:val="lowerLetter"/>
      <w:start w:val="11"/>
    </w:lvl>
  </w:abstractNum>
  <w:abstractNum w:abstractNumId="82">
    <w:nsid w:val="4FA0D2E3"/>
    <w:multiLevelType w:val="hybridMultilevel"/>
    <w:lvl w:ilvl="0">
      <w:lvlJc w:val="left"/>
      <w:lvlText w:val="(%1)"/>
      <w:numFmt w:val="lowerLetter"/>
      <w:start w:val="1"/>
    </w:lvl>
  </w:abstractNum>
  <w:abstractNum w:abstractNumId="83">
    <w:nsid w:val="6B1D2C14"/>
    <w:multiLevelType w:val="hybridMultilevel"/>
    <w:lvl w:ilvl="0">
      <w:lvlJc w:val="left"/>
      <w:lvlText w:val="(%1)"/>
      <w:numFmt w:val="lowerLetter"/>
      <w:start w:val="2"/>
    </w:lvl>
  </w:abstractNum>
  <w:abstractNum w:abstractNumId="84">
    <w:nsid w:val="68B867D3"/>
    <w:multiLevelType w:val="hybridMultilevel"/>
    <w:lvl w:ilvl="0">
      <w:lvlJc w:val="left"/>
      <w:lvlText w:val="(%1)"/>
      <w:numFmt w:val="lowerLetter"/>
      <w:start w:val="1"/>
    </w:lvl>
  </w:abstractNum>
  <w:abstractNum w:abstractNumId="85">
    <w:nsid w:val="3F7F5DD9"/>
    <w:multiLevelType w:val="hybridMultilevel"/>
    <w:lvl w:ilvl="0">
      <w:lvlJc w:val="left"/>
      <w:lvlText w:val="(%1)"/>
      <w:numFmt w:val="lowerLetter"/>
      <w:start w:val="3"/>
    </w:lvl>
  </w:abstractNum>
  <w:abstractNum w:abstractNumId="86">
    <w:nsid w:val="2AE05A34"/>
    <w:multiLevelType w:val="hybridMultilevel"/>
    <w:lvl w:ilvl="0">
      <w:lvlJc w:val="left"/>
      <w:lvlText w:val="%1"/>
      <w:numFmt w:val="lowerRoman"/>
      <w:start w:val="1"/>
    </w:lvl>
    <w:lvl w:ilvl="1">
      <w:lvlJc w:val="left"/>
      <w:lvlText w:val="(%2)"/>
      <w:numFmt w:val="lowerRoman"/>
      <w:start w:val="1"/>
    </w:lvl>
  </w:abstractNum>
  <w:abstractNum w:abstractNumId="87">
    <w:nsid w:val="32794FF7"/>
    <w:multiLevelType w:val="hybridMultilevel"/>
    <w:lvl w:ilvl="0">
      <w:lvlJc w:val="left"/>
      <w:lvlText w:val="(%1)"/>
      <w:numFmt w:val="lowerRoman"/>
      <w:start w:val="4"/>
    </w:lvl>
    <w:lvl w:ilvl="1">
      <w:lvlJc w:val="left"/>
      <w:lvlText w:val="(%2)"/>
      <w:numFmt w:val="lowerRoman"/>
      <w:start w:val="2"/>
    </w:lvl>
  </w:abstractNum>
  <w:abstractNum w:abstractNumId="88">
    <w:nsid w:val="5454945E"/>
    <w:multiLevelType w:val="hybridMultilevel"/>
    <w:lvl w:ilvl="0">
      <w:lvlJc w:val="left"/>
      <w:lvlText w:val="(%1)"/>
      <w:numFmt w:val="lowerLetter"/>
      <w:start w:val="4"/>
    </w:lvl>
  </w:abstractNum>
  <w:abstractNum w:abstractNumId="89">
    <w:nsid w:val="4DEFDFA0"/>
    <w:multiLevelType w:val="hybridMultilevel"/>
    <w:lvl w:ilvl="0">
      <w:lvlJc w:val="left"/>
      <w:lvlText w:val="(%1)"/>
      <w:numFmt w:val="lowerLetter"/>
      <w:start w:val="1"/>
    </w:lvl>
  </w:abstractNum>
  <w:abstractNum w:abstractNumId="90">
    <w:nsid w:val="2123D5F2"/>
    <w:multiLevelType w:val="hybridMultilevel"/>
    <w:lvl w:ilvl="0">
      <w:lvlJc w:val="left"/>
      <w:lvlText w:val="(%1)"/>
      <w:numFmt w:val="lowerLetter"/>
      <w:start w:val="7"/>
    </w:lvl>
  </w:abstractNum>
  <w:abstractNum w:abstractNumId="91">
    <w:nsid w:val="135B8110"/>
    <w:multiLevelType w:val="hybridMultilevel"/>
    <w:lvl w:ilvl="0">
      <w:lvlJc w:val="left"/>
      <w:lvlText w:val="(%1)"/>
      <w:numFmt w:val="lowerLetter"/>
      <w:start w:val="1"/>
    </w:lvl>
  </w:abstractNum>
  <w:abstractNum w:abstractNumId="92">
    <w:nsid w:val="94927A8"/>
    <w:multiLevelType w:val="hybridMultilevel"/>
    <w:lvl w:ilvl="0">
      <w:lvlJc w:val="left"/>
      <w:lvlText w:val="(%1)"/>
      <w:numFmt w:val="lowerLetter"/>
      <w:start w:val="3"/>
    </w:lvl>
  </w:abstractNum>
  <w:abstractNum w:abstractNumId="93">
    <w:nsid w:val="DCDF8F6"/>
    <w:multiLevelType w:val="hybridMultilevel"/>
    <w:lvl w:ilvl="0">
      <w:lvlJc w:val="left"/>
      <w:lvlText w:val="%1"/>
      <w:numFmt w:val="lowerRoman"/>
      <w:start w:val="1"/>
    </w:lvl>
    <w:lvl w:ilvl="1">
      <w:lvlJc w:val="left"/>
      <w:lvlText w:val="(%2)"/>
      <w:numFmt w:val="lowerLetter"/>
      <w:start w:val="1"/>
    </w:lvl>
  </w:abstractNum>
  <w:abstractNum w:abstractNumId="94">
    <w:nsid w:val="52D7B105"/>
    <w:multiLevelType w:val="hybridMultilevel"/>
    <w:lvl w:ilvl="0">
      <w:lvlJc w:val="left"/>
      <w:lvlText w:val="(%1)"/>
      <w:numFmt w:val="lowerRoman"/>
      <w:start w:val="4"/>
    </w:lvl>
    <w:lvl w:ilvl="1">
      <w:lvlJc w:val="left"/>
      <w:lvlText w:val="%2"/>
      <w:numFmt w:val="lowerLetter"/>
      <w:start w:val="1"/>
    </w:lvl>
  </w:abstractNum>
  <w:abstractNum w:abstractNumId="95">
    <w:nsid w:val="2E8A6394"/>
    <w:multiLevelType w:val="hybridMultilevel"/>
    <w:lvl w:ilvl="0">
      <w:lvlJc w:val="left"/>
      <w:lvlText w:val="(%1)"/>
      <w:numFmt w:val="lowerLetter"/>
      <w:start w:val="1"/>
    </w:lvl>
  </w:abstractNum>
  <w:abstractNum w:abstractNumId="96">
    <w:nsid w:val="24E60401"/>
    <w:multiLevelType w:val="hybridMultilevel"/>
    <w:lvl w:ilvl="0">
      <w:lvlJc w:val="left"/>
      <w:lvlText w:val="(%1)"/>
      <w:numFmt w:val="lowerLetter"/>
      <w:start w:val="3"/>
    </w:lvl>
  </w:abstractNum>
  <w:abstractNum w:abstractNumId="97">
    <w:nsid w:val="2A6AD9BE"/>
    <w:multiLevelType w:val="hybridMultilevel"/>
    <w:lvl w:ilvl="0">
      <w:lvlJc w:val="left"/>
      <w:lvlText w:val="(%1)"/>
      <w:numFmt w:val="lowerLetter"/>
      <w:start w:val="1"/>
    </w:lvl>
  </w:abstractNum>
  <w:abstractNum w:abstractNumId="98">
    <w:nsid w:val="BAAC1B4"/>
    <w:multiLevelType w:val="hybridMultilevel"/>
    <w:lvl w:ilvl="0">
      <w:lvlJc w:val="left"/>
      <w:lvlText w:val="(%1)"/>
      <w:numFmt w:val="lowerLetter"/>
      <w:start w:val="5"/>
    </w:lvl>
  </w:abstractNum>
  <w:abstractNum w:abstractNumId="99">
    <w:nsid w:val="36B2ACBC"/>
    <w:multiLevelType w:val="hybridMultilevel"/>
    <w:lvl w:ilvl="0">
      <w:lvlJc w:val="left"/>
      <w:lvlText w:val="(%1)"/>
      <w:numFmt w:val="lowerLetter"/>
      <w:start w:val="1"/>
    </w:lvl>
    <w:lvl w:ilvl="1">
      <w:lvlJc w:val="left"/>
      <w:lvlText w:val="(%2)"/>
      <w:numFmt w:val="lowerRoman"/>
      <w:start w:val="1"/>
    </w:lvl>
  </w:abstractNum>
  <w:abstractNum w:abstractNumId="100">
    <w:nsid w:val="779D8544"/>
    <w:multiLevelType w:val="hybridMultilevel"/>
    <w:lvl w:ilvl="0">
      <w:lvlJc w:val="left"/>
      <w:lvlText w:val="(%1)"/>
      <w:numFmt w:val="lowerLetter"/>
      <w:start w:val="24"/>
    </w:lvl>
    <w:lvl w:ilvl="1">
      <w:lvlJc w:val="left"/>
      <w:lvlText w:val="(%2)"/>
      <w:numFmt w:val="lowerLetter"/>
      <w:start w:val="2"/>
    </w:lvl>
  </w:abstractNum>
  <w:abstractNum w:abstractNumId="101">
    <w:nsid w:val="4AB26E78"/>
    <w:multiLevelType w:val="hybridMultilevel"/>
    <w:lvl w:ilvl="0">
      <w:lvlJc w:val="left"/>
      <w:lvlText w:val="%1"/>
      <w:numFmt w:val="decimal"/>
      <w:start w:val="1"/>
    </w:lvl>
    <w:lvl w:ilvl="1">
      <w:lvlJc w:val="left"/>
      <w:lvlText w:val="(%2)"/>
      <w:numFmt w:val="lowerLetter"/>
      <w:start w:val="5"/>
    </w:lvl>
  </w:abstractNum>
  <w:abstractNum w:abstractNumId="102">
    <w:nsid w:val="21FAA2FA"/>
    <w:multiLevelType w:val="hybridMultilevel"/>
    <w:lvl w:ilvl="0">
      <w:lvlJc w:val="left"/>
      <w:lvlText w:val="(%1)"/>
      <w:numFmt w:val="decimal"/>
      <w:start w:val="6"/>
    </w:lvl>
    <w:lvl w:ilvl="1">
      <w:lvlJc w:val="left"/>
      <w:lvlText w:val="%2"/>
      <w:numFmt w:val="lowerLetter"/>
      <w:start w:val="1"/>
    </w:lvl>
  </w:abstractNum>
  <w:abstractNum w:abstractNumId="103">
    <w:nsid w:val="5451CF49"/>
    <w:multiLevelType w:val="hybridMultilevel"/>
    <w:lvl w:ilvl="0">
      <w:lvlJc w:val="left"/>
      <w:lvlText w:val="(%1)"/>
      <w:numFmt w:val="lowerRoman"/>
      <w:start w:val="1"/>
    </w:lvl>
  </w:abstractNum>
  <w:abstractNum w:abstractNumId="104">
    <w:nsid w:val="6181EF69"/>
    <w:multiLevelType w:val="hybridMultilevel"/>
    <w:lvl w:ilvl="0">
      <w:lvlJc w:val="left"/>
      <w:lvlText w:val="(%1)"/>
      <w:numFmt w:val="lowerLetter"/>
      <w:start w:val="2"/>
    </w:lvl>
  </w:abstractNum>
  <w:abstractNum w:abstractNumId="105">
    <w:nsid w:val="3E6400E6"/>
    <w:multiLevelType w:val="hybridMultilevel"/>
    <w:lvl w:ilvl="0">
      <w:lvlJc w:val="left"/>
      <w:lvlText w:val="(%1)"/>
      <w:numFmt w:val="lowerLetter"/>
      <w:start w:val="2"/>
    </w:lvl>
  </w:abstractNum>
  <w:abstractNum w:abstractNumId="106">
    <w:nsid w:val="14217E23"/>
    <w:multiLevelType w:val="hybridMultilevel"/>
    <w:lvl w:ilvl="0">
      <w:lvlJc w:val="left"/>
      <w:lvlText w:val="(%1)"/>
      <w:numFmt w:val="lowerLetter"/>
      <w:start w:val="1"/>
    </w:lvl>
  </w:abstractNum>
  <w:abstractNum w:abstractNumId="107">
    <w:nsid w:val="710757D0"/>
    <w:multiLevelType w:val="hybridMultilevel"/>
    <w:lvl w:ilvl="0">
      <w:lvlJc w:val="left"/>
      <w:lvlText w:val="(%1)"/>
      <w:numFmt w:val="lowerLetter"/>
      <w:start w:val="2"/>
    </w:lvl>
  </w:abstractNum>
  <w:abstractNum w:abstractNumId="108">
    <w:nsid w:val="5015CD1A"/>
    <w:multiLevelType w:val="hybridMultilevel"/>
    <w:lvl w:ilvl="0">
      <w:lvlJc w:val="left"/>
      <w:lvlText w:val="(%1)"/>
      <w:numFmt w:val="lowerRoman"/>
      <w:start w:val="1"/>
    </w:lvl>
  </w:abstractNum>
  <w:abstractNum w:abstractNumId="109">
    <w:nsid w:val="424479DA"/>
    <w:multiLevelType w:val="hybridMultilevel"/>
    <w:lvl w:ilvl="0">
      <w:lvlJc w:val="left"/>
      <w:lvlText w:val="(%1)"/>
      <w:numFmt w:val="upperLetter"/>
      <w:start w:val="1"/>
    </w:lvl>
    <w:lvl w:ilvl="1">
      <w:lvlJc w:val="left"/>
      <w:lvlText w:val="(%2)"/>
      <w:numFmt w:val="decimal"/>
      <w:start w:val="1"/>
    </w:lvl>
  </w:abstractNum>
  <w:abstractNum w:abstractNumId="110">
    <w:nsid w:val="1A9A9E69"/>
    <w:multiLevelType w:val="hybridMultilevel"/>
    <w:lvl w:ilvl="0">
      <w:lvlJc w:val="left"/>
      <w:lvlText w:val="%1"/>
      <w:numFmt w:val="lowerRoman"/>
      <w:start w:val="1"/>
    </w:lvl>
    <w:lvl w:ilvl="1">
      <w:lvlJc w:val="left"/>
      <w:lvlText w:val="(%2)"/>
      <w:numFmt w:val="upperLetter"/>
      <w:start w:val="3"/>
    </w:lvl>
  </w:abstractNum>
  <w:abstractNum w:abstractNumId="111">
    <w:nsid w:val="475E256A"/>
    <w:multiLevelType w:val="hybridMultilevel"/>
    <w:lvl w:ilvl="0">
      <w:lvlJc w:val="left"/>
      <w:lvlText w:val="(%1)"/>
      <w:numFmt w:val="lowerRoman"/>
      <w:start w:val="1"/>
    </w:lvl>
    <w:lvl w:ilvl="1">
      <w:lvlJc w:val="left"/>
      <w:lvlText w:val="%2"/>
      <w:numFmt w:val="upperLetter"/>
      <w:start w:val="1"/>
    </w:lvl>
  </w:abstractNum>
  <w:abstractNum w:abstractNumId="112">
    <w:nsid w:val="368DB37E"/>
    <w:multiLevelType w:val="hybridMultilevel"/>
    <w:lvl w:ilvl="0">
      <w:lvlJc w:val="left"/>
      <w:lvlText w:val="(%1)"/>
      <w:numFmt w:val="lowerLetter"/>
      <w:start w:val="7"/>
    </w:lvl>
  </w:abstractNum>
  <w:abstractNum w:abstractNumId="113">
    <w:nsid w:val="6A3B714C"/>
    <w:multiLevelType w:val="hybridMultilevel"/>
    <w:lvl w:ilvl="0">
      <w:lvlJc w:val="left"/>
      <w:lvlText w:val="(%1)"/>
      <w:numFmt w:val="lowerLetter"/>
      <w:start w:val="8"/>
    </w:lvl>
  </w:abstractNum>
  <w:abstractNum w:abstractNumId="114">
    <w:nsid w:val="327B517E"/>
    <w:multiLevelType w:val="hybridMultilevel"/>
    <w:lvl w:ilvl="0">
      <w:lvlJc w:val="left"/>
      <w:lvlText w:val="(%1)"/>
      <w:numFmt w:val="lowerLetter"/>
      <w:start w:val="1"/>
    </w:lvl>
  </w:abstractNum>
  <w:abstractNum w:abstractNumId="115">
    <w:nsid w:val="1F461B51"/>
    <w:multiLevelType w:val="hybridMultilevel"/>
    <w:lvl w:ilvl="0">
      <w:lvlJc w:val="left"/>
      <w:lvlText w:val="(%1)"/>
      <w:numFmt w:val="lowerLetter"/>
      <w:start w:val="3"/>
    </w:lvl>
  </w:abstractNum>
  <w:abstractNum w:abstractNumId="116">
    <w:nsid w:val="29BACF25"/>
    <w:multiLevelType w:val="hybridMultilevel"/>
    <w:lvl w:ilvl="0">
      <w:lvlJc w:val="left"/>
      <w:lvlText w:val="(%1)"/>
      <w:numFmt w:val="lowerLetter"/>
      <w:start w:val="5"/>
    </w:lvl>
  </w:abstractNum>
  <w:abstractNum w:abstractNumId="117">
    <w:nsid w:val="5D5BABB3"/>
    <w:multiLevelType w:val="hybridMultilevel"/>
    <w:lvl w:ilvl="0">
      <w:lvlJc w:val="left"/>
      <w:lvlText w:val="(%1)"/>
      <w:numFmt w:val="lowerLetter"/>
      <w:start w:val="1"/>
    </w:lvl>
  </w:abstractNum>
  <w:abstractNum w:abstractNumId="118">
    <w:nsid w:val="51BF6B48"/>
    <w:multiLevelType w:val="hybridMultilevel"/>
    <w:lvl w:ilvl="0">
      <w:lvlJc w:val="left"/>
      <w:lvlText w:val="(%1)"/>
      <w:numFmt w:val="lowerLetter"/>
      <w:start w:val="2"/>
    </w:lvl>
  </w:abstractNum>
  <w:abstractNum w:abstractNumId="119">
    <w:nsid w:val="7E0F6384"/>
    <w:multiLevelType w:val="hybridMultilevel"/>
    <w:lvl w:ilvl="0">
      <w:lvlJc w:val="left"/>
      <w:lvlText w:val="(%1)"/>
      <w:numFmt w:val="lowerLetter"/>
      <w:start w:val="1"/>
    </w:lvl>
  </w:abstractNum>
  <w:abstractNum w:abstractNumId="120">
    <w:nsid w:val="2B4B8B53"/>
    <w:multiLevelType w:val="hybridMultilevel"/>
    <w:lvl w:ilvl="0">
      <w:lvlJc w:val="left"/>
      <w:lvlText w:val="(%1)"/>
      <w:numFmt w:val="lowerLetter"/>
      <w:start w:val="2"/>
    </w:lvl>
  </w:abstractNum>
  <w:abstractNum w:abstractNumId="121">
    <w:nsid w:val="72E3413A"/>
    <w:multiLevelType w:val="hybridMultilevel"/>
    <w:lvl w:ilvl="0">
      <w:lvlJc w:val="left"/>
      <w:lvlText w:val="(%1)"/>
      <w:numFmt w:val="lowerRoman"/>
      <w:start w:val="1"/>
    </w:lvl>
  </w:abstractNum>
  <w:abstractNum w:abstractNumId="122">
    <w:nsid w:val="116AE494"/>
    <w:multiLevelType w:val="hybridMultilevel"/>
    <w:lvl w:ilvl="0">
      <w:lvlJc w:val="left"/>
      <w:lvlText w:val="%1"/>
      <w:numFmt w:val="lowerRoman"/>
      <w:start w:val="1"/>
    </w:lvl>
    <w:lvl w:ilvl="1">
      <w:lvlJc w:val="left"/>
      <w:lvlText w:val="(%2)"/>
      <w:numFmt w:val="lowerRoman"/>
      <w:start w:val="2"/>
    </w:lvl>
  </w:abstractNum>
  <w:abstractNum w:abstractNumId="123">
    <w:nsid w:val="3494B2FB"/>
    <w:multiLevelType w:val="hybridMultilevel"/>
    <w:lvl w:ilvl="0">
      <w:lvlJc w:val="left"/>
      <w:lvlText w:val="(%1)"/>
      <w:numFmt w:val="lowerRoman"/>
      <w:start w:val="1"/>
    </w:lvl>
    <w:lvl w:ilvl="1">
      <w:lvlJc w:val="left"/>
      <w:lvlText w:val="(%2)"/>
      <w:numFmt w:val="lowerRoman"/>
      <w:start w:val="5"/>
    </w:lvl>
  </w:abstractNum>
  <w:abstractNum w:abstractNumId="124">
    <w:nsid w:val="B13A31"/>
    <w:multiLevelType w:val="hybridMultilevel"/>
    <w:lvl w:ilvl="0">
      <w:lvlJc w:val="left"/>
      <w:lvlText w:val="(%1)"/>
      <w:numFmt w:val="lowerLetter"/>
      <w:start w:val="5"/>
    </w:lvl>
  </w:abstractNum>
  <w:abstractNum w:abstractNumId="125">
    <w:nsid w:val="64429599"/>
    <w:multiLevelType w:val="hybridMultilevel"/>
    <w:lvl w:ilvl="0">
      <w:lvlJc w:val="left"/>
      <w:lvlText w:val="(%1)"/>
      <w:numFmt w:val="lowerRoman"/>
      <w:start w:val="1"/>
    </w:lvl>
  </w:abstractNum>
  <w:abstractNum w:abstractNumId="126">
    <w:nsid w:val="631F1690"/>
    <w:multiLevelType w:val="hybridMultilevel"/>
    <w:lvl w:ilvl="0">
      <w:lvlJc w:val="left"/>
      <w:lvlText w:val="(%1)"/>
      <w:numFmt w:val="lowerRoman"/>
      <w:start w:val="3"/>
    </w:lvl>
  </w:abstractNum>
  <w:abstractNum w:abstractNumId="127">
    <w:nsid w:val="25973E32"/>
    <w:multiLevelType w:val="hybridMultilevel"/>
    <w:lvl w:ilvl="0">
      <w:lvlJc w:val="left"/>
      <w:lvlText w:val="%1"/>
      <w:numFmt w:val="lowerLetter"/>
      <w:start w:val="1"/>
    </w:lvl>
    <w:lvl w:ilvl="1">
      <w:lvlJc w:val="left"/>
      <w:lvlText w:val="(%2)"/>
      <w:numFmt w:val="lowerLetter"/>
      <w:start w:val="1"/>
    </w:lvl>
  </w:abstractNum>
  <w:abstractNum w:abstractNumId="128">
    <w:nsid w:val="EAD6F57"/>
    <w:multiLevelType w:val="hybridMultilevel"/>
    <w:lvl w:ilvl="0">
      <w:lvlJc w:val="left"/>
      <w:lvlText w:val="(%1)"/>
      <w:numFmt w:val="lowerLetter"/>
      <w:start w:val="35"/>
    </w:lvl>
    <w:lvl w:ilvl="1">
      <w:lvlJc w:val="left"/>
      <w:lvlText w:val="(%2)"/>
      <w:numFmt w:val="lowerLetter"/>
      <w:start w:val="2"/>
    </w:lvl>
  </w:abstractNum>
  <w:abstractNum w:abstractNumId="129">
    <w:nsid w:val="6EC9D844"/>
    <w:multiLevelType w:val="hybridMultilevel"/>
    <w:lvl w:ilvl="0">
      <w:lvlJc w:val="left"/>
      <w:lvlText w:val="(%1)"/>
      <w:numFmt w:val="lowerLetter"/>
      <w:start w:val="1"/>
    </w:lvl>
    <w:lvl w:ilvl="1">
      <w:lvlJc w:val="left"/>
      <w:lvlText w:val="(%2)"/>
      <w:numFmt w:val="lowerLetter"/>
      <w:start w:val="35"/>
    </w:lvl>
  </w:abstractNum>
  <w:abstractNum w:abstractNumId="130">
    <w:nsid w:val="5C49EAEE"/>
    <w:multiLevelType w:val="hybridMultilevel"/>
    <w:lvl w:ilvl="0">
      <w:lvlJc w:val="left"/>
      <w:lvlText w:val="(%1)"/>
      <w:numFmt w:val="lowerLetter"/>
      <w:start w:val="1"/>
    </w:lvl>
  </w:abstractNum>
  <w:abstractNum w:abstractNumId="131">
    <w:nsid w:val="64AF49B"/>
    <w:multiLevelType w:val="hybridMultilevel"/>
    <w:lvl w:ilvl="0">
      <w:lvlJc w:val="left"/>
      <w:lvlText w:val="(%1)"/>
      <w:numFmt w:val="decimal"/>
      <w:start w:val="3"/>
    </w:lvl>
  </w:abstractNum>
  <w:abstractNum w:abstractNumId="132">
    <w:nsid w:val="397C46BC"/>
    <w:multiLevelType w:val="hybridMultilevel"/>
    <w:lvl w:ilvl="0">
      <w:lvlJc w:val="left"/>
      <w:lvlText w:val="(%1)"/>
      <w:numFmt w:val="lowerLetter"/>
      <w:start w:val="1"/>
    </w:lvl>
  </w:abstractNum>
  <w:abstractNum w:abstractNumId="133">
    <w:nsid w:val="7E448DE9"/>
    <w:multiLevelType w:val="hybridMultilevel"/>
    <w:lvl w:ilvl="0">
      <w:lvlJc w:val="left"/>
      <w:lvlText w:val="(%1)"/>
      <w:numFmt w:val="lowerLetter"/>
      <w:start w:val="2"/>
    </w:lvl>
  </w:abstractNum>
  <w:abstractNum w:abstractNumId="134">
    <w:nsid w:val="5A9CC3E5"/>
    <w:multiLevelType w:val="hybridMultilevel"/>
    <w:lvl w:ilvl="0">
      <w:lvlJc w:val="left"/>
      <w:lvlText w:val="(%1)"/>
      <w:numFmt w:val="lowerLetter"/>
      <w:start w:val="2"/>
    </w:lvl>
  </w:abstractNum>
  <w:abstractNum w:abstractNumId="135">
    <w:nsid w:val="1AFE3625"/>
    <w:multiLevelType w:val="hybridMultilevel"/>
    <w:lvl w:ilvl="0">
      <w:lvlJc w:val="left"/>
      <w:lvlText w:val="(%1)"/>
      <w:numFmt w:val="lowerLetter"/>
      <w:start w:val="1"/>
    </w:lvl>
  </w:abstractNum>
  <w:abstractNum w:abstractNumId="136">
    <w:nsid w:val="3CA88ECF"/>
    <w:multiLevelType w:val="hybridMultilevel"/>
    <w:lvl w:ilvl="0">
      <w:lvlJc w:val="left"/>
      <w:lvlText w:val="(%1)"/>
      <w:numFmt w:val="lowerLetter"/>
      <w:start w:val="3"/>
    </w:lvl>
  </w:abstractNum>
  <w:abstractNum w:abstractNumId="137">
    <w:nsid w:val="6EBE4208"/>
    <w:multiLevelType w:val="hybridMultilevel"/>
    <w:lvl w:ilvl="0">
      <w:lvlJc w:val="left"/>
      <w:lvlText w:val="(%1)"/>
      <w:numFmt w:val="lowerLetter"/>
      <w:start w:val="4"/>
    </w:lvl>
  </w:abstractNum>
  <w:abstractNum w:abstractNumId="138">
    <w:nsid w:val="C058DF5"/>
    <w:multiLevelType w:val="hybridMultilevel"/>
    <w:lvl w:ilvl="0">
      <w:lvlJc w:val="left"/>
      <w:lvlText w:val="(%1)"/>
      <w:numFmt w:val="lowerLetter"/>
      <w:start w:val="9"/>
    </w:lvl>
    <w:lvl w:ilvl="1">
      <w:lvlJc w:val="left"/>
      <w:lvlText w:val="(%2)"/>
      <w:numFmt w:val="lowerLetter"/>
      <w:start w:val="13"/>
    </w:lvl>
  </w:abstractNum>
  <w:abstractNum w:abstractNumId="139">
    <w:nsid w:val="CBE5BE9"/>
    <w:multiLevelType w:val="hybridMultilevel"/>
    <w:lvl w:ilvl="0">
      <w:lvlJc w:val="left"/>
      <w:lvlText w:val="(%1)"/>
      <w:numFmt w:val="lowerLetter"/>
      <w:start w:val="14"/>
    </w:lvl>
  </w:abstractNum>
  <w:abstractNum w:abstractNumId="140">
    <w:nsid w:val="3102BBE2"/>
    <w:multiLevelType w:val="hybridMultilevel"/>
    <w:lvl w:ilvl="0">
      <w:lvlJc w:val="left"/>
      <w:lvlText w:val="(%1)"/>
      <w:numFmt w:val="lowerLetter"/>
      <w:start w:val="1"/>
    </w:lvl>
  </w:abstractNum>
  <w:abstractNum w:abstractNumId="141">
    <w:nsid w:val="26A02C5E"/>
    <w:multiLevelType w:val="hybridMultilevel"/>
    <w:lvl w:ilvl="0">
      <w:lvlJc w:val="left"/>
      <w:lvlText w:val="(%1)"/>
      <w:numFmt w:val="decimal"/>
      <w:start w:val="1"/>
    </w:lvl>
  </w:abstractNum>
  <w:abstractNum w:abstractNumId="142">
    <w:nsid w:val="541C8153"/>
    <w:multiLevelType w:val="hybridMultilevel"/>
    <w:lvl w:ilvl="0">
      <w:lvlJc w:val="left"/>
      <w:lvlText w:val="(%1)"/>
      <w:numFmt w:val="lowerLetter"/>
      <w:start w:val="6"/>
    </w:lvl>
  </w:abstractNum>
  <w:abstractNum w:abstractNumId="143">
    <w:nsid w:val="67906F60"/>
    <w:multiLevelType w:val="hybridMultilevel"/>
    <w:lvl w:ilvl="0">
      <w:lvlJc w:val="left"/>
      <w:lvlText w:val="(%1)"/>
      <w:numFmt w:val="decimal"/>
      <w:start w:val="1"/>
    </w:lvl>
  </w:abstractNum>
  <w:abstractNum w:abstractNumId="144">
    <w:nsid w:val="10DB9DAA"/>
    <w:multiLevelType w:val="hybridMultilevel"/>
    <w:lvl w:ilvl="0">
      <w:lvlJc w:val="left"/>
      <w:lvlText w:val="(%1)"/>
      <w:numFmt w:val="lowerLetter"/>
      <w:start w:val="8"/>
    </w:lvl>
  </w:abstractNum>
  <w:abstractNum w:abstractNumId="145">
    <w:nsid w:val="697D2D2"/>
    <w:multiLevelType w:val="hybridMultilevel"/>
    <w:lvl w:ilvl="0">
      <w:lvlJc w:val="left"/>
      <w:lvlText w:val="(%1)"/>
      <w:numFmt w:val="lowerLetter"/>
      <w:start w:val="16"/>
    </w:lvl>
  </w:abstractNum>
  <w:abstractNum w:abstractNumId="146">
    <w:nsid w:val="6D68AB2"/>
    <w:multiLevelType w:val="hybridMultilevel"/>
    <w:lvl w:ilvl="0">
      <w:lvlJc w:val="left"/>
      <w:lvlText w:val="%1"/>
      <w:numFmt w:val="lowerRoman"/>
      <w:start w:val="1"/>
    </w:lvl>
    <w:lvl w:ilvl="1">
      <w:lvlJc w:val="left"/>
      <w:lvlText w:val="(%2)"/>
      <w:numFmt w:val="decimal"/>
      <w:start w:val="2"/>
    </w:lvl>
  </w:abstractNum>
  <w:abstractNum w:abstractNumId="147">
    <w:nsid w:val="3A966CD0"/>
    <w:multiLevelType w:val="hybridMultilevel"/>
    <w:lvl w:ilvl="0">
      <w:lvlJc w:val="left"/>
      <w:lvlText w:val="(%1)"/>
      <w:numFmt w:val="lowerRoman"/>
      <w:start w:val="3"/>
    </w:lvl>
    <w:lvl w:ilvl="1">
      <w:lvlJc w:val="left"/>
      <w:lvlText w:val="%2"/>
      <w:numFmt w:val="decimal"/>
      <w:start w:val="1"/>
    </w:lvl>
  </w:abstractNum>
  <w:abstractNum w:abstractNumId="148">
    <w:nsid w:val="63F37E85"/>
    <w:multiLevelType w:val="hybridMultilevel"/>
    <w:lvl w:ilvl="0">
      <w:lvlJc w:val="left"/>
      <w:lvlText w:val="(%1)"/>
      <w:numFmt w:val="decimal"/>
      <w:start w:val="3"/>
    </w:lvl>
  </w:abstractNum>
  <w:abstractNum w:abstractNumId="149">
    <w:nsid w:val="5895F5FA"/>
    <w:multiLevelType w:val="hybridMultilevel"/>
    <w:lvl w:ilvl="0">
      <w:lvlJc w:val="left"/>
      <w:lvlText w:val="(%1)"/>
      <w:numFmt w:val="lowerLetter"/>
      <w:start w:val="2"/>
    </w:lvl>
  </w:abstractNum>
  <w:abstractNum w:abstractNumId="150">
    <w:nsid w:val="38A5D054"/>
    <w:multiLevelType w:val="hybridMultilevel"/>
    <w:lvl w:ilvl="0">
      <w:lvlJc w:val="left"/>
      <w:lvlText w:val="(%1)"/>
      <w:numFmt w:val="lowerLetter"/>
      <w:start w:val="2"/>
    </w:lvl>
  </w:abstractNum>
  <w:abstractNum w:abstractNumId="151">
    <w:nsid w:val="F3F09D8"/>
    <w:multiLevelType w:val="hybridMultilevel"/>
    <w:lvl w:ilvl="0">
      <w:lvlJc w:val="left"/>
      <w:lvlText w:val="(%1)"/>
      <w:numFmt w:val="lowerLetter"/>
      <w:start w:val="1"/>
    </w:lvl>
    <w:lvl w:ilvl="1">
      <w:lvlJc w:val="left"/>
      <w:lvlText w:val="(%2)"/>
      <w:numFmt w:val="lowerRoman"/>
      <w:start w:val="1"/>
    </w:lvl>
  </w:abstractNum>
  <w:abstractNum w:abstractNumId="152">
    <w:nsid w:val="4B793735"/>
    <w:multiLevelType w:val="hybridMultilevel"/>
    <w:lvl w:ilvl="0">
      <w:lvlJc w:val="left"/>
      <w:lvlText w:val="(%1)"/>
      <w:numFmt w:val="lowerLetter"/>
      <w:start w:val="2"/>
    </w:lvl>
  </w:abstractNum>
  <w:abstractNum w:abstractNumId="153">
    <w:nsid w:val="4A10B4E8"/>
    <w:multiLevelType w:val="hybridMultilevel"/>
    <w:lvl w:ilvl="0">
      <w:lvlJc w:val="left"/>
      <w:lvlText w:val="(%1)"/>
      <w:numFmt w:val="lowerLetter"/>
      <w:start w:val="1"/>
    </w:lvl>
  </w:abstractNum>
  <w:abstractNum w:abstractNumId="154">
    <w:nsid w:val="43D3BCD4"/>
    <w:multiLevelType w:val="hybridMultilevel"/>
    <w:lvl w:ilvl="0">
      <w:lvlJc w:val="left"/>
      <w:lvlText w:val="%1"/>
      <w:numFmt w:val="lowerLetter"/>
      <w:start w:val="1"/>
    </w:lvl>
    <w:lvl w:ilvl="1">
      <w:lvlJc w:val="left"/>
      <w:lvlText w:val="(%2)"/>
      <w:numFmt w:val="lowerLetter"/>
      <w:start w:val="3"/>
    </w:lvl>
  </w:abstractNum>
  <w:abstractNum w:abstractNumId="155">
    <w:nsid w:val="4C2A7166"/>
    <w:multiLevelType w:val="hybridMultilevel"/>
    <w:lvl w:ilvl="0">
      <w:lvlJc w:val="left"/>
      <w:lvlText w:val="(%1)"/>
      <w:numFmt w:val="lowerLetter"/>
      <w:start w:val="61"/>
    </w:lvl>
    <w:lvl w:ilvl="1">
      <w:lvlJc w:val="left"/>
      <w:lvlText w:val="(%2)"/>
      <w:numFmt w:val="lowerLetter"/>
      <w:start w:val="10"/>
    </w:lvl>
  </w:abstractNum>
  <w:abstractNum w:abstractNumId="156">
    <w:nsid w:val="2E534A82"/>
    <w:multiLevelType w:val="hybridMultilevel"/>
    <w:lvl w:ilvl="0">
      <w:lvlJc w:val="left"/>
      <w:lvlText w:val="(%1)"/>
      <w:numFmt w:val="lowerLetter"/>
      <w:start w:val="9"/>
    </w:lvl>
    <w:lvl w:ilvl="1">
      <w:lvlJc w:val="left"/>
      <w:lvlText w:val="%2"/>
      <w:numFmt w:val="lowerLetter"/>
      <w:start w:val="1"/>
    </w:lvl>
  </w:abstractNum>
  <w:abstractNum w:abstractNumId="157">
    <w:nsid w:val="26F2D364"/>
    <w:multiLevelType w:val="hybridMultilevel"/>
    <w:lvl w:ilvl="0">
      <w:lvlJc w:val="left"/>
      <w:lvlText w:val="(%1)"/>
      <w:numFmt w:val="lowerLetter"/>
      <w:start w:val="11"/>
    </w:lvl>
  </w:abstractNum>
  <w:abstractNum w:abstractNumId="158">
    <w:nsid w:val="71C1AF98"/>
    <w:multiLevelType w:val="hybridMultilevel"/>
    <w:lvl w:ilvl="0">
      <w:lvlJc w:val="left"/>
      <w:lvlText w:val="(%1)"/>
      <w:numFmt w:val="lowerLetter"/>
      <w:start w:val="1"/>
    </w:lvl>
  </w:abstractNum>
  <w:abstractNum w:abstractNumId="159">
    <w:nsid w:val="3D00B9D9"/>
    <w:multiLevelType w:val="hybridMultilevel"/>
    <w:lvl w:ilvl="0">
      <w:lvlJc w:val="left"/>
      <w:lvlText w:val="(%1)"/>
      <w:numFmt w:val="lowerLetter"/>
      <w:start w:val="7"/>
    </w:lvl>
  </w:abstractNum>
  <w:abstractNum w:abstractNumId="160">
    <w:nsid w:val="15BCABA8"/>
    <w:multiLevelType w:val="hybridMultilevel"/>
    <w:lvl w:ilvl="0">
      <w:lvlJc w:val="left"/>
      <w:lvlText w:val="(%1)"/>
      <w:numFmt w:val="lowerLetter"/>
      <w:start w:val="2"/>
    </w:lvl>
  </w:abstractNum>
  <w:abstractNum w:abstractNumId="161">
    <w:nsid w:val="4E0B9A87"/>
    <w:multiLevelType w:val="hybridMultilevel"/>
    <w:lvl w:ilvl="0">
      <w:lvlJc w:val="left"/>
      <w:lvlText w:val="(%1)"/>
      <w:numFmt w:val="lowerLetter"/>
      <w:start w:val="8"/>
    </w:lvl>
  </w:abstractNum>
  <w:abstractNum w:abstractNumId="162">
    <w:nsid w:val="434BAE75"/>
    <w:multiLevelType w:val="hybridMultilevel"/>
    <w:lvl w:ilvl="0">
      <w:lvlJc w:val="left"/>
      <w:lvlText w:val="(%1)"/>
      <w:numFmt w:val="lowerLetter"/>
      <w:start w:val="1"/>
    </w:lvl>
  </w:abstractNum>
  <w:abstractNum w:abstractNumId="163">
    <w:nsid w:val="4F38F265"/>
    <w:multiLevelType w:val="hybridMultilevel"/>
    <w:lvl w:ilvl="0">
      <w:lvlJc w:val="left"/>
      <w:lvlText w:val="(%1)"/>
      <w:numFmt w:val="lowerLetter"/>
      <w:start w:val="6"/>
    </w:lvl>
  </w:abstractNum>
  <w:abstractNum w:abstractNumId="164">
    <w:nsid w:val="4C502870"/>
    <w:multiLevelType w:val="hybridMultilevel"/>
    <w:lvl w:ilvl="0">
      <w:lvlJc w:val="left"/>
      <w:lvlText w:val="(%1)"/>
      <w:numFmt w:val="lowerLetter"/>
      <w:start w:val="1"/>
    </w:lvl>
  </w:abstractNum>
  <w:abstractNum w:abstractNumId="165">
    <w:nsid w:val="1DE8725A"/>
    <w:multiLevelType w:val="hybridMultilevel"/>
    <w:lvl w:ilvl="0">
      <w:lvlJc w:val="left"/>
      <w:lvlText w:val="(%1)"/>
      <w:numFmt w:val="lowerLetter"/>
      <w:start w:val="10"/>
    </w:lvl>
  </w:abstractNum>
  <w:abstractNum w:abstractNumId="166">
    <w:nsid w:val="6A37288A"/>
    <w:multiLevelType w:val="hybridMultilevel"/>
    <w:lvl w:ilvl="0">
      <w:lvlJc w:val="left"/>
      <w:lvlText w:val="(%1)"/>
      <w:numFmt w:val="lowerLetter"/>
      <w:start w:val="1"/>
    </w:lvl>
  </w:abstractNum>
  <w:abstractNum w:abstractNumId="167">
    <w:nsid w:val="8F8B73F"/>
    <w:multiLevelType w:val="hybridMultilevel"/>
    <w:lvl w:ilvl="0">
      <w:lvlJc w:val="left"/>
      <w:lvlText w:val="(%1)"/>
      <w:numFmt w:val="lowerLetter"/>
      <w:start w:val="1"/>
    </w:lvl>
  </w:abstractNum>
  <w:abstractNum w:abstractNumId="168">
    <w:nsid w:val="CA6B462"/>
    <w:multiLevelType w:val="hybridMultilevel"/>
    <w:lvl w:ilvl="0">
      <w:lvlJc w:val="left"/>
      <w:lvlText w:val="(%1)"/>
      <w:numFmt w:val="lowerLetter"/>
      <w:start w:val="1"/>
    </w:lvl>
  </w:abstractNum>
  <w:abstractNum w:abstractNumId="169">
    <w:nsid w:val="763CB680"/>
    <w:multiLevelType w:val="hybridMultilevel"/>
    <w:lvl w:ilvl="0">
      <w:lvlJc w:val="left"/>
      <w:lvlText w:val="(%1)"/>
      <w:numFmt w:val="lowerLetter"/>
      <w:start w:val="1"/>
    </w:lvl>
  </w:abstractNum>
  <w:abstractNum w:abstractNumId="170">
    <w:nsid w:val="15B71329"/>
    <w:multiLevelType w:val="hybridMultilevel"/>
    <w:lvl w:ilvl="0">
      <w:lvlJc w:val="left"/>
      <w:lvlText w:val="%1"/>
      <w:numFmt w:val="lowerLetter"/>
      <w:start w:val="1"/>
    </w:lvl>
    <w:lvl w:ilvl="1">
      <w:lvlJc w:val="left"/>
      <w:lvlText w:val="(%2)"/>
      <w:numFmt w:val="lowerLetter"/>
      <w:start w:val="5"/>
    </w:lvl>
  </w:abstractNum>
  <w:abstractNum w:abstractNumId="171">
    <w:nsid w:val="3DA97044"/>
    <w:multiLevelType w:val="hybridMultilevel"/>
    <w:lvl w:ilvl="0">
      <w:lvlJc w:val="left"/>
      <w:lvlText w:val="(%1)"/>
      <w:numFmt w:val="lowerLetter"/>
      <w:start w:val="35"/>
    </w:lvl>
    <w:lvl w:ilvl="1">
      <w:lvlJc w:val="left"/>
      <w:lvlText w:val="(%2)"/>
      <w:numFmt w:val="lowerLetter"/>
      <w:start w:val="8"/>
    </w:lvl>
  </w:abstractNum>
  <w:abstractNum w:abstractNumId="172">
    <w:nsid w:val="1CDCE2DE"/>
    <w:multiLevelType w:val="hybridMultilevel"/>
    <w:lvl w:ilvl="0">
      <w:lvlJc w:val="left"/>
      <w:lvlText w:val="(%1)"/>
      <w:numFmt w:val="lowerLetter"/>
      <w:start w:val="9"/>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1)"/>
      <w:numFmt w:val="lowerLetter"/>
      <w:start w:val="3"/>
    </w:lvl>
    <w:lvl w:ilvl="1">
      <w:lvlJc w:val="left"/>
      <w:lvlText w:val="(%2)"/>
      <w:numFmt w:val="lowerLetter"/>
      <w:start w:val="9"/>
    </w:lvl>
  </w:abstractNum>
  <w:abstractNum w:abstractNumId="175">
    <w:nsid w:val="2DB88089"/>
    <w:multiLevelType w:val="hybridMultilevel"/>
    <w:lvl w:ilvl="0">
      <w:lvlJc w:val="left"/>
      <w:lvlText w:val="(%1)"/>
      <w:numFmt w:val="lowerLetter"/>
      <w:start w:val="5"/>
    </w:lvl>
    <w:lvl w:ilvl="1">
      <w:lvlJc w:val="left"/>
      <w:lvlText w:val="(%2)"/>
      <w:numFmt w:val="lowerRoman"/>
      <w:start w:val="1"/>
    </w:lvl>
  </w:abstractNum>
  <w:abstractNum w:abstractNumId="176">
    <w:nsid w:val="706B674E"/>
    <w:multiLevelType w:val="hybridMultilevel"/>
    <w:lvl w:ilvl="0">
      <w:lvlJc w:val="left"/>
      <w:lvlText w:val="(%1)"/>
      <w:numFmt w:val="lowerLetter"/>
      <w:start w:val="7"/>
    </w:lvl>
  </w:abstractNum>
  <w:abstractNum w:abstractNumId="177">
    <w:nsid w:val="2C106A57"/>
    <w:multiLevelType w:val="hybridMultilevel"/>
    <w:lvl w:ilvl="0">
      <w:lvlJc w:val="left"/>
      <w:lvlText w:val="(%1)"/>
      <w:numFmt w:val="lowerLetter"/>
      <w:start w:val="1"/>
    </w:lvl>
  </w:abstractNum>
  <w:abstractNum w:abstractNumId="178">
    <w:nsid w:val="684EED5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179">
    <w:nsid w:val="545EE5D3"/>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180">
    <w:nsid w:val="4A66051"/>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4"/>
    </w:lvl>
  </w:abstractNum>
  <w:abstractNum w:abstractNumId="183">
    <w:nsid w:val="501F9786"/>
    <w:multiLevelType w:val="hybridMultilevel"/>
    <w:lvl w:ilvl="0">
      <w:lvlJc w:val="left"/>
      <w:lvlText w:val="(%1)"/>
      <w:numFmt w:val="lowerLetter"/>
      <w:start w:val="1"/>
    </w:lvl>
  </w:abstractNum>
  <w:abstractNum w:abstractNumId="184">
    <w:nsid w:val="6B057295"/>
    <w:multiLevelType w:val="hybridMultilevel"/>
    <w:lvl w:ilvl="0">
      <w:lvlJc w:val="left"/>
      <w:lvlText w:val="(%1)"/>
      <w:numFmt w:val="lowerLetter"/>
      <w:start w:val="2"/>
    </w:lvl>
  </w:abstractNum>
  <w:abstractNum w:abstractNumId="185">
    <w:nsid w:val="2771AC80"/>
    <w:multiLevelType w:val="hybridMultilevel"/>
    <w:lvl w:ilvl="0">
      <w:lvlJc w:val="left"/>
      <w:lvlText w:val="(%1)"/>
      <w:numFmt w:val="lowerLetter"/>
      <w:start w:val="1"/>
    </w:lvl>
  </w:abstractNum>
  <w:abstractNum w:abstractNumId="186">
    <w:nsid w:val="1C4A08EC"/>
    <w:multiLevelType w:val="hybridMultilevel"/>
    <w:lvl w:ilvl="0">
      <w:lvlJc w:val="left"/>
      <w:lvlText w:val="(%1)"/>
      <w:numFmt w:val="lowerLetter"/>
      <w:start w:val="2"/>
    </w:lvl>
  </w:abstractNum>
  <w:abstractNum w:abstractNumId="187">
    <w:nsid w:val="1958BD17"/>
    <w:multiLevelType w:val="hybridMultilevel"/>
    <w:lvl w:ilvl="0">
      <w:lvlJc w:val="left"/>
      <w:lvlText w:val="(%1)"/>
      <w:numFmt w:val="lowerRoman"/>
      <w:start w:val="2"/>
    </w:lvl>
  </w:abstractNum>
  <w:abstractNum w:abstractNumId="188">
    <w:nsid w:val="4E647FE4"/>
    <w:multiLevelType w:val="hybridMultilevel"/>
    <w:lvl w:ilvl="0">
      <w:lvlJc w:val="left"/>
      <w:lvlText w:val="(%1)"/>
      <w:numFmt w:val="lowerRoman"/>
      <w:start w:val="3"/>
    </w:lvl>
  </w:abstractNum>
  <w:abstractNum w:abstractNumId="189">
    <w:nsid w:val="E0BB885"/>
    <w:multiLevelType w:val="hybridMultilevel"/>
    <w:lvl w:ilvl="0">
      <w:lvlJc w:val="left"/>
      <w:lvlText w:val="(%1)"/>
      <w:numFmt w:val="lowerLetter"/>
      <w:start w:val="4"/>
    </w:lvl>
  </w:abstractNum>
  <w:abstractNum w:abstractNumId="190">
    <w:nsid w:val="565976F1"/>
    <w:multiLevelType w:val="hybridMultilevel"/>
    <w:lvl w:ilvl="0">
      <w:lvlJc w:val="left"/>
      <w:lvlText w:val="(%1)"/>
      <w:numFmt w:val="lowerLetter"/>
      <w:start w:val="1"/>
    </w:lvl>
  </w:abstractNum>
  <w:abstractNum w:abstractNumId="191">
    <w:nsid w:val="64212B8C"/>
    <w:multiLevelType w:val="hybridMultilevel"/>
    <w:lvl w:ilvl="0">
      <w:lvlJc w:val="left"/>
      <w:lvlText w:val="(%1)"/>
      <w:numFmt w:val="lowerLetter"/>
      <w:start w:val="2"/>
    </w:lvl>
  </w:abstractNum>
  <w:abstractNum w:abstractNumId="192">
    <w:nsid w:val="5C17530C"/>
    <w:multiLevelType w:val="hybridMultilevel"/>
    <w:lvl w:ilvl="0">
      <w:lvlJc w:val="left"/>
      <w:lvlText w:val="(%1)"/>
      <w:numFmt w:val="lowerLetter"/>
      <w:start w:val="2"/>
    </w:lvl>
  </w:abstractNum>
  <w:abstractNum w:abstractNumId="193">
    <w:nsid w:val="19A52566"/>
    <w:multiLevelType w:val="hybridMultilevel"/>
    <w:lvl w:ilvl="0">
      <w:lvlJc w:val="left"/>
      <w:lvlText w:val="(%1)"/>
      <w:numFmt w:val="lowerLetter"/>
      <w:start w:val="1"/>
    </w:lvl>
  </w:abstractNum>
  <w:abstractNum w:abstractNumId="194">
    <w:nsid w:val="335A1DF1"/>
    <w:multiLevelType w:val="hybridMultilevel"/>
    <w:lvl w:ilvl="0">
      <w:lvlJc w:val="left"/>
      <w:lvlText w:val="(%1)"/>
      <w:numFmt w:val="lowerRoman"/>
      <w:start w:val="1"/>
    </w:lvl>
  </w:abstractNum>
  <w:abstractNum w:abstractNumId="195">
    <w:nsid w:val="28677B7C"/>
    <w:multiLevelType w:val="hybridMultilevel"/>
    <w:lvl w:ilvl="0">
      <w:lvlJc w:val="left"/>
      <w:lvlText w:val="(%1)"/>
      <w:numFmt w:val="lowerRoman"/>
      <w:start w:val="3"/>
    </w:lvl>
  </w:abstractNum>
  <w:abstractNum w:abstractNumId="196">
    <w:nsid w:val="378D97C0"/>
    <w:multiLevelType w:val="hybridMultilevel"/>
    <w:lvl w:ilvl="0">
      <w:lvlJc w:val="left"/>
      <w:lvlText w:val="%1"/>
      <w:numFmt w:val="lowerLetter"/>
      <w:start w:val="1"/>
    </w:lvl>
    <w:lvl w:ilvl="1">
      <w:lvlJc w:val="left"/>
      <w:lvlText w:val="(%2)"/>
      <w:numFmt w:val="lowerRoman"/>
      <w:start w:val="4"/>
    </w:lvl>
  </w:abstractNum>
  <w:abstractNum w:abstractNumId="197">
    <w:nsid w:val="1D91467C"/>
    <w:multiLevelType w:val="hybridMultilevel"/>
    <w:lvl w:ilvl="0">
      <w:lvlJc w:val="left"/>
      <w:lvlText w:val="(%1)"/>
      <w:numFmt w:val="lowerLetter"/>
      <w:start w:val="2"/>
    </w:lvl>
    <w:lvl w:ilvl="1">
      <w:lvlJc w:val="left"/>
      <w:lvlText w:val="(%2)"/>
      <w:numFmt w:val="lowerRoman"/>
      <w:start w:val="1"/>
    </w:lvl>
  </w:abstractNum>
  <w:abstractNum w:abstractNumId="198">
    <w:nsid w:val="316032BB"/>
    <w:multiLevelType w:val="hybridMultilevel"/>
    <w:lvl w:ilvl="0">
      <w:lvlJc w:val="left"/>
      <w:lvlText w:val="(%1)"/>
      <w:numFmt w:val="lowerRoman"/>
      <w:start w:val="3"/>
    </w:lvl>
  </w:abstractNum>
  <w:abstractNum w:abstractNumId="199">
    <w:nsid w:val="44344C22"/>
    <w:multiLevelType w:val="hybridMultilevel"/>
    <w:lvl w:ilvl="0">
      <w:lvlJc w:val="left"/>
      <w:lvlText w:val="(%1)"/>
      <w:numFmt w:val="lowerLetter"/>
      <w:start w:val="3"/>
    </w:lvl>
  </w:abstractNum>
  <w:abstractNum w:abstractNumId="200">
    <w:nsid w:val="13CDFCFC"/>
    <w:multiLevelType w:val="hybridMultilevel"/>
    <w:lvl w:ilvl="0">
      <w:lvlJc w:val="left"/>
      <w:lvlText w:val="(%1)"/>
      <w:numFmt w:val="lowerLetter"/>
      <w:start w:val="1"/>
    </w:lvl>
  </w:abstractNum>
  <w:abstractNum w:abstractNumId="201">
    <w:nsid w:val="471745E4"/>
    <w:multiLevelType w:val="hybridMultilevel"/>
    <w:lvl w:ilvl="0">
      <w:lvlJc w:val="left"/>
      <w:lvlText w:val="(%1)"/>
      <w:numFmt w:val="lowerRoman"/>
      <w:start w:val="1"/>
    </w:lvl>
  </w:abstractNum>
  <w:abstractNum w:abstractNumId="202">
    <w:nsid w:val="1DDBC66"/>
    <w:multiLevelType w:val="hybridMultilevel"/>
    <w:lvl w:ilvl="0">
      <w:lvlJc w:val="left"/>
      <w:lvlText w:val="(%1)"/>
      <w:numFmt w:val="lowerRoman"/>
      <w:start w:val="4"/>
    </w:lvl>
  </w:abstractNum>
  <w:abstractNum w:abstractNumId="203">
    <w:nsid w:val="30AADFDA"/>
    <w:multiLevelType w:val="hybridMultilevel"/>
    <w:lvl w:ilvl="0">
      <w:lvlJc w:val="left"/>
      <w:lvlText w:val="(%1)"/>
      <w:numFmt w:val="lowerLetter"/>
      <w:start w:val="2"/>
    </w:lvl>
  </w:abstractNum>
  <w:abstractNum w:abstractNumId="204">
    <w:nsid w:val="30EADA61"/>
    <w:multiLevelType w:val="hybridMultilevel"/>
    <w:lvl w:ilvl="0">
      <w:lvlJc w:val="left"/>
      <w:lvlText w:val="(%1)"/>
      <w:numFmt w:val="lowerLetter"/>
      <w:start w:val="1"/>
    </w:lvl>
  </w:abstractNum>
  <w:abstractNum w:abstractNumId="205">
    <w:nsid w:val="27179C0B"/>
    <w:multiLevelType w:val="hybridMultilevel"/>
    <w:lvl w:ilvl="0">
      <w:lvlJc w:val="left"/>
      <w:lvlText w:val="(%1)"/>
      <w:numFmt w:val="lowerLetter"/>
      <w:start w:val="3"/>
    </w:lvl>
  </w:abstractNum>
  <w:abstractNum w:abstractNumId="206">
    <w:nsid w:val="5E636063"/>
    <w:multiLevelType w:val="hybridMultilevel"/>
    <w:lvl w:ilvl="0">
      <w:lvlJc w:val="left"/>
      <w:lvlText w:val="(%1)"/>
      <w:numFmt w:val="lowerRoman"/>
      <w:start w:val="2"/>
    </w:lvl>
  </w:abstractNum>
  <w:abstractNum w:abstractNumId="207">
    <w:nsid w:val="215641AF"/>
    <w:multiLevelType w:val="hybridMultilevel"/>
    <w:lvl w:ilvl="0">
      <w:lvlJc w:val="left"/>
      <w:lvlText w:val="%1"/>
      <w:numFmt w:val="lowerLetter"/>
      <w:start w:val="1"/>
    </w:lvl>
    <w:lvl w:ilvl="1">
      <w:lvlJc w:val="left"/>
      <w:lvlText w:val="(%2)"/>
      <w:numFmt w:val="lowerLetter"/>
      <w:start w:val="4"/>
    </w:lvl>
  </w:abstractNum>
  <w:abstractNum w:abstractNumId="208">
    <w:nsid w:val="53280662"/>
    <w:multiLevelType w:val="hybridMultilevel"/>
    <w:lvl w:ilvl="0">
      <w:lvlJc w:val="left"/>
      <w:lvlText w:val="(%1)"/>
      <w:numFmt w:val="lowerLetter"/>
      <w:start w:val="2"/>
    </w:lvl>
    <w:lvl w:ilvl="1">
      <w:lvlJc w:val="left"/>
      <w:lvlText w:val="%2"/>
      <w:numFmt w:val="lowerLetter"/>
      <w:start w:val="1"/>
    </w:lvl>
  </w:abstractNum>
  <w:abstractNum w:abstractNumId="209">
    <w:nsid w:val="46B24DBC"/>
    <w:multiLevelType w:val="hybridMultilevel"/>
    <w:lvl w:ilvl="0">
      <w:lvlJc w:val="left"/>
      <w:lvlText w:val="(%1)"/>
      <w:numFmt w:val="lowerLetter"/>
      <w:start w:val="5"/>
    </w:lvl>
  </w:abstractNum>
  <w:abstractNum w:abstractNumId="210">
    <w:nsid w:val="75B52783"/>
    <w:multiLevelType w:val="hybridMultilevel"/>
    <w:lvl w:ilvl="0">
      <w:lvlJc w:val="left"/>
      <w:lvlText w:val="(%1)"/>
      <w:numFmt w:val="lowerLetter"/>
      <w:start w:val="1"/>
    </w:lvl>
    <w:lvl w:ilvl="1">
      <w:lvlJc w:val="left"/>
      <w:lvlText w:val="(%2)"/>
      <w:numFmt w:val="upperLetter"/>
      <w:start w:val="1"/>
    </w:lvl>
  </w:abstractNum>
  <w:abstractNum w:abstractNumId="211">
    <w:nsid w:val="57CE66B4"/>
    <w:multiLevelType w:val="hybridMultilevel"/>
    <w:lvl w:ilvl="0">
      <w:lvlJc w:val="left"/>
      <w:lvlText w:val="(%1)"/>
      <w:numFmt w:val="lowerLetter"/>
      <w:start w:val="2"/>
    </w:lvl>
  </w:abstractNum>
  <w:abstractNum w:abstractNumId="212">
    <w:nsid w:val="67A70B69"/>
    <w:multiLevelType w:val="hybridMultilevel"/>
    <w:lvl w:ilvl="0">
      <w:lvlJc w:val="left"/>
      <w:lvlText w:val="(%1)"/>
      <w:numFmt w:val="lowerLetter"/>
      <w:start w:val="3"/>
    </w:lvl>
  </w:abstractNum>
  <w:abstractNum w:abstractNumId="213">
    <w:nsid w:val="5953172F"/>
    <w:multiLevelType w:val="hybridMultilevel"/>
    <w:lvl w:ilvl="0">
      <w:lvlJc w:val="left"/>
      <w:lvlText w:val="(%1)"/>
      <w:numFmt w:val="lowerLetter"/>
      <w:start w:val="5"/>
    </w:lvl>
  </w:abstractNum>
  <w:abstractNum w:abstractNumId="214">
    <w:nsid w:val="27EDFE3A"/>
    <w:multiLevelType w:val="hybridMultilevel"/>
    <w:lvl w:ilvl="0">
      <w:lvlJc w:val="left"/>
      <w:lvlText w:val="(%1)"/>
      <w:numFmt w:val="lowerLetter"/>
      <w:start w:val="1"/>
    </w:lvl>
  </w:abstractNum>
  <w:abstractNum w:abstractNumId="215">
    <w:nsid w:val="52AC7DFF"/>
    <w:multiLevelType w:val="hybridMultilevel"/>
    <w:lvl w:ilvl="0">
      <w:lvlJc w:val="left"/>
      <w:lvlText w:val="(%1)"/>
      <w:numFmt w:val="upperLetter"/>
      <w:start w:val="1"/>
    </w:lvl>
  </w:abstractNum>
  <w:abstractNum w:abstractNumId="216">
    <w:nsid w:val="C4C3AF"/>
    <w:multiLevelType w:val="hybridMultilevel"/>
    <w:lvl w:ilvl="0">
      <w:lvlJc w:val="left"/>
      <w:lvlText w:val="(%1)"/>
      <w:numFmt w:val="lowerRoman"/>
      <w:start w:val="2"/>
    </w:lvl>
    <w:lvl w:ilvl="1">
      <w:lvlJc w:val="left"/>
      <w:lvlText w:val="(%2)"/>
      <w:numFmt w:val="upperLetter"/>
      <w:start w:val="1"/>
    </w:lvl>
  </w:abstractNum>
  <w:abstractNum w:abstractNumId="217">
    <w:nsid w:val="44380727"/>
    <w:multiLevelType w:val="hybridMultilevel"/>
    <w:lvl w:ilvl="0">
      <w:lvlJc w:val="left"/>
      <w:lvlText w:val="(%1)"/>
      <w:numFmt w:val="lowerRoman"/>
      <w:start w:val="3"/>
    </w:lvl>
  </w:abstractNum>
  <w:abstractNum w:abstractNumId="218">
    <w:nsid w:val="6C053B16"/>
    <w:multiLevelType w:val="hybridMultilevel"/>
    <w:lvl w:ilvl="0">
      <w:lvlJc w:val="left"/>
      <w:lvlText w:val="%1"/>
      <w:numFmt w:val="lowerLetter"/>
      <w:start w:val="1"/>
    </w:lvl>
    <w:lvl w:ilvl="1">
      <w:lvlJc w:val="left"/>
      <w:lvlText w:val="(%2)"/>
      <w:numFmt w:val="lowerLetter"/>
      <w:start w:val="3"/>
    </w:lvl>
  </w:abstractNum>
  <w:abstractNum w:abstractNumId="219">
    <w:nsid w:val="4F294393"/>
    <w:multiLevelType w:val="hybridMultilevel"/>
    <w:lvl w:ilvl="0">
      <w:lvlJc w:val="left"/>
      <w:lvlText w:val="(%1)"/>
      <w:numFmt w:val="lowerLetter"/>
      <w:start w:val="35"/>
    </w:lvl>
    <w:lvl w:ilvl="1">
      <w:lvlJc w:val="left"/>
      <w:lvlText w:val="%2"/>
      <w:numFmt w:val="lowerLetter"/>
      <w:start w:val="1"/>
    </w:lvl>
  </w:abstractNum>
  <w:abstractNum w:abstractNumId="220">
    <w:nsid w:val="5243BFAC"/>
    <w:multiLevelType w:val="hybridMultilevel"/>
    <w:lvl w:ilvl="0">
      <w:lvlJc w:val="left"/>
      <w:lvlText w:val="(%1)"/>
      <w:numFmt w:val="lowerLetter"/>
      <w:start w:val="4"/>
    </w:lvl>
  </w:abstractNum>
  <w:abstractNum w:abstractNumId="221">
    <w:nsid w:val="425EB207"/>
    <w:multiLevelType w:val="hybridMultilevel"/>
    <w:lvl w:ilvl="0">
      <w:lvlJc w:val="left"/>
      <w:lvlText w:val="(%1)"/>
      <w:numFmt w:val="lowerLetter"/>
      <w:start w:val="1"/>
    </w:lvl>
  </w:abstractNum>
  <w:abstractNum w:abstractNumId="222">
    <w:nsid w:val="334A6F1F"/>
    <w:multiLevelType w:val="hybridMultilevel"/>
    <w:lvl w:ilvl="0">
      <w:lvlJc w:val="left"/>
      <w:lvlText w:val="(%1)"/>
      <w:numFmt w:val="lowerRoman"/>
      <w:start w:val="1"/>
    </w:lvl>
  </w:abstractNum>
  <w:abstractNum w:abstractNumId="223">
    <w:nsid w:val="2E5B12B8"/>
    <w:multiLevelType w:val="hybridMultilevel"/>
    <w:lvl w:ilvl="0">
      <w:lvlJc w:val="left"/>
      <w:lvlText w:val="(%1)"/>
      <w:numFmt w:val="lowerLetter"/>
      <w:start w:val="1"/>
    </w:lvl>
  </w:abstractNum>
  <w:abstractNum w:abstractNumId="224">
    <w:nsid w:val="5C03D76D"/>
    <w:multiLevelType w:val="hybridMultilevel"/>
    <w:lvl w:ilvl="0">
      <w:lvlJc w:val="left"/>
      <w:lvlText w:val="(%1)"/>
      <w:numFmt w:val="lowerLetter"/>
      <w:start w:val="3"/>
    </w:lvl>
  </w:abstractNum>
  <w:abstractNum w:abstractNumId="225">
    <w:nsid w:val="66A48D11"/>
    <w:multiLevelType w:val="hybridMultilevel"/>
    <w:lvl w:ilvl="0">
      <w:lvlJc w:val="left"/>
      <w:lvlText w:val="(%1)"/>
      <w:numFmt w:val="upperLetter"/>
      <w:start w:val="2"/>
    </w:lvl>
  </w:abstractNum>
  <w:abstractNum w:abstractNumId="226">
    <w:nsid w:val="56C28E34"/>
    <w:multiLevelType w:val="hybridMultilevel"/>
    <w:lvl w:ilvl="0">
      <w:lvlJc w:val="left"/>
      <w:lvlText w:val="(%1)"/>
      <w:numFmt w:val="lowerRoman"/>
      <w:start w:val="10"/>
    </w:lvl>
  </w:abstractNum>
  <w:abstractNum w:abstractNumId="227">
    <w:nsid w:val="13916F2D"/>
    <w:multiLevelType w:val="hybridMultilevel"/>
    <w:lvl w:ilvl="0">
      <w:lvlJc w:val="left"/>
      <w:lvlText w:val="(%1)"/>
      <w:numFmt w:val="lowerLetter"/>
      <w:start w:val="1"/>
    </w:lvl>
  </w:abstractNum>
  <w:abstractNum w:abstractNumId="228">
    <w:nsid w:val="435D38D"/>
    <w:multiLevelType w:val="hybridMultilevel"/>
    <w:lvl w:ilvl="0">
      <w:lvlJc w:val="left"/>
      <w:lvlText w:val="%1"/>
      <w:numFmt w:val="lowerRoman"/>
      <w:start w:val="1"/>
    </w:lvl>
    <w:lvl w:ilvl="1">
      <w:lvlJc w:val="left"/>
      <w:lvlText w:val="(%2)"/>
      <w:numFmt w:val="lowerRoman"/>
      <w:start w:val="1"/>
    </w:lvl>
  </w:abstractNum>
  <w:abstractNum w:abstractNumId="229">
    <w:nsid w:val="822C0EF"/>
    <w:multiLevelType w:val="hybridMultilevel"/>
    <w:lvl w:ilvl="0">
      <w:lvlJc w:val="left"/>
      <w:lvlText w:val="(%1)"/>
      <w:numFmt w:val="lowerRoman"/>
      <w:start w:val="3"/>
    </w:lvl>
    <w:lvl w:ilvl="1">
      <w:lvlJc w:val="left"/>
      <w:lvlText w:val="%2"/>
      <w:numFmt w:val="lowerRoman"/>
      <w:start w:val="1"/>
    </w:lvl>
  </w:abstractNum>
  <w:abstractNum w:abstractNumId="230">
    <w:nsid w:val="57C5BB4F"/>
    <w:multiLevelType w:val="hybridMultilevel"/>
    <w:lvl w:ilvl="0">
      <w:lvlJc w:val="left"/>
      <w:lvlText w:val="(%1)"/>
      <w:numFmt w:val="lowerLetter"/>
      <w:start w:val="1"/>
    </w:lvl>
  </w:abstractNum>
  <w:abstractNum w:abstractNumId="231">
    <w:nsid w:val="1803D089"/>
    <w:multiLevelType w:val="hybridMultilevel"/>
    <w:lvl w:ilvl="0">
      <w:lvlJc w:val="left"/>
      <w:lvlText w:val="(%1)"/>
      <w:numFmt w:val="lowerLetter"/>
      <w:start w:val="1"/>
    </w:lvl>
  </w:abstractNum>
  <w:abstractNum w:abstractNumId="232">
    <w:nsid w:val="4F3A06D4"/>
    <w:multiLevelType w:val="hybridMultilevel"/>
    <w:lvl w:ilvl="0">
      <w:lvlJc w:val="left"/>
      <w:lvlText w:val="(%1)"/>
      <w:numFmt w:val="decimal"/>
      <w:start w:val="1"/>
    </w:lvl>
  </w:abstractNum>
  <w:abstractNum w:abstractNumId="233">
    <w:nsid w:val="59A377B6"/>
    <w:multiLevelType w:val="hybridMultilevel"/>
    <w:lvl w:ilvl="0">
      <w:lvlJc w:val="left"/>
      <w:lvlText w:val="%1."/>
      <w:numFmt w:val="decimal"/>
      <w:start w:val="4"/>
    </w:lvl>
  </w:abstractNum>
  <w:abstractNum w:abstractNumId="234">
    <w:nsid w:val="48AEB063"/>
    <w:multiLevelType w:val="hybridMultilevel"/>
    <w:lvl w:ilvl="0">
      <w:lvlJc w:val="left"/>
      <w:lvlText w:val="%1."/>
      <w:numFmt w:val="decimal"/>
      <w:start w:val="6"/>
    </w:lvl>
  </w:abstractNum>
  <w:abstractNum w:abstractNumId="235">
    <w:nsid w:val="24E135"/>
    <w:multiLevelType w:val="hybridMultilevel"/>
    <w:lvl w:ilvl="0">
      <w:lvlJc w:val="left"/>
      <w:lvlText w:val="%1."/>
      <w:numFmt w:val="decimal"/>
      <w:start w:val="1"/>
    </w:lvl>
  </w:abstractNum>
  <w:abstractNum w:abstractNumId="236">
    <w:nsid w:val="BB13C1"/>
    <w:multiLevelType w:val="hybridMultilevel"/>
    <w:lvl w:ilvl="0">
      <w:lvlJc w:val="left"/>
      <w:lvlText w:val="%1."/>
      <w:numFmt w:val="decimal"/>
      <w:start w:val="2"/>
    </w:lvl>
  </w:abstractNum>
  <w:abstractNum w:abstractNumId="237">
    <w:nsid w:val="271210C7"/>
    <w:multiLevelType w:val="hybridMultilevel"/>
    <w:lvl w:ilvl="0">
      <w:lvlJc w:val="left"/>
      <w:lvlText w:val="%1."/>
      <w:numFmt w:val="decimal"/>
      <w:start w:val="2"/>
    </w:lvl>
  </w:abstractNum>
  <w:abstractNum w:abstractNumId="238">
    <w:nsid w:val="217B22E4"/>
    <w:multiLevelType w:val="hybridMultilevel"/>
    <w:lvl w:ilvl="0">
      <w:lvlJc w:val="left"/>
      <w:lvlText w:val="%1."/>
      <w:numFmt w:val="decimal"/>
      <w:start w:val="1"/>
    </w:lvl>
  </w:abstractNum>
  <w:abstractNum w:abstractNumId="239">
    <w:nsid w:val="53E31A24"/>
    <w:multiLevelType w:val="hybridMultilevel"/>
    <w:lvl w:ilvl="0">
      <w:lvlJc w:val="left"/>
      <w:lvlText w:val="(%1)"/>
      <w:numFmt w:val="lowerRoman"/>
      <w:start w:val="1"/>
    </w:lvl>
  </w:abstractNum>
  <w:abstractNum w:abstractNumId="240">
    <w:nsid w:val="6DC45E83"/>
    <w:multiLevelType w:val="hybridMultilevel"/>
    <w:lvl w:ilvl="0">
      <w:lvlJc w:val="left"/>
      <w:lvlText w:val="%1."/>
      <w:numFmt w:val="decimal"/>
      <w:start w:val="1"/>
    </w:lvl>
  </w:abstractNum>
  <w:abstractNum w:abstractNumId="241">
    <w:nsid w:val="17304A67"/>
    <w:multiLevelType w:val="hybridMultilevel"/>
    <w:lvl w:ilvl="0">
      <w:lvlJc w:val="left"/>
      <w:lvlText w:val="%1."/>
      <w:numFmt w:val="decimal"/>
      <w:start w:val="2"/>
    </w:lvl>
  </w:abstractNum>
  <w:abstractNum w:abstractNumId="242">
    <w:nsid w:val="2BB180D8"/>
    <w:multiLevelType w:val="hybridMultilevel"/>
    <w:lvl w:ilvl="0">
      <w:lvlJc w:val="left"/>
      <w:lvlText w:val="%1."/>
      <w:numFmt w:val="decimal"/>
      <w:start w:val="4"/>
    </w:lvl>
  </w:abstractNum>
  <w:abstractNum w:abstractNumId="243">
    <w:nsid w:val="556B69ED"/>
    <w:multiLevelType w:val="hybridMultilevel"/>
    <w:lvl w:ilvl="0">
      <w:lvlJc w:val="left"/>
      <w:lvlText w:val="(%1)"/>
      <w:numFmt w:val="lowerLetter"/>
      <w:start w:val="1"/>
    </w:lvl>
  </w:abstractNum>
  <w:abstractNum w:abstractNumId="244">
    <w:nsid w:val="70836196"/>
    <w:multiLevelType w:val="hybridMultilevel"/>
    <w:lvl w:ilvl="0">
      <w:lvlJc w:val="left"/>
      <w:lvlText w:val="(%1)"/>
      <w:numFmt w:val="lowerLetter"/>
      <w:start w:val="8"/>
    </w:lvl>
  </w:abstractNum>
  <w:abstractNum w:abstractNumId="245">
    <w:nsid w:val="539F7F12"/>
    <w:multiLevelType w:val="hybridMultilevel"/>
    <w:lvl w:ilvl="0">
      <w:lvlJc w:val="left"/>
      <w:lvlText w:val="(%1)"/>
      <w:numFmt w:val="decimal"/>
      <w:start w:val="1"/>
    </w:lvl>
  </w:abstractNum>
  <w:abstractNum w:abstractNumId="246">
    <w:nsid w:val="2817E7EC"/>
    <w:multiLevelType w:val="hybridMultilevel"/>
    <w:lvl w:ilvl="0">
      <w:lvlJc w:val="left"/>
      <w:lvlText w:val="%1."/>
      <w:numFmt w:val="decimal"/>
      <w:start w:val="1"/>
    </w:lvl>
    <w:lvl w:ilvl="1">
      <w:lvlJc w:val="left"/>
      <w:lvlText w:val="%2)"/>
      <w:numFmt w:val="lowerLetter"/>
      <w:start w:val="1"/>
    </w:lvl>
  </w:abstractNum>
  <w:abstractNum w:abstractNumId="247">
    <w:nsid w:val="71482545"/>
    <w:multiLevelType w:val="hybridMultilevel"/>
    <w:lvl w:ilvl="0">
      <w:lvlJc w:val="left"/>
      <w:lvlText w:val="%1."/>
      <w:numFmt w:val="decimal"/>
      <w:start w:val="1"/>
    </w:lvl>
    <w:lvl w:ilvl="1">
      <w:lvlJc w:val="left"/>
      <w:lvlText w:val="%2)"/>
      <w:numFmt w:val="lowerLetter"/>
      <w:start w:val="1"/>
    </w:lvl>
  </w:abstractNum>
  <w:abstractNum w:abstractNumId="248">
    <w:nsid w:val="17D7863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jpe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94" Type="http://schemas.openxmlformats.org/officeDocument/2006/relationships/hyperlink" Target="https://www.sec.gov/Archives/edgar/data/886136/000110465920064224/tm2019562d1_ex3-1.htm" TargetMode="External"/><Relationship Id="rId95" Type="http://schemas.openxmlformats.org/officeDocument/2006/relationships/hyperlink" Target="https://www.sec.gov/Archives/edgar/data/886136/000110465920064224/tm2019562d1_ex3-2.htm" TargetMode="External"/><Relationship Id="rId96" Type="http://schemas.openxmlformats.org/officeDocument/2006/relationships/hyperlink" Target="https://www.sec.gov/Archives/edgar/data/886136/000110465920033098/tm205286d1_ex4a.htm" TargetMode="External"/><Relationship Id="rId97" Type="http://schemas.openxmlformats.org/officeDocument/2006/relationships/hyperlink" Target="https://www.sec.gov/Archives/edgar/data/886136/000095012403002562/0000950124-03-002562.txt" TargetMode="External"/><Relationship Id="rId98" Type="http://schemas.openxmlformats.org/officeDocument/2006/relationships/hyperlink" Target="https://www.sec.gov/Archives/edgar/data/886136/000110465920047200/tm205286-5_def14a.htm" TargetMode="External"/><Relationship Id="rId99" Type="http://schemas.openxmlformats.org/officeDocument/2006/relationships/hyperlink" Target="https://www.sec.gov/Archives/edgar/data/0000886136/000114420413051084/v355053_def14a.htm#tASA" TargetMode="External"/><Relationship Id="rId100" Type="http://schemas.openxmlformats.org/officeDocument/2006/relationships/hyperlink" Target="https://www.sec.gov/Archives/edgar/data/886136/000114420413055703/v357477_ex10-v.htm" TargetMode="External"/><Relationship Id="rId101" Type="http://schemas.openxmlformats.org/officeDocument/2006/relationships/hyperlink" Target="https://www.sec.gov/Archives/edgar/data/886136/000114420413055703/v357477_ex10-w.htm" TargetMode="External"/><Relationship Id="rId102" Type="http://schemas.openxmlformats.org/officeDocument/2006/relationships/hyperlink" Target="https://www.sec.gov/Archives/edgar/data/886136/000095012311074806/b82616exv10wp.htm" TargetMode="External"/><Relationship Id="rId103" Type="http://schemas.openxmlformats.org/officeDocument/2006/relationships/hyperlink" Target="https://www.sec.gov/Archives/edgar/data/886136/000095013508000037/b67998scexv10wxqy.htm" TargetMode="External"/><Relationship Id="rId104" Type="http://schemas.openxmlformats.org/officeDocument/2006/relationships/hyperlink" Target="https://www.sec.gov/Archives/edgar/data/886136/000095013508000037/b67998scexv10wxty.htm" TargetMode="External"/><Relationship Id="rId105" Type="http://schemas.openxmlformats.org/officeDocument/2006/relationships/hyperlink" Target="https://www.sec.gov/Archives/edgar/data/886136/000114420416087815/v433140_ex10k.htm" TargetMode="External"/><Relationship Id="rId106" Type="http://schemas.openxmlformats.org/officeDocument/2006/relationships/hyperlink" Target="https://www.sec.gov/Archives/edgar/data/886136/000114420416093406/v436536_ex10-1.htm" TargetMode="External"/><Relationship Id="rId107" Type="http://schemas.openxmlformats.org/officeDocument/2006/relationships/hyperlink" Target="https://www.sec.gov/Archives/edgar/data/886136/000114420418020769/tv489906-def14a.htm" TargetMode="External"/><Relationship Id="rId108" Type="http://schemas.openxmlformats.org/officeDocument/2006/relationships/hyperlink" Target="https://www.sec.gov/Archives/edgar/data/886136/000114420418043269/tv499690_ex10-q.htm" TargetMode="External"/><Relationship Id="rId109" Type="http://schemas.openxmlformats.org/officeDocument/2006/relationships/hyperlink" Target="https://www.sec.gov/Archives/edgar/data/886136/000114420418052509/tv504070_ex10-r.htm" TargetMode="External"/><Relationship Id="rId110" Type="http://schemas.openxmlformats.org/officeDocument/2006/relationships/hyperlink" Target="https://www.sec.gov/Archives/edgar/data/886136/000114420419011628/tv515176_ex10-1.htm" TargetMode="External"/><Relationship Id="rId111" Type="http://schemas.openxmlformats.org/officeDocument/2006/relationships/hyperlink" Target="https://www.sec.gov/Archives/edgar/data/886136/000155837021003081/sga-20201231xex10.htm" TargetMode="External"/><Relationship Id="rId112" Type="http://schemas.openxmlformats.org/officeDocument/2006/relationships/hyperlink" Target="https://www.sec.gov/Archives/edgar/data/0000886136/000155837022000518/sga-20220125xex10d1.htm" TargetMode="External"/><Relationship Id="rId113" Type="http://schemas.openxmlformats.org/officeDocument/2006/relationships/hyperlink" Target="https://www.sec.gov/Archives/edgar/data/886136/000155837022013956/sga-20220821xex10d1.htm" TargetMode="External"/><Relationship Id="rId114" Type="http://schemas.openxmlformats.org/officeDocument/2006/relationships/hyperlink" Target="https://www.sec.gov/Archives/edgar/data/886136/000155837022017994/sga-20221116xex10d1.htm" TargetMode="External"/><Relationship Id="rId115" Type="http://schemas.openxmlformats.org/officeDocument/2006/relationships/hyperlink" Target="https://www.sec.gov/Archives/edgar/data/886136/000155837022017994/sga-20221116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2023-03-16T15:36:59Z</dcterms:created>
  <dcterms:modified xsi:type="dcterms:W3CDTF">2023-03-16T15:36:59Z</dcterms:modified>
</cp:coreProperties>
</file>