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1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12, 2026</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SAGA COMMUNICATIONS,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2860" w:type="dxa"/>
            <w:vAlign w:val="bottom"/>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1-11588</w:t>
            </w:r>
          </w:p>
        </w:tc>
        <w:tc>
          <w:tcPr>
            <w:tcW w:w="180" w:type="dxa"/>
            <w:vAlign w:val="bottom"/>
          </w:tcPr>
          <w:p>
            <w:pPr>
              <w:spacing w:after="0"/>
              <w:rPr>
                <w:sz w:val="20"/>
                <w:szCs w:val="20"/>
                <w:color w:val="auto"/>
              </w:rPr>
            </w:pPr>
          </w:p>
        </w:tc>
        <w:tc>
          <w:tcPr>
            <w:tcW w:w="284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38-3042953</w:t>
            </w:r>
          </w:p>
        </w:tc>
      </w:tr>
      <w:tr>
        <w:trPr>
          <w:trHeight w:val="191"/>
        </w:trPr>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of incorporation)</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73 Kercheval Avenue</w:t>
            </w:r>
          </w:p>
        </w:tc>
        <w:tc>
          <w:tcPr>
            <w:tcW w:w="2840" w:type="dxa"/>
            <w:vAlign w:val="bottom"/>
          </w:tcPr>
          <w:p>
            <w:pPr>
              <w:spacing w:after="0"/>
              <w:rPr>
                <w:sz w:val="24"/>
                <w:szCs w:val="24"/>
                <w:color w:val="auto"/>
              </w:rPr>
            </w:pPr>
          </w:p>
        </w:tc>
      </w:tr>
      <w:tr>
        <w:trPr>
          <w:trHeight w:val="238"/>
        </w:trPr>
        <w:tc>
          <w:tcPr>
            <w:tcW w:w="6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Grosse Pointe Farms, MI</w:t>
            </w:r>
          </w:p>
        </w:tc>
        <w:tc>
          <w:tcPr>
            <w:tcW w:w="284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48236</w:t>
            </w:r>
          </w:p>
        </w:tc>
      </w:tr>
      <w:tr>
        <w:trPr>
          <w:trHeight w:val="228"/>
        </w:trPr>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8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(313) 886-7070</w:t>
      </w:r>
    </w:p>
    <w:p>
      <w:pPr>
        <w:spacing w:after="0" w:line="121" w:lineRule="exact"/>
        <w:rPr>
          <w:sz w:val="24"/>
          <w:szCs w:val="24"/>
          <w:color w:val="auto"/>
        </w:rPr>
      </w:pPr>
    </w:p>
    <w:p>
      <w:pPr>
        <w:jc w:val="both"/>
        <w:ind w:left="60" w:right="59"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3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00" w:hanging="350"/>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80" w:right="579" w:hanging="30"/>
        <w:spacing w:after="0" w:line="355" w:lineRule="auto"/>
        <w:tabs>
          <w:tab w:leader="none" w:pos="39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70" w:type="dxa"/>
        <w:tblCellMar>
          <w:top w:w="0" w:type="dxa"/>
          <w:left w:w="0" w:type="dxa"/>
          <w:bottom w:w="0" w:type="dxa"/>
          <w:right w:w="0" w:type="dxa"/>
        </w:tblCellMar>
      </w:tblPr>
      <w:tr>
        <w:trPr>
          <w:trHeight w:val="218"/>
        </w:trPr>
        <w:tc>
          <w:tcPr>
            <w:tcW w:w="2960" w:type="dxa"/>
            <w:vAlign w:val="bottom"/>
            <w:tcBorders>
              <w:top w:val="single" w:sz="8" w:color="auto"/>
              <w:left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spacing w:after="0"/>
              <w:rPr>
                <w:sz w:val="18"/>
                <w:szCs w:val="18"/>
                <w:color w:val="auto"/>
              </w:rPr>
            </w:pPr>
          </w:p>
        </w:tc>
        <w:tc>
          <w:tcPr>
            <w:tcW w:w="29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r>
        <w:trPr>
          <w:trHeight w:val="218"/>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w:t>
            </w:r>
          </w:p>
        </w:tc>
        <w:tc>
          <w:tcPr>
            <w:tcW w:w="3020" w:type="dxa"/>
            <w:vAlign w:val="bottom"/>
            <w:tcBorders>
              <w:right w:val="single" w:sz="8" w:color="auto"/>
            </w:tcBorders>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r>
      <w:tr>
        <w:trPr>
          <w:trHeight w:val="234"/>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$0.01 per share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SGA</w:t>
            </w:r>
          </w:p>
        </w:tc>
        <w:tc>
          <w:tcPr>
            <w:tcW w:w="2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r>
        <w:trPr>
          <w:trHeight w:val="27"/>
        </w:trPr>
        <w:tc>
          <w:tcPr>
            <w:tcW w:w="296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2940" w:type="dxa"/>
            <w:vAlign w:val="bottom"/>
            <w:tcBorders>
              <w:bottom w:val="single" w:sz="8" w:color="auto"/>
              <w:right w:val="single" w:sz="8" w:color="auto"/>
            </w:tcBorders>
          </w:tcPr>
          <w:p>
            <w:pPr>
              <w:spacing w:after="0"/>
              <w:rPr>
                <w:sz w:val="2"/>
                <w:szCs w:val="2"/>
                <w:color w:val="auto"/>
              </w:rPr>
            </w:pPr>
          </w:p>
        </w:tc>
      </w:tr>
    </w:tbl>
    <w:p>
      <w:pPr>
        <w:spacing w:after="0" w:line="306"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737235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188595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222885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1" w:name="page2"/>
    <w:bookmarkEnd w:id="1"/>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February 12, 2026, Saga Communications, Inc. (the “Company”) issued a press release announcing that the Company’s Board of Directors has declared a quarterly cash dividend of $0.25 per share on its Class A Common Stock to be paid on March 20, 2026, to shareholders of record on February 26, 2026, as set forth in the press release included as Exhibit 99.1 hereto.</w:t>
      </w:r>
    </w:p>
    <w:p>
      <w:pPr>
        <w:spacing w:after="0" w:line="176" w:lineRule="exact"/>
        <w:rPr>
          <w:sz w:val="20"/>
          <w:szCs w:val="20"/>
          <w:color w:val="auto"/>
        </w:rPr>
      </w:pPr>
    </w:p>
    <w:p>
      <w:pPr>
        <w:ind w:left="6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340" w:hanging="642"/>
        <w:spacing w:after="0"/>
        <w:tabs>
          <w:tab w:leader="none" w:pos="1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99.1</w:t>
      </w:r>
      <w:r>
        <w:rPr>
          <w:rFonts w:ascii="Times New Roman" w:cs="Times New Roman" w:eastAsia="Times New Roman" w:hAnsi="Times New Roman"/>
          <w:sz w:val="17"/>
          <w:szCs w:val="17"/>
          <w:u w:val="single" w:color="auto"/>
          <w:color w:val="0000EE"/>
        </w:rPr>
        <w:t>Press Release dated February 12, 2026.</w:t>
      </w:r>
    </w:p>
    <w:p>
      <w:pPr>
        <w:spacing w:after="0" w:line="2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78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INDEX OF EXHIBITS</w:t>
            </w:r>
          </w:p>
        </w:tc>
      </w:tr>
      <w:tr>
        <w:trPr>
          <w:trHeight w:val="405"/>
        </w:trPr>
        <w:tc>
          <w:tcPr>
            <w:tcW w:w="2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6780" w:type="dxa"/>
            <w:vAlign w:val="bottom"/>
            <w:gridSpan w:val="2"/>
          </w:tcPr>
          <w:p>
            <w:pPr>
              <w:spacing w:after="0"/>
              <w:rPr>
                <w:sz w:val="24"/>
                <w:szCs w:val="24"/>
                <w:color w:val="auto"/>
              </w:rPr>
            </w:pPr>
          </w:p>
        </w:tc>
      </w:tr>
      <w:tr>
        <w:trPr>
          <w:trHeight w:val="196"/>
        </w:trPr>
        <w:tc>
          <w:tcPr>
            <w:tcW w:w="90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60" w:type="dxa"/>
            <w:vAlign w:val="bottom"/>
          </w:tcPr>
          <w:p>
            <w:pPr>
              <w:spacing w:after="0"/>
              <w:rPr>
                <w:sz w:val="17"/>
                <w:szCs w:val="17"/>
                <w:color w:val="auto"/>
              </w:rPr>
            </w:pPr>
          </w:p>
        </w:tc>
        <w:tc>
          <w:tcPr>
            <w:tcW w:w="7860" w:type="dxa"/>
            <w:vAlign w:val="bottom"/>
            <w:gridSpan w:val="4"/>
          </w:tcPr>
          <w:p>
            <w:pPr>
              <w:ind w:left="180"/>
              <w:spacing w:after="0" w:line="196" w:lineRule="exact"/>
              <w:rPr>
                <w:sz w:val="20"/>
                <w:szCs w:val="20"/>
                <w:color w:val="auto"/>
              </w:rPr>
            </w:pPr>
            <w:r>
              <w:rPr>
                <w:rFonts w:ascii="Times New Roman" w:cs="Times New Roman" w:eastAsia="Times New Roman" w:hAnsi="Times New Roman"/>
                <w:sz w:val="18"/>
                <w:szCs w:val="18"/>
                <w:color w:val="0000EE"/>
              </w:rPr>
              <w:t>Press Release dated February 12, 2026.</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7"/>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576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rPr>
              <w:t>SAGA COMMUNICATIONS, INC.</w:t>
            </w:r>
          </w:p>
        </w:tc>
      </w:tr>
      <w:tr>
        <w:trPr>
          <w:trHeight w:val="648"/>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February 12, 2026</w:t>
            </w:r>
          </w:p>
        </w:tc>
        <w:tc>
          <w:tcPr>
            <w:tcW w:w="5760" w:type="dxa"/>
            <w:vAlign w:val="bottom"/>
            <w:gridSpan w:val="3"/>
          </w:tcPr>
          <w:p>
            <w:pPr>
              <w:ind w:left="1320"/>
              <w:spacing w:after="0"/>
              <w:rPr>
                <w:sz w:val="20"/>
                <w:szCs w:val="20"/>
                <w:color w:val="auto"/>
              </w:rPr>
            </w:pPr>
            <w:r>
              <w:rPr>
                <w:rFonts w:ascii="Times New Roman" w:cs="Times New Roman" w:eastAsia="Times New Roman" w:hAnsi="Times New Roman"/>
                <w:sz w:val="18"/>
                <w:szCs w:val="18"/>
                <w:color w:val="auto"/>
              </w:rPr>
              <w:t>By:  /s/ Samuel D. Bush</w:t>
            </w:r>
          </w:p>
        </w:tc>
      </w:tr>
      <w:tr>
        <w:trPr>
          <w:trHeight w:val="191"/>
        </w:trPr>
        <w:tc>
          <w:tcPr>
            <w:tcW w:w="3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Samuel D. Bush</w:t>
            </w:r>
          </w:p>
        </w:tc>
        <w:tc>
          <w:tcPr>
            <w:tcW w:w="1340" w:type="dxa"/>
            <w:vAlign w:val="bottom"/>
          </w:tcPr>
          <w:p>
            <w:pPr>
              <w:spacing w:after="0"/>
              <w:rPr>
                <w:sz w:val="16"/>
                <w:szCs w:val="16"/>
                <w:color w:val="auto"/>
              </w:rPr>
            </w:pPr>
          </w:p>
        </w:tc>
      </w:tr>
      <w:tr>
        <w:trPr>
          <w:trHeight w:val="216"/>
        </w:trPr>
        <w:tc>
          <w:tcPr>
            <w:tcW w:w="3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and Chief</w:t>
            </w:r>
          </w:p>
        </w:tc>
      </w:tr>
      <w:tr>
        <w:trPr>
          <w:trHeight w:val="234"/>
        </w:trPr>
        <w:tc>
          <w:tcPr>
            <w:tcW w:w="3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993"/>
        </w:trPr>
        <w:tc>
          <w:tcPr>
            <w:tcW w:w="3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4" w:name="page5"/>
    <w:bookmarkEnd w:id="4"/>
    <w:p>
      <w:pPr>
        <w:ind w:left="880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158750</wp:posOffset>
            </wp:positionV>
            <wp:extent cx="1937385" cy="848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3738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Saga Communications,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Declares a Quarterly Cash Dividend of $0.25 per Share</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Contact:</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Samuel D. Bush</w:t>
      </w:r>
    </w:p>
    <w:p>
      <w:pPr>
        <w:jc w:val="right"/>
        <w:spacing w:after="0"/>
        <w:rPr>
          <w:sz w:val="20"/>
          <w:szCs w:val="20"/>
          <w:color w:val="auto"/>
        </w:rPr>
      </w:pPr>
      <w:r>
        <w:rPr>
          <w:rFonts w:ascii="Times New Roman" w:cs="Times New Roman" w:eastAsia="Times New Roman" w:hAnsi="Times New Roman"/>
          <w:sz w:val="22"/>
          <w:szCs w:val="22"/>
          <w:color w:val="auto"/>
        </w:rPr>
        <w:t>(313) 886-7070</w:t>
      </w:r>
    </w:p>
    <w:p>
      <w:pPr>
        <w:spacing w:after="0" w:line="182"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Grosse Pointe Farms, MI – February 12, 2026 – Saga Communications, Inc. (Nasdaq - SGA) (the “Company”, “Saga” or “our”) today announced that its Board of Directors (“Board”) declared a quarterly cash dividend of $0.25 per share. The dividend will be paid on March 20, 2026, to shareholders of record on February 26, 2026. The aggregate amount of the payment to be made in connection with the quarterly dividend will be approximately $1.6 million. The quarterly dividend will be funded by cash on the Company’s balance sheet. Including this dividend, the Company will have paid over $143 million in dividends to shareholders since the first special dividend was paid in 2012.</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currently intends to declare regular quarterly cash dividends in the future. Further, as part of its overall capital allocation plan for fiscal year 2026 the Company may also implement stock buybacks and declare special dividends in future periods. The declaration and payment of any future dividend, whether fixed, special, or based on the variable policy, or the implementation of any stock buyback program will remain at the full discretion of the Board and will depend on the Company’s financial results, cash requirements, future expectations, and other pertinent factors.</w:t>
      </w:r>
    </w:p>
    <w:p>
      <w:pPr>
        <w:spacing w:after="0" w:line="208" w:lineRule="exact"/>
        <w:rPr>
          <w:sz w:val="20"/>
          <w:szCs w:val="20"/>
          <w:color w:val="auto"/>
        </w:rPr>
      </w:pPr>
    </w:p>
    <w:p>
      <w:pPr>
        <w:ind w:right="260"/>
        <w:spacing w:after="0" w:line="239" w:lineRule="auto"/>
        <w:rPr>
          <w:sz w:val="20"/>
          <w:szCs w:val="20"/>
          <w:color w:val="auto"/>
        </w:rPr>
      </w:pPr>
      <w:r>
        <w:rPr>
          <w:rFonts w:ascii="Times New Roman" w:cs="Times New Roman" w:eastAsia="Times New Roman" w:hAnsi="Times New Roman"/>
          <w:sz w:val="22"/>
          <w:szCs w:val="22"/>
          <w:color w:val="auto"/>
        </w:rPr>
        <w:t xml:space="preserve">Saga is a media company whose business provides radio, digital, e-commerce, local on-line news and non-traditional revenue initiatives. Saga operates in 28 markets and provides services to national, regional and local advertisers to meet their growing advertising needs. For additional information, contact us at (313) 886-7070 or visit our website at </w:t>
      </w:r>
      <w:r>
        <w:rPr>
          <w:rFonts w:ascii="Times New Roman" w:cs="Times New Roman" w:eastAsia="Times New Roman" w:hAnsi="Times New Roman"/>
          <w:sz w:val="22"/>
          <w:szCs w:val="22"/>
          <w:u w:val="single" w:color="auto"/>
          <w:color w:val="0000FF"/>
        </w:rPr>
        <w:t>www.sagacom.com</w:t>
      </w:r>
      <w:r>
        <w:rPr>
          <w:rFonts w:ascii="Times New Roman" w:cs="Times New Roman" w:eastAsia="Times New Roman" w:hAnsi="Times New Roman"/>
          <w:sz w:val="22"/>
          <w:szCs w:val="22"/>
          <w:color w:val="auto"/>
        </w:rPr>
        <w:t>.</w:t>
      </w:r>
    </w:p>
    <w:p>
      <w:pPr>
        <w:spacing w:after="0" w:line="20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This press release contains certain forward-looking statements within the meaning of the U.S. Private Securities Litigation Reform Act of 1995 that are based upon current expectations and involve certain risks and uncertainties. Words such as “will,” “may,” “believes,” “intends,” “expects,” “anticipates,” “guidance,” and similar expressions are intended to identify forward-looking statements. The material risks facing our business are described in the reports Saga periodically files with the U.S. Securities and Exchange Commission, including, in particular, Item 1A of our Annual Report on Form 10-K. Readers should note that forward-looking statements may be impacted by several factors, including global, national, and local economic changes and changes in the radio broadcast industry in general as well as Saga’s actual performance. Actual results may vary materially from those described herein and Saga undertakes no obligation to update any information contained herein that constitutes a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2026-02-12T08:54:34Z</dcterms:created>
  <dcterms:modified xsi:type="dcterms:W3CDTF">2026-02-12T08:54:34Z</dcterms:modified>
</cp:coreProperties>
</file>