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833755</wp:posOffset>
            </wp:positionH>
            <wp:positionV relativeFrom="page">
              <wp:posOffset>431800</wp:posOffset>
            </wp:positionV>
            <wp:extent cx="5880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0735" cy="34290"/>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517525</wp:posOffset>
            </wp:positionV>
            <wp:extent cx="5880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0735"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00" w:lineRule="exact"/>
        <w:rPr>
          <w:sz w:val="24"/>
          <w:szCs w:val="24"/>
          <w:color w:val="auto"/>
        </w:rPr>
      </w:pPr>
    </w:p>
    <w:p>
      <w:pPr>
        <w:spacing w:after="0" w:line="24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0" w:lineRule="exact"/>
        <w:rPr>
          <w:sz w:val="24"/>
          <w:szCs w:val="24"/>
          <w:color w:val="auto"/>
        </w:rPr>
      </w:pPr>
    </w:p>
    <w:p>
      <w:pPr>
        <w:spacing w:after="0" w:line="336" w:lineRule="exact"/>
        <w:rPr>
          <w:sz w:val="24"/>
          <w:szCs w:val="24"/>
          <w:color w:val="auto"/>
        </w:rPr>
      </w:pPr>
    </w:p>
    <w:p>
      <w:pPr>
        <w:ind w:left="420" w:hanging="218"/>
        <w:spacing w:after="0"/>
        <w:tabs>
          <w:tab w:leader="none" w:pos="420"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8"/>
          <w:szCs w:val="18"/>
          <w:b w:val="1"/>
          <w:bCs w:val="1"/>
          <w:color w:val="auto"/>
        </w:rPr>
        <w:t>ANNUAL REPORT PURSUANT TO SECTION 15( d ) OF THE SECURITIES EXCHANGE ACT OF 1934</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60" w:hanging="220"/>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TRANSITION REPORT PURSUANT TO SECTION 15( d )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1-11588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Saga Communications, Inc. Employees’ 401(k) Savings and Investment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of issuer of the securities held pursuant to plan)</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 Kercheval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Grosse Pointe Farms, Michigan 48236</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wp:posOffset>
            </wp:positionH>
            <wp:positionV relativeFrom="paragraph">
              <wp:posOffset>777240</wp:posOffset>
            </wp:positionV>
            <wp:extent cx="5880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0735" cy="2603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220345</wp:posOffset>
            </wp:positionV>
            <wp:extent cx="5880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07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262890</wp:posOffset>
            </wp:positionV>
            <wp:extent cx="5880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735" cy="34290"/>
                    </a:xfrm>
                    <a:prstGeom prst="rect">
                      <a:avLst/>
                    </a:prstGeom>
                    <a:noFill/>
                  </pic:spPr>
                </pic:pic>
              </a:graphicData>
            </a:graphic>
          </wp:anchor>
        </w:drawing>
      </w:r>
    </w:p>
    <w:p>
      <w:pPr>
        <w:sectPr>
          <w:pgSz w:w="11900" w:h="16838" w:orient="portrait"/>
          <w:cols w:equalWidth="0" w:num="1">
            <w:col w:w="9019"/>
          </w:cols>
          <w:pgMar w:left="1440" w:top="102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SAGA COMMUNICATIONS, INC. EMPLOYEES’ 401(K) SAVINGS AND INVESTMENT PLAN IS SUBJECT TO THE EMPLOYEE RETIREMENT INCOME SECURITY ACT OF 1974 (ERISA). IN LIEU OF THE REQUIREMENTS OF ITEMS 1, 2 AND 3 OF FORM 11-K FOR ANNUAL REPORTS, THE FINANCIAL STATEMENTS AND SCHEDULES OF THE PLAN FOR THE TWO YEARS ENDED December 31, 2025 and 2024, WHICH HAVE BEEN PREPARED IN ACCORDANCE WITH THE FINANCIAL REPORTING REQUIREMENTS OF ERISA, ARE INCLUDED IN THIS REPORT.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0" w:type="dxa"/>
            <w:vAlign w:val="bottom"/>
          </w:tcPr>
          <w:p>
            <w:pPr>
              <w:spacing w:after="0"/>
              <w:rPr>
                <w:sz w:val="17"/>
                <w:szCs w:val="17"/>
                <w:color w:val="auto"/>
              </w:rPr>
            </w:pPr>
          </w:p>
        </w:tc>
      </w:tr>
      <w:tr>
        <w:trPr>
          <w:trHeight w:val="718"/>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588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color w:val="auto"/>
                <w:w w:val="97"/>
              </w:rPr>
              <w:t>Saga Communications, Inc.</w:t>
            </w:r>
          </w:p>
        </w:tc>
        <w:tc>
          <w:tcPr>
            <w:tcW w:w="12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8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color w:val="auto"/>
                <w:w w:val="98"/>
              </w:rPr>
              <w:t>Employees’ 401(k) Savings and Investment Plan</w:t>
            </w:r>
          </w:p>
        </w:tc>
        <w:tc>
          <w:tcPr>
            <w:tcW w:w="12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8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color w:val="auto"/>
                <w:w w:val="96"/>
              </w:rPr>
              <w:t>Table of Contents</w:t>
            </w:r>
          </w:p>
        </w:tc>
        <w:tc>
          <w:tcPr>
            <w:tcW w:w="120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8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color w:val="auto"/>
                <w:w w:val="98"/>
              </w:rPr>
              <w:t>Financial Statements and Supplemental Schedule</w:t>
            </w:r>
          </w:p>
        </w:tc>
        <w:tc>
          <w:tcPr>
            <w:tcW w:w="120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8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color w:val="auto"/>
                <w:w w:val="97"/>
              </w:rPr>
              <w:t>Years ended December 31, 2025 and 2024</w:t>
            </w:r>
          </w:p>
        </w:tc>
        <w:tc>
          <w:tcPr>
            <w:tcW w:w="1200" w:type="dxa"/>
            <w:vAlign w:val="bottom"/>
          </w:tcPr>
          <w:p>
            <w:pPr>
              <w:spacing w:after="0"/>
              <w:rPr>
                <w:sz w:val="24"/>
                <w:szCs w:val="24"/>
                <w:color w:val="auto"/>
              </w:rPr>
            </w:pPr>
          </w:p>
        </w:tc>
      </w:tr>
      <w:tr>
        <w:trPr>
          <w:trHeight w:val="783"/>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6"/>
        </w:trPr>
        <w:tc>
          <w:tcPr>
            <w:tcW w:w="80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2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gridSpan w:val="2"/>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216"/>
        </w:trPr>
        <w:tc>
          <w:tcPr>
            <w:tcW w:w="80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00" w:type="dxa"/>
            <w:vAlign w:val="bottom"/>
            <w:shd w:val="clear" w:color="auto" w:fill="CCEEFF"/>
          </w:tcPr>
          <w:p>
            <w:pPr>
              <w:spacing w:after="0"/>
              <w:rPr>
                <w:sz w:val="18"/>
                <w:szCs w:val="18"/>
                <w:color w:val="auto"/>
              </w:rPr>
            </w:pPr>
          </w:p>
        </w:tc>
      </w:tr>
      <w:tr>
        <w:trPr>
          <w:trHeight w:val="175"/>
        </w:trPr>
        <w:tc>
          <w:tcPr>
            <w:tcW w:w="80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 – December 31, 2025 and 2024</w:t>
            </w:r>
          </w:p>
        </w:tc>
        <w:tc>
          <w:tcPr>
            <w:tcW w:w="120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Net Assets Available for Benefits – Years ended December 31, 2025 and 2024</w:t>
            </w:r>
          </w:p>
        </w:tc>
        <w:tc>
          <w:tcPr>
            <w:tcW w:w="12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750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200" w:type="dxa"/>
            <w:vAlign w:val="bottom"/>
          </w:tcPr>
          <w:p>
            <w:pPr>
              <w:spacing w:after="0"/>
              <w:rPr>
                <w:sz w:val="18"/>
                <w:szCs w:val="18"/>
                <w:color w:val="auto"/>
              </w:rPr>
            </w:pPr>
          </w:p>
        </w:tc>
      </w:tr>
      <w:tr>
        <w:trPr>
          <w:trHeight w:val="196"/>
        </w:trPr>
        <w:tc>
          <w:tcPr>
            <w:tcW w:w="80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12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gridSpan w:val="2"/>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216"/>
        </w:trPr>
        <w:tc>
          <w:tcPr>
            <w:tcW w:w="80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00" w:type="dxa"/>
            <w:vAlign w:val="bottom"/>
            <w:shd w:val="clear" w:color="auto" w:fill="CCEEFF"/>
          </w:tcPr>
          <w:p>
            <w:pPr>
              <w:spacing w:after="0"/>
              <w:rPr>
                <w:sz w:val="18"/>
                <w:szCs w:val="18"/>
                <w:color w:val="auto"/>
              </w:rPr>
            </w:pPr>
          </w:p>
        </w:tc>
      </w:tr>
      <w:tr>
        <w:trPr>
          <w:trHeight w:val="176"/>
        </w:trPr>
        <w:tc>
          <w:tcPr>
            <w:tcW w:w="80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120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7280" w:type="dxa"/>
            <w:vAlign w:val="bottom"/>
            <w:tcBorders>
              <w:bottom w:val="single" w:sz="8" w:color="CCEEFF"/>
            </w:tcBorders>
            <w:gridSpan w:val="9"/>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432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3720" w:type="dxa"/>
            <w:vAlign w:val="bottom"/>
            <w:gridSpan w:val="4"/>
          </w:tcPr>
          <w:p>
            <w:pPr>
              <w:spacing w:after="0"/>
              <w:rPr>
                <w:sz w:val="15"/>
                <w:szCs w:val="15"/>
                <w:color w:val="auto"/>
              </w:rPr>
            </w:pPr>
          </w:p>
        </w:tc>
        <w:tc>
          <w:tcPr>
            <w:tcW w:w="12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00" w:right="1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Saga Communications, Inc. Employees’ 401(k) Savings and Investment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the Saga Communications, Inc. Employees’ 401(k) Savings and Investment Plan (the “Plan”) as of December 31, 2025 and 2024, and the related statements of changes in net assets available for benefits for the years then ended, and the related notes and supplemental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726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5880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18"/>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920" w:type="dxa"/>
            <w:vAlign w:val="bottom"/>
            <w:gridSpan w:val="2"/>
          </w:tcPr>
          <w:p>
            <w:pPr>
              <w:jc w:val="center"/>
              <w:ind w:right="256"/>
              <w:spacing w:after="0"/>
              <w:rPr>
                <w:sz w:val="20"/>
                <w:szCs w:val="20"/>
                <w:color w:val="auto"/>
              </w:rPr>
            </w:pPr>
            <w:r>
              <w:rPr>
                <w:rFonts w:ascii="Times New Roman" w:cs="Times New Roman" w:eastAsia="Times New Roman" w:hAnsi="Times New Roman"/>
                <w:sz w:val="18"/>
                <w:szCs w:val="18"/>
                <w:color w:val="auto"/>
                <w:w w:val="97"/>
              </w:rPr>
              <w:t>Saga Communications, Inc.</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920" w:type="dxa"/>
            <w:vAlign w:val="bottom"/>
            <w:gridSpan w:val="2"/>
          </w:tcPr>
          <w:p>
            <w:pPr>
              <w:jc w:val="center"/>
              <w:ind w:right="276"/>
              <w:spacing w:after="0"/>
              <w:rPr>
                <w:sz w:val="20"/>
                <w:szCs w:val="20"/>
                <w:color w:val="auto"/>
              </w:rPr>
            </w:pPr>
            <w:r>
              <w:rPr>
                <w:rFonts w:ascii="Times New Roman" w:cs="Times New Roman" w:eastAsia="Times New Roman" w:hAnsi="Times New Roman"/>
                <w:sz w:val="18"/>
                <w:szCs w:val="18"/>
                <w:color w:val="auto"/>
                <w:w w:val="98"/>
              </w:rPr>
              <w:t>Employees’ 401(k) Savings and Investment Plan</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20" w:type="dxa"/>
            <w:vAlign w:val="bottom"/>
            <w:gridSpan w:val="2"/>
          </w:tcPr>
          <w:p>
            <w:pPr>
              <w:jc w:val="center"/>
              <w:ind w:right="276"/>
              <w:spacing w:after="0"/>
              <w:rPr>
                <w:sz w:val="20"/>
                <w:szCs w:val="20"/>
                <w:color w:val="auto"/>
              </w:rPr>
            </w:pPr>
            <w:r>
              <w:rPr>
                <w:rFonts w:ascii="Times New Roman" w:cs="Times New Roman" w:eastAsia="Times New Roman" w:hAnsi="Times New Roman"/>
                <w:sz w:val="18"/>
                <w:szCs w:val="18"/>
                <w:color w:val="auto"/>
                <w:w w:val="98"/>
              </w:rPr>
              <w:t>Statements of Net Assets Available for Benefits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9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36,085,059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34,231,156</w:t>
            </w:r>
          </w:p>
        </w:tc>
        <w:tc>
          <w:tcPr>
            <w:tcW w:w="8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11,424,075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11,384,761</w:t>
            </w:r>
          </w:p>
        </w:tc>
        <w:tc>
          <w:tcPr>
            <w:tcW w:w="8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Employer contributions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290,728</w:t>
            </w:r>
          </w:p>
        </w:tc>
        <w:tc>
          <w:tcPr>
            <w:tcW w:w="80" w:type="dxa"/>
            <w:vAlign w:val="bottom"/>
            <w:shd w:val="clear" w:color="auto" w:fill="CCEEFF"/>
          </w:tcPr>
          <w:p>
            <w:pPr>
              <w:spacing w:after="0"/>
              <w:rPr>
                <w:sz w:val="18"/>
                <w:szCs w:val="18"/>
                <w:color w:val="auto"/>
              </w:rPr>
            </w:pPr>
          </w:p>
        </w:tc>
      </w:tr>
      <w:tr>
        <w:trPr>
          <w:trHeight w:val="216"/>
        </w:trPr>
        <w:tc>
          <w:tcPr>
            <w:tcW w:w="28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308,976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335,344</w:t>
            </w:r>
          </w:p>
        </w:tc>
        <w:tc>
          <w:tcPr>
            <w:tcW w:w="80" w:type="dxa"/>
            <w:vAlign w:val="bottom"/>
            <w:tcBorders>
              <w:bottom w:val="single" w:sz="8" w:color="CCEEFF"/>
            </w:tcBorders>
          </w:tcPr>
          <w:p>
            <w:pPr>
              <w:spacing w:after="0"/>
              <w:rPr>
                <w:sz w:val="18"/>
                <w:szCs w:val="18"/>
                <w:color w:val="auto"/>
              </w:rPr>
            </w:pPr>
          </w:p>
        </w:tc>
      </w:tr>
      <w:tr>
        <w:trPr>
          <w:trHeight w:val="210"/>
        </w:trPr>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receivables</w:t>
            </w:r>
          </w:p>
        </w:tc>
        <w:tc>
          <w:tcPr>
            <w:tcW w:w="3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614,850</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626,072</w:t>
            </w:r>
          </w:p>
        </w:tc>
        <w:tc>
          <w:tcPr>
            <w:tcW w:w="80" w:type="dxa"/>
            <w:vAlign w:val="bottom"/>
            <w:shd w:val="clear" w:color="auto" w:fill="CCEEFF"/>
          </w:tcPr>
          <w:p>
            <w:pPr>
              <w:spacing w:after="0"/>
              <w:rPr>
                <w:sz w:val="18"/>
                <w:szCs w:val="18"/>
                <w:color w:val="auto"/>
              </w:rPr>
            </w:pPr>
          </w:p>
        </w:tc>
      </w:tr>
      <w:tr>
        <w:trPr>
          <w:trHeight w:val="230"/>
        </w:trPr>
        <w:tc>
          <w:tcPr>
            <w:tcW w:w="2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assets available for benefits</w:t>
            </w:r>
          </w:p>
        </w:tc>
        <w:tc>
          <w:tcPr>
            <w:tcW w:w="368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48,123,984</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46,241,989</w:t>
            </w:r>
          </w:p>
        </w:tc>
        <w:tc>
          <w:tcPr>
            <w:tcW w:w="80" w:type="dxa"/>
            <w:vAlign w:val="bottom"/>
          </w:tcPr>
          <w:p>
            <w:pPr>
              <w:spacing w:after="0"/>
              <w:rPr>
                <w:sz w:val="20"/>
                <w:szCs w:val="20"/>
                <w:color w:val="auto"/>
              </w:rPr>
            </w:pPr>
          </w:p>
        </w:tc>
      </w:tr>
      <w:tr>
        <w:trPr>
          <w:trHeight w:val="61"/>
        </w:trPr>
        <w:tc>
          <w:tcPr>
            <w:tcW w:w="1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00" w:right="1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18"/>
        </w:trPr>
        <w:tc>
          <w:tcPr>
            <w:tcW w:w="1280" w:type="dxa"/>
            <w:vAlign w:val="bottom"/>
            <w:tcBorders>
              <w:top w:val="single" w:sz="8" w:color="0000EE"/>
            </w:tcBorders>
          </w:tcPr>
          <w:p>
            <w:pPr>
              <w:spacing w:after="0"/>
              <w:rPr>
                <w:sz w:val="24"/>
                <w:szCs w:val="24"/>
                <w:color w:val="auto"/>
              </w:rPr>
            </w:pPr>
          </w:p>
        </w:tc>
        <w:tc>
          <w:tcPr>
            <w:tcW w:w="52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7"/>
              </w:rPr>
              <w:t>Saga Communications, Inc.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52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Employees’ 401(k) Savings and Investment Plan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54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8"/>
              </w:rPr>
              <w:t>Statements of Changes in Net Assets Available for Benefits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12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dividends and capital gains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2,009,703</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realized and unrealized appreciation in fair value of investments,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2,853,102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594,350</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2,259,561</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Rollover contributions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1,359,381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305,874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290,728</w:t>
            </w:r>
          </w:p>
        </w:tc>
        <w:tc>
          <w:tcPr>
            <w:tcW w:w="100" w:type="dxa"/>
            <w:vAlign w:val="bottom"/>
            <w:tcBorders>
              <w:bottom w:val="single" w:sz="8" w:color="CCEEFF"/>
            </w:tcBorders>
          </w:tcPr>
          <w:p>
            <w:pPr>
              <w:spacing w:after="0"/>
              <w:rPr>
                <w:sz w:val="18"/>
                <w:szCs w:val="18"/>
                <w:color w:val="auto"/>
              </w:rPr>
            </w:pPr>
          </w:p>
        </w:tc>
      </w:tr>
      <w:tr>
        <w:trPr>
          <w:trHeight w:val="210"/>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8,623,221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6,540,246</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6,741,226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4,002,518</w:t>
            </w:r>
          </w:p>
        </w:tc>
        <w:tc>
          <w:tcPr>
            <w:tcW w:w="100" w:type="dxa"/>
            <w:vAlign w:val="bottom"/>
            <w:tcBorders>
              <w:bottom w:val="single" w:sz="8" w:color="CCEEFF"/>
            </w:tcBorders>
          </w:tcPr>
          <w:p>
            <w:pPr>
              <w:spacing w:after="0"/>
              <w:rPr>
                <w:sz w:val="18"/>
                <w:szCs w:val="18"/>
                <w:color w:val="auto"/>
              </w:rPr>
            </w:pPr>
          </w:p>
        </w:tc>
      </w:tr>
      <w:tr>
        <w:trPr>
          <w:trHeight w:val="210"/>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6,741,226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4,002,518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net 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2,537,728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46,241,989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43,704,261</w:t>
            </w:r>
          </w:p>
        </w:tc>
        <w:tc>
          <w:tcPr>
            <w:tcW w:w="100" w:type="dxa"/>
            <w:vAlign w:val="bottom"/>
            <w:shd w:val="clear" w:color="auto" w:fill="CCEEFF"/>
          </w:tcPr>
          <w:p>
            <w:pPr>
              <w:spacing w:after="0"/>
              <w:rPr>
                <w:sz w:val="18"/>
                <w:szCs w:val="18"/>
                <w:color w:val="auto"/>
              </w:rPr>
            </w:pPr>
          </w:p>
        </w:tc>
      </w:tr>
      <w:tr>
        <w:trPr>
          <w:trHeight w:val="230"/>
        </w:trPr>
        <w:tc>
          <w:tcPr>
            <w:tcW w:w="650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48,123,984</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46,241,989</w:t>
            </w:r>
          </w:p>
        </w:tc>
        <w:tc>
          <w:tcPr>
            <w:tcW w:w="100" w:type="dxa"/>
            <w:vAlign w:val="bottom"/>
          </w:tcPr>
          <w:p>
            <w:pPr>
              <w:spacing w:after="0"/>
              <w:rPr>
                <w:sz w:val="20"/>
                <w:szCs w:val="20"/>
                <w:color w:val="auto"/>
              </w:rPr>
            </w:pPr>
          </w:p>
        </w:tc>
      </w:tr>
      <w:tr>
        <w:trPr>
          <w:trHeight w:val="61"/>
        </w:trPr>
        <w:tc>
          <w:tcPr>
            <w:tcW w:w="1280" w:type="dxa"/>
            <w:vAlign w:val="bottom"/>
          </w:tcPr>
          <w:p>
            <w:pPr>
              <w:spacing w:after="0"/>
              <w:rPr>
                <w:sz w:val="5"/>
                <w:szCs w:val="5"/>
                <w:color w:val="auto"/>
              </w:rPr>
            </w:pPr>
          </w:p>
        </w:tc>
        <w:tc>
          <w:tcPr>
            <w:tcW w:w="5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00" w:right="1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description of Saga Communications, Inc. Employees’ 401(k) Savings and Investment Plan (the “Plan”) provides only general information. Saga Communications, Inc. (the “Company”) is the plan sponsor. Participants should refer to the summary plan description for more complete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Plan is a defined contribution plan which includes, as participants, all eligible employees who have completed 90 days of employment and reached the age of twenty-one. All newly hired eligible employees are automatically enrolled to defer 3% of their pay unless they choose a different amount. The Plan is administered by the Company and is subject to the provisions of the Employee Retirement Income Security Act of 1974, as amended (“ERISA”).</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Financial Group (“Principal”) is the Plan’s trustee and recordkeeper. The plan administrator has overall responsibility for the operation and administration of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Contributions to participants’ accounts are effected through voluntary payroll deductions. Participants may contribute 1% - 50% of their compensation. Annual contributions for each participant are subject to the participation and discrimination standards of Internal Revenue Code Section 401(k). Participants who have attained age 50 before the end of the Plan year are eligible to make catch-up contributions. Participants are able to designate all or a portion of their 401(k) elective deferral contributions as pre-tax elective deferral contributions or Roth elective deferral contributions. No reduction was required for corrective distributions of excess contributions and related earnings for the years ended December 31, 2025 and 2024, in order to meet the necessary compliance requirements under ERISA and IRS rules. If any refunds were made for 2025 and 2024 they would be presented in the statement of changes in net assets available for benefits for the related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enrollment, a participant may direct their contributions to any of the Plan’s fund options.</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may make discretionary matching contributions to the Plan, which are contributed in the form of Saga Communications, Inc. Class A Common Stock. The participant may immediately transfer those dollars to other investment options.</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2025 and 2024 plan years, the Company made discretionary contributions of $305,874 and $290,728, respectively, which was allocated to participants up to a maximum of 25% of the first 7.5% of qualified earnings contributed by the participant for the related plan year, not to exceed $1,200 for those participants employed at the end of the 2025 and 2024 plan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the Company’s discretionary contributions and Plan earnings. The benefit to which a participant is entitled is the benefit that can be provided from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immediately vested in their contributions and the employer discretionary match plus actual earnings thereon.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$1,000 up to a maximum equal to the lesser of $50,000 or 50% of their vested account balance. Loan terms range from 1-5 years or up to 15 years for the purchase of a primary residence. The loans are secured by the balance in the participant’s account, and bear interest at a rate as determined by the Plan Administrator which approximates the prime interest rate in effect on the first business day of the calendar quarter in which the loan originates plus 1%. The current range of interest rates for outstanding notes receivable from participants is 4.25% - 9.5%. Principal and interest are paid ratably through payroll deductions and are credited to the participant’s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Participants or their beneficiaries may receive distributions of their account balances upon the earlier of reaching age 59-1/2, death or termination of service, as defined in the Plan. Further, the Plan Administrator may permit a participant who experiences a qualified financial hardship, as defined in the Plan, to receive a distribution of a portion of the participant’s account balance. Such distributions are generally made in a lump sum and the Plan allows for self-certification of such qualified hardships.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 of ERISA.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unless otherwise paid by the Company. Expenses paid by the Company are excluded from these financial statements. Fees related to the administration of participant distributions are charged directly to the participant’s account and are reported as part of benefit payments. Total administrative expenses for December 31, 2025 and 2024 were $41,506 and $38,239, respectively. Investment-related expenses are included in net appreciation of fair value of investments. Personnel and facilities of the Company have been used by the Plan for its accounting and other activities at no charge to the Plan.</w:t>
      </w:r>
    </w:p>
    <w:p>
      <w:pPr>
        <w:spacing w:after="0" w:line="19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Plan also receives fee concessions from administrative providers which are reported as part of investment income. These funds are allocated to participant accounts and reported as part of the appreciation in their investments. Total fee concessions for December 31, 2025 and 2024 were $45,385 and $47,792, respectively.</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588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 w:name="page9"/>
    <w:bookmarkEnd w:id="8"/>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81" w:lineRule="exact"/>
        <w:rPr>
          <w:sz w:val="20"/>
          <w:szCs w:val="20"/>
          <w:color w:val="auto"/>
        </w:rPr>
      </w:pPr>
    </w:p>
    <w:p>
      <w:pPr>
        <w:ind w:left="1" w:right="6720" w:hanging="1"/>
        <w:spacing w:after="0" w:line="440" w:lineRule="auto"/>
        <w:tabs>
          <w:tab w:leader="none" w:pos="17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spacing w:after="0" w:line="1"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the accrual basis of accounting in conformity with U.S. generally accepted accounting principles (“GAAP”).</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8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75" w:lineRule="exact"/>
        <w:rPr>
          <w:sz w:val="20"/>
          <w:szCs w:val="20"/>
          <w:color w:val="auto"/>
        </w:rPr>
      </w:pPr>
    </w:p>
    <w:p>
      <w:pPr>
        <w:jc w:val="both"/>
        <w:ind w:left="1"/>
        <w:spacing w:after="0" w:line="232"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had been recorded as of December 31, 2025 and 2024. If a participant ceases to make loan repayments and the plan administrator deems the participant loan to be a distribution, then the participant loan balance is reduced and a benefit payment is recorded.</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75" w:lineRule="exact"/>
        <w:rPr>
          <w:sz w:val="20"/>
          <w:szCs w:val="20"/>
          <w:color w:val="auto"/>
        </w:rPr>
      </w:pPr>
    </w:p>
    <w:p>
      <w:pPr>
        <w:jc w:val="both"/>
        <w:ind w:left="1"/>
        <w:spacing w:after="0" w:line="235" w:lineRule="auto"/>
        <w:rPr>
          <w:sz w:val="20"/>
          <w:szCs w:val="20"/>
          <w:color w:val="auto"/>
        </w:rPr>
      </w:pPr>
      <w:r>
        <w:rPr>
          <w:rFonts w:ascii="Times New Roman" w:cs="Times New Roman" w:eastAsia="Times New Roman" w:hAnsi="Times New Roman"/>
          <w:sz w:val="18"/>
          <w:szCs w:val="18"/>
          <w:color w:val="auto"/>
        </w:rPr>
        <w:t>The Plan’s investments are stated at fair value (except for the fully benefit-responsive investment contract, which is reported at contract value). Fair value is based upon the last traded or current bid prices in active markets. Where there are no readily available last traded or current bid prices, fair value estimation procedures are used in determining asset values. These estimation procedures might result in fair values that are different from the values that would exist in a ready market due to the potential subjectivity in the estimates. See Note 3 for a discussion of fair value measurements.</w:t>
      </w:r>
    </w:p>
    <w:p>
      <w:pPr>
        <w:spacing w:after="0" w:line="148"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left="1"/>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and supplemental schedule. Actual results could differ from those estimates.</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89" w:lineRule="exact"/>
        <w:rPr>
          <w:sz w:val="20"/>
          <w:szCs w:val="20"/>
          <w:color w:val="auto"/>
        </w:rPr>
      </w:pPr>
    </w:p>
    <w:p>
      <w:pPr>
        <w:jc w:val="both"/>
        <w:ind w:left="1"/>
        <w:spacing w:after="0" w:line="250" w:lineRule="auto"/>
        <w:rPr>
          <w:sz w:val="20"/>
          <w:szCs w:val="20"/>
          <w:color w:val="auto"/>
        </w:rPr>
      </w:pPr>
      <w:r>
        <w:rPr>
          <w:rFonts w:ascii="Times New Roman" w:cs="Times New Roman" w:eastAsia="Times New Roman" w:hAnsi="Times New Roman"/>
          <w:sz w:val="18"/>
          <w:szCs w:val="18"/>
          <w:color w:val="auto"/>
        </w:rPr>
        <w:t>Contributions from participants and the associated Company matching contributions are recorded in the year in which the employee contributions are withheld from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2" w:lineRule="exact"/>
        <w:rPr>
          <w:sz w:val="20"/>
          <w:szCs w:val="20"/>
          <w:color w:val="auto"/>
        </w:rPr>
      </w:pPr>
    </w:p>
    <w:p>
      <w:pPr>
        <w:ind w:left="520"/>
        <w:spacing w:after="0"/>
        <w:tabs>
          <w:tab w:leader="none" w:pos="138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Observable inputs based on quoted prices in active markets for identical assets or liabilities.</w:t>
      </w:r>
    </w:p>
    <w:p>
      <w:pPr>
        <w:spacing w:after="0" w:line="171" w:lineRule="exact"/>
        <w:rPr>
          <w:sz w:val="20"/>
          <w:szCs w:val="20"/>
          <w:color w:val="auto"/>
        </w:rPr>
      </w:pPr>
    </w:p>
    <w:p>
      <w:pPr>
        <w:jc w:val="both"/>
        <w:ind w:left="1420" w:hanging="903"/>
        <w:spacing w:after="0" w:line="236" w:lineRule="auto"/>
        <w:tabs>
          <w:tab w:leader="none" w:pos="1400" w:val="left"/>
        </w:tabs>
        <w:rPr>
          <w:sz w:val="20"/>
          <w:szCs w:val="20"/>
          <w:color w:val="auto"/>
        </w:rPr>
      </w:pPr>
      <w:r>
        <w:rPr>
          <w:rFonts w:ascii="Times New Roman" w:cs="Times New Roman" w:eastAsia="Times New Roman" w:hAnsi="Times New Roman"/>
          <w:sz w:val="18"/>
          <w:szCs w:val="18"/>
          <w:color w:val="auto"/>
        </w:rPr>
        <w:t>Level 2 –</w:t>
        <w:tab/>
        <w:t>Inputs other than quoted prices in active markets for identical assets and liabilities that are observable either directly or indirectly for substantially the full term of the asset or liability, quoted prices for identical or similar assets or liabilities in markets that are not active, or other inputs that are observable or can be corroborated by observable market data.</w:t>
      </w:r>
    </w:p>
    <w:p>
      <w:pPr>
        <w:spacing w:after="0" w:line="158" w:lineRule="exact"/>
        <w:rPr>
          <w:sz w:val="20"/>
          <w:szCs w:val="20"/>
          <w:color w:val="auto"/>
        </w:rPr>
      </w:pPr>
    </w:p>
    <w:p>
      <w:pPr>
        <w:jc w:val="both"/>
        <w:ind w:left="1420" w:hanging="903"/>
        <w:spacing w:after="0" w:line="250" w:lineRule="auto"/>
        <w:tabs>
          <w:tab w:leader="none" w:pos="1400" w:val="left"/>
        </w:tabs>
        <w:rPr>
          <w:sz w:val="20"/>
          <w:szCs w:val="20"/>
          <w:color w:val="auto"/>
        </w:rPr>
      </w:pPr>
      <w:r>
        <w:rPr>
          <w:rFonts w:ascii="Times New Roman" w:cs="Times New Roman" w:eastAsia="Times New Roman" w:hAnsi="Times New Roman"/>
          <w:sz w:val="18"/>
          <w:szCs w:val="18"/>
          <w:color w:val="auto"/>
        </w:rPr>
        <w:t>Level 3 –</w:t>
        <w:tab/>
        <w:t>Unobservable inputs in which there is little or no market data available, which requires management to develop its own assumptions in pricing the asset or liability.</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 in its entirety.</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Following is a description of the valuation techniques and inputs used for assets measured at fair value as of December 31, 2025, and 2024:</w:t>
      </w:r>
    </w:p>
    <w:p>
      <w:pPr>
        <w:spacing w:after="0" w:line="143" w:lineRule="exact"/>
        <w:rPr>
          <w:sz w:val="20"/>
          <w:szCs w:val="20"/>
          <w:color w:val="auto"/>
        </w:rPr>
      </w:pPr>
    </w:p>
    <w:p>
      <w:pPr>
        <w:jc w:val="both"/>
        <w:ind w:firstLine="259"/>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Mutual Funds – </w:t>
      </w:r>
      <w:r>
        <w:rPr>
          <w:rFonts w:ascii="Times New Roman" w:cs="Times New Roman" w:eastAsia="Times New Roman" w:hAnsi="Times New Roman"/>
          <w:sz w:val="18"/>
          <w:szCs w:val="18"/>
          <w:color w:val="auto"/>
        </w:rPr>
        <w:t>The mutual funds are valued at the daily closing price as reported by the fund. Mutual funds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are open-end mutual funds that are registered with the SEC. These funds are required to publish their daily net asset value (“NAV”) and to transact at that price. The mutual funds held by the Plan are deemed to be actively traded.</w:t>
      </w:r>
    </w:p>
    <w:p>
      <w:pPr>
        <w:spacing w:after="0" w:line="168" w:lineRule="exact"/>
        <w:rPr>
          <w:sz w:val="20"/>
          <w:szCs w:val="20"/>
          <w:color w:val="auto"/>
        </w:rPr>
      </w:pPr>
    </w:p>
    <w:p>
      <w:pPr>
        <w:jc w:val="both"/>
        <w:ind w:firstLine="247"/>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Saga Common Stock– </w:t>
      </w:r>
      <w:r>
        <w:rPr>
          <w:rFonts w:ascii="Times New Roman" w:cs="Times New Roman" w:eastAsia="Times New Roman" w:hAnsi="Times New Roman"/>
          <w:sz w:val="18"/>
          <w:szCs w:val="18"/>
          <w:color w:val="auto"/>
        </w:rPr>
        <w:t>The Saga common stock is the Company’s Class A common stock valued at the closing price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NASDAQ exchange.</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values. Furthermore, while the Company believes the Plan’s valuation methods are appropriate and consistent with other market participants, the use of different methodologies or assumptions to determine the fair market value of certain financial instruments could result in a different fair value measurement result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carried at fair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2025</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34,127,309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34,127,309</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Saga Common Stock</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1,957,750</w:t>
            </w:r>
          </w:p>
        </w:tc>
        <w:tc>
          <w:tcPr>
            <w:tcW w:w="80" w:type="dxa"/>
            <w:vAlign w:val="bottom"/>
          </w:tcPr>
          <w:p>
            <w:pPr>
              <w:spacing w:after="0"/>
              <w:rPr>
                <w:sz w:val="18"/>
                <w:szCs w:val="18"/>
                <w:color w:val="auto"/>
              </w:rPr>
            </w:pPr>
          </w:p>
        </w:tc>
      </w:tr>
      <w:tr>
        <w:trPr>
          <w:trHeight w:val="255"/>
        </w:trPr>
        <w:tc>
          <w:tcPr>
            <w:tcW w:w="3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36,085,059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36,085,059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
        </w:trPr>
        <w:tc>
          <w:tcPr>
            <w:tcW w:w="3600" w:type="dxa"/>
            <w:vAlign w:val="bottom"/>
            <w:tcBorders>
              <w:top w:val="single" w:sz="8" w:color="CCEEFF"/>
            </w:tcBorders>
          </w:tcPr>
          <w:p>
            <w:pPr>
              <w:spacing w:after="0"/>
              <w:rPr>
                <w:sz w:val="3"/>
                <w:szCs w:val="3"/>
                <w:color w:val="auto"/>
              </w:rPr>
            </w:pPr>
          </w:p>
        </w:tc>
        <w:tc>
          <w:tcPr>
            <w:tcW w:w="200" w:type="dxa"/>
            <w:vAlign w:val="bottom"/>
            <w:tcBorders>
              <w:top w:val="single" w:sz="8" w:color="CCEEFF"/>
              <w:bottom w:val="single" w:sz="8" w:color="auto"/>
            </w:tcBorders>
          </w:tcPr>
          <w:p>
            <w:pPr>
              <w:spacing w:after="0"/>
              <w:rPr>
                <w:sz w:val="3"/>
                <w:szCs w:val="3"/>
                <w:color w:val="auto"/>
              </w:rPr>
            </w:pPr>
          </w:p>
        </w:tc>
        <w:tc>
          <w:tcPr>
            <w:tcW w:w="10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106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108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96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2024</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9"/>
        </w:trPr>
        <w:tc>
          <w:tcPr>
            <w:tcW w:w="3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32,481,982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32,481,982</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Saga Common Stock</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1,749,174</w:t>
            </w:r>
          </w:p>
        </w:tc>
        <w:tc>
          <w:tcPr>
            <w:tcW w:w="60" w:type="dxa"/>
            <w:vAlign w:val="bottom"/>
          </w:tcPr>
          <w:p>
            <w:pPr>
              <w:spacing w:after="0"/>
              <w:rPr>
                <w:sz w:val="18"/>
                <w:szCs w:val="18"/>
                <w:color w:val="auto"/>
              </w:rPr>
            </w:pPr>
          </w:p>
        </w:tc>
      </w:tr>
      <w:tr>
        <w:trPr>
          <w:trHeight w:val="255"/>
        </w:trPr>
        <w:tc>
          <w:tcPr>
            <w:tcW w:w="3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34,231,156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34,231,156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
        </w:trPr>
        <w:tc>
          <w:tcPr>
            <w:tcW w:w="3600" w:type="dxa"/>
            <w:vAlign w:val="bottom"/>
            <w:tcBorders>
              <w:top w:val="single" w:sz="8" w:color="CCEEFF"/>
            </w:tcBorders>
          </w:tcPr>
          <w:p>
            <w:pPr>
              <w:spacing w:after="0"/>
              <w:rPr>
                <w:sz w:val="3"/>
                <w:szCs w:val="3"/>
                <w:color w:val="auto"/>
              </w:rPr>
            </w:pPr>
          </w:p>
        </w:tc>
        <w:tc>
          <w:tcPr>
            <w:tcW w:w="200" w:type="dxa"/>
            <w:vAlign w:val="bottom"/>
            <w:tcBorders>
              <w:top w:val="single" w:sz="8" w:color="CCEEFF"/>
              <w:bottom w:val="single" w:sz="8" w:color="auto"/>
            </w:tcBorders>
          </w:tcPr>
          <w:p>
            <w:pPr>
              <w:spacing w:after="0"/>
              <w:rPr>
                <w:sz w:val="3"/>
                <w:szCs w:val="3"/>
                <w:color w:val="auto"/>
              </w:rPr>
            </w:pPr>
          </w:p>
        </w:tc>
        <w:tc>
          <w:tcPr>
            <w:tcW w:w="10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106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108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980" w:type="dxa"/>
            <w:vAlign w:val="bottom"/>
            <w:tcBorders>
              <w:top w:val="single" w:sz="8" w:color="CCEEFF"/>
              <w:bottom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Guaranteed Income Fund – Investment Contract with Insurance Company</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Plan contains an investment in the Principal Fixed Income Guaranteed Option (“Fund”), which is supported by a group annuity contract with Principal Life Insurance Company. While guarantees are supported by the general account of Principal Life, participants do not participate in the investment experience or performance of the general account. The rate credited to accounts is a composite weighted average of underlying guarantees provided in the contract. Each underlying guarantee is in effect for its full maturity, which may vary.</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Contract value represents contributions and reinvested income, less any withdrawals plus accrued interest. Under this contract participants may ordinarily direct the withdrawal or transfer of all or a portion of their investment at contract value within reasonable timeframes. The contract is effected directly between the plan sponsor and the issuer. The repayment of principal and interest credited to participants is a financial obligation of the issuer. Given these provisions, the contract is considered to be benefit responsive.</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Fund is an insurance company issued, general account backed, group annuity with no maturity date. Upon a discontinuance of the contract, contract value would be paid no later than 12 months from the date the Plan Sponsor provides notice to discontinue. This contract’s operation is different than many other evergreen group annuity products in the market by virtue of the fact that a fair value adjustment does not apply upon discontinuance. There are not any specific securities in the insurer’s general account that back the liabilities of this annuity contract. The Plan owns a promise to pay interest at crediting rates which are announced in advance and guaranteed for a specific period of time as outlined in the group annuity contract. This product is not a traditional Guaranteed Income Contract (GIC) and therefore there are not any known cash flows that could be discounted.</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Generally, there are not any events that could limit the ability of the Plan to transact at contract value within 12 months of request or in rare circumstances, contract value paid over a longer time period. There are not any events that allow the issuer to terminate the contract and which require the Plan sponsor to settle at an amount different than contract value paid either within 12 months or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2" w:name="page13"/>
    <w:bookmarkEnd w:id="12"/>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ind w:left="201" w:hanging="201"/>
        <w:spacing w:after="0"/>
        <w:tabs>
          <w:tab w:leader="none" w:pos="201"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Income Tax Status</w:t>
      </w:r>
    </w:p>
    <w:p>
      <w:pPr>
        <w:spacing w:after="0" w:line="189" w:lineRule="exact"/>
        <w:rPr>
          <w:sz w:val="20"/>
          <w:szCs w:val="20"/>
          <w:color w:val="auto"/>
        </w:rPr>
      </w:pPr>
    </w:p>
    <w:p>
      <w:pPr>
        <w:jc w:val="both"/>
        <w:ind w:left="1"/>
        <w:spacing w:after="0" w:line="232" w:lineRule="auto"/>
        <w:rPr>
          <w:sz w:val="20"/>
          <w:szCs w:val="20"/>
          <w:color w:val="auto"/>
        </w:rPr>
      </w:pPr>
      <w:r>
        <w:rPr>
          <w:rFonts w:ascii="Times New Roman" w:cs="Times New Roman" w:eastAsia="Times New Roman" w:hAnsi="Times New Roman"/>
          <w:sz w:val="18"/>
          <w:szCs w:val="18"/>
          <w:color w:val="auto"/>
        </w:rPr>
        <w:t>The underlying non-standardized pre-approved plan has received an opinion letter from the Internal Revenue Service (“IRS”) dated June 30, 2020, stating that the form of the plan is qualified under Section 401 of the Internal Revenue Code (the “Code”), and therefore, the related trust is tax exempt. In accordance with Revenue Procedure 2014-6 and 2011-49, the Plan Sponsor has determined that it is eligible to and has chosen to rely on the current IRS pre-approved plan opinion letter. Once qualified, the Plan is required to operate in conformity with the Code to maintain its qualified status.</w:t>
      </w:r>
    </w:p>
    <w:p>
      <w:pPr>
        <w:spacing w:after="0" w:line="161" w:lineRule="exact"/>
        <w:rPr>
          <w:sz w:val="20"/>
          <w:szCs w:val="20"/>
          <w:color w:val="auto"/>
        </w:rPr>
      </w:pPr>
    </w:p>
    <w:p>
      <w:pPr>
        <w:jc w:val="both"/>
        <w:ind w:left="1"/>
        <w:spacing w:after="0" w:line="231"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there are no uncertain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2022.</w:t>
      </w:r>
    </w:p>
    <w:p>
      <w:pPr>
        <w:spacing w:after="0" w:line="167" w:lineRule="exact"/>
        <w:rPr>
          <w:sz w:val="20"/>
          <w:szCs w:val="20"/>
          <w:color w:val="auto"/>
        </w:rPr>
      </w:pPr>
    </w:p>
    <w:p>
      <w:pPr>
        <w:ind w:left="201" w:hanging="201"/>
        <w:spacing w:after="0"/>
        <w:tabs>
          <w:tab w:leader="none" w:pos="201"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189" w:lineRule="exact"/>
        <w:rPr>
          <w:sz w:val="20"/>
          <w:szCs w:val="20"/>
          <w:color w:val="auto"/>
        </w:rPr>
      </w:pPr>
    </w:p>
    <w:p>
      <w:pPr>
        <w:jc w:val="both"/>
        <w:ind w:left="1"/>
        <w:spacing w:after="0" w:line="236" w:lineRule="auto"/>
        <w:rPr>
          <w:sz w:val="20"/>
          <w:szCs w:val="20"/>
          <w:color w:val="auto"/>
        </w:rPr>
      </w:pPr>
      <w:r>
        <w:rPr>
          <w:rFonts w:ascii="Times New Roman" w:cs="Times New Roman" w:eastAsia="Times New Roman" w:hAnsi="Times New Roman"/>
          <w:sz w:val="18"/>
          <w:szCs w:val="18"/>
          <w:color w:val="auto"/>
        </w:rPr>
        <w:t>The Plan provides investment options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7" w:lineRule="exact"/>
        <w:rPr>
          <w:sz w:val="20"/>
          <w:szCs w:val="20"/>
          <w:color w:val="auto"/>
        </w:rPr>
      </w:pPr>
    </w:p>
    <w:p>
      <w:pPr>
        <w:ind w:left="201" w:hanging="201"/>
        <w:spacing w:after="0"/>
        <w:tabs>
          <w:tab w:leader="none" w:pos="201"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Related Party and Party in Interest Transactions</w:t>
      </w:r>
    </w:p>
    <w:p>
      <w:pPr>
        <w:spacing w:after="0" w:line="189" w:lineRule="exact"/>
        <w:rPr>
          <w:sz w:val="20"/>
          <w:szCs w:val="20"/>
          <w:color w:val="auto"/>
        </w:rPr>
      </w:pPr>
    </w:p>
    <w:p>
      <w:pPr>
        <w:ind w:left="1"/>
        <w:spacing w:after="0" w:line="250" w:lineRule="auto"/>
        <w:rPr>
          <w:sz w:val="20"/>
          <w:szCs w:val="20"/>
          <w:color w:val="auto"/>
        </w:rPr>
      </w:pPr>
      <w:r>
        <w:rPr>
          <w:rFonts w:ascii="Times New Roman" w:cs="Times New Roman" w:eastAsia="Times New Roman" w:hAnsi="Times New Roman"/>
          <w:sz w:val="18"/>
          <w:szCs w:val="18"/>
          <w:color w:val="auto"/>
        </w:rPr>
        <w:t>The Plan provides for an investment option in the Class A common stock of the Company. These transactions qualify as party-in-interest transactions; however, they are exempt from the prohibited transaction rules under ERISA.</w:t>
      </w:r>
    </w:p>
    <w:p>
      <w:pPr>
        <w:spacing w:after="0" w:line="149" w:lineRule="exact"/>
        <w:rPr>
          <w:sz w:val="20"/>
          <w:szCs w:val="20"/>
          <w:color w:val="auto"/>
        </w:rPr>
      </w:pPr>
    </w:p>
    <w:p>
      <w:pPr>
        <w:ind w:left="1"/>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2025, and 2024 the Plan recorded dividend income of $167,176 and $259,232, respectively, from the Company’s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88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39"/>
          </w:cols>
          <w:pgMar w:left="1320" w:top="51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Employees’ 401(k) Savings and Investment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6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Employer ID # 38-3042953</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Plan #001</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5"/>
          </w:tcPr>
          <w:p>
            <w:pPr>
              <w:ind w:left="1960"/>
              <w:spacing w:after="0"/>
              <w:rPr>
                <w:sz w:val="20"/>
                <w:szCs w:val="20"/>
                <w:color w:val="auto"/>
              </w:rPr>
            </w:pPr>
            <w:r>
              <w:rPr>
                <w:rFonts w:ascii="Times New Roman" w:cs="Times New Roman" w:eastAsia="Times New Roman" w:hAnsi="Times New Roman"/>
                <w:sz w:val="18"/>
                <w:szCs w:val="18"/>
                <w:color w:val="auto"/>
              </w:rPr>
              <w:t>Schedule H, line 4i—Schedule of Assets (Held at End of Year)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gridSpan w:val="3"/>
          </w:tcPr>
          <w:p>
            <w:pPr>
              <w:ind w:left="3540"/>
              <w:spacing w:after="0"/>
              <w:rPr>
                <w:sz w:val="20"/>
                <w:szCs w:val="20"/>
                <w:color w:val="auto"/>
              </w:rPr>
            </w:pPr>
            <w:r>
              <w:rPr>
                <w:rFonts w:ascii="Times New Roman" w:cs="Times New Roman" w:eastAsia="Times New Roman" w:hAnsi="Times New Roman"/>
                <w:sz w:val="18"/>
                <w:szCs w:val="18"/>
                <w:color w:val="auto"/>
              </w:rPr>
              <w:t>December 31, 2025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 Identity</w:t>
            </w:r>
          </w:p>
        </w:tc>
        <w:tc>
          <w:tcPr>
            <w:tcW w:w="3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 ) Description of Investments,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Issue, Borrower,</w:t>
            </w:r>
          </w:p>
        </w:tc>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Including Maturity Date, Rate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 ) Current</w:t>
            </w:r>
          </w:p>
        </w:tc>
      </w:tr>
      <w:tr>
        <w:trPr>
          <w:trHeight w:val="245"/>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tcPr>
          <w:p>
            <w:pPr>
              <w:spacing w:after="0"/>
              <w:rPr>
                <w:sz w:val="21"/>
                <w:szCs w:val="21"/>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3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in fair value of investments</w:t>
            </w:r>
          </w:p>
        </w:tc>
        <w:tc>
          <w:tcPr>
            <w:tcW w:w="11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 xml:space="preserve">(d) Cost </w:t>
            </w:r>
            <w:r>
              <w:rPr>
                <w:rFonts w:ascii="Times New Roman" w:cs="Times New Roman" w:eastAsia="Times New Roman" w:hAnsi="Times New Roman"/>
                <w:sz w:val="21"/>
                <w:szCs w:val="21"/>
                <w:b w:val="1"/>
                <w:bCs w:val="1"/>
                <w:color w:val="auto"/>
                <w:w w:val="99"/>
                <w:vertAlign w:val="superscript"/>
              </w:rPr>
              <w:t>(1)</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Fixed Income Guaranteed Option</w:t>
            </w: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11,424,075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 Morgan Large Cap Growth R6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4,423,288</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Equity Income Admiral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4,394,345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500 Index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3,889,373</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MFS International Diversification R3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3,533,780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Thornburg Strategic Income T6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3,087,345</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Advisor Total Bond I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2,888,532</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International Index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2,427,185</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US Bond Index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2,129,017</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Mid Cap Index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1,474,848</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Small Cap Index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1,148,629</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Allspring Special Mid Cap Value A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1,108,563</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 Rowe Price Diversified Mid-Cap Growth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1,054,709</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Advisor Small Cap Value I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993,276</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Putnam Small Cap Growth A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821,958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Funds New Work R2 Fund</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724,874</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Cohen &amp; Steers Realty Shares Fund</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Saga Communications, Inc.</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1,957,750</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loans receivable</w:t>
            </w: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 4.25% - 9.5%</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308,976</w:t>
            </w:r>
          </w:p>
        </w:tc>
        <w:tc>
          <w:tcPr>
            <w:tcW w:w="100" w:type="dxa"/>
            <w:vAlign w:val="bottom"/>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47,818,110</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393"/>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is not required for participant-directed investments.</w:t>
      </w:r>
    </w:p>
    <w:p>
      <w:pPr>
        <w:spacing w:after="0" w:line="27" w:lineRule="exact"/>
        <w:rPr>
          <w:sz w:val="20"/>
          <w:szCs w:val="20"/>
          <w:color w:val="auto"/>
        </w:rPr>
      </w:pPr>
    </w:p>
    <w:p>
      <w:pPr>
        <w:ind w:left="500" w:hanging="393"/>
        <w:spacing w:after="0"/>
        <w:tabs>
          <w:tab w:leader="none" w:pos="50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Principal Financial Group, including associated funds, participants and the Company are parties-in-interest.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TO REPORT ON FORM 11-K</w:t>
            </w:r>
          </w:p>
        </w:tc>
      </w:tr>
      <w:tr>
        <w:trPr>
          <w:trHeight w:val="43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No.</w:t>
            </w:r>
          </w:p>
        </w:tc>
        <w:tc>
          <w:tcPr>
            <w:tcW w:w="8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9"/>
        </w:trPr>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r>
      <w:tr>
        <w:trPr>
          <w:trHeight w:val="196"/>
        </w:trPr>
        <w:tc>
          <w:tcPr>
            <w:tcW w:w="1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r>
      <w:tr>
        <w:trPr>
          <w:trHeight w:val="216"/>
        </w:trPr>
        <w:tc>
          <w:tcPr>
            <w:tcW w:w="1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r>
      <w:tr>
        <w:trPr>
          <w:trHeight w:val="198"/>
        </w:trPr>
        <w:tc>
          <w:tcPr>
            <w:tcW w:w="1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80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180" w:type="dxa"/>
            <w:vAlign w:val="bottom"/>
            <w:shd w:val="clear" w:color="auto" w:fill="CCEEFF"/>
          </w:tcPr>
          <w:p>
            <w:pPr>
              <w:spacing w:after="0"/>
              <w:rPr>
                <w:sz w:val="20"/>
                <w:szCs w:val="20"/>
                <w:color w:val="auto"/>
              </w:rPr>
            </w:pP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 (filed electronically herewith).</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(filed electronically herewith).</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 (filed electronically herewith).</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(filed electronically herewith).</w:t>
            </w: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(filed electronically herewith).</w:t>
            </w:r>
          </w:p>
        </w:tc>
      </w:tr>
    </w:tbl>
    <w:p>
      <w:pPr>
        <w:spacing w:after="0" w:line="198" w:lineRule="exact"/>
        <w:rPr>
          <w:sz w:val="20"/>
          <w:szCs w:val="20"/>
          <w:color w:val="auto"/>
        </w:rPr>
      </w:pPr>
    </w:p>
    <w:p>
      <w:pPr>
        <w:ind w:left="1380" w:hanging="472"/>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4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-1199515</wp:posOffset>
            </wp:positionV>
            <wp:extent cx="5871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ectPr>
          <w:pgSz w:w="11900" w:h="16838" w:orient="portrait"/>
          <w:cols w:equalWidth="0" w:num="1">
            <w:col w:w="9260"/>
          </w:cols>
          <w:pgMar w:left="1320" w:top="513" w:right="1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8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SAGA</w:t>
            </w:r>
          </w:p>
        </w:tc>
      </w:tr>
      <w:tr>
        <w:trPr>
          <w:trHeight w:val="189"/>
        </w:trPr>
        <w:tc>
          <w:tcPr>
            <w:tcW w:w="5340" w:type="dxa"/>
            <w:vAlign w:val="bottom"/>
          </w:tcPr>
          <w:p>
            <w:pPr>
              <w:spacing w:after="0"/>
              <w:rPr>
                <w:sz w:val="16"/>
                <w:szCs w:val="16"/>
                <w:color w:val="auto"/>
              </w:rPr>
            </w:pPr>
          </w:p>
        </w:tc>
        <w:tc>
          <w:tcPr>
            <w:tcW w:w="30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COMMUNICATIONS,</w:t>
            </w:r>
          </w:p>
        </w:tc>
      </w:tr>
      <w:tr>
        <w:trPr>
          <w:trHeight w:val="189"/>
        </w:trPr>
        <w:tc>
          <w:tcPr>
            <w:tcW w:w="5340" w:type="dxa"/>
            <w:vAlign w:val="bottom"/>
          </w:tcPr>
          <w:p>
            <w:pPr>
              <w:spacing w:after="0"/>
              <w:rPr>
                <w:sz w:val="16"/>
                <w:szCs w:val="16"/>
                <w:color w:val="auto"/>
              </w:rPr>
            </w:pPr>
          </w:p>
        </w:tc>
        <w:tc>
          <w:tcPr>
            <w:tcW w:w="30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INC. EMPLOYEES’</w:t>
            </w:r>
          </w:p>
        </w:tc>
      </w:tr>
      <w:tr>
        <w:trPr>
          <w:trHeight w:val="203"/>
        </w:trPr>
        <w:tc>
          <w:tcPr>
            <w:tcW w:w="5340" w:type="dxa"/>
            <w:vAlign w:val="bottom"/>
          </w:tcPr>
          <w:p>
            <w:pPr>
              <w:spacing w:after="0"/>
              <w:rPr>
                <w:sz w:val="17"/>
                <w:szCs w:val="17"/>
                <w:color w:val="auto"/>
              </w:rPr>
            </w:pPr>
          </w:p>
        </w:tc>
        <w:tc>
          <w:tcPr>
            <w:tcW w:w="30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401(K) SAVINGS</w:t>
            </w:r>
          </w:p>
        </w:tc>
      </w:tr>
      <w:tr>
        <w:trPr>
          <w:trHeight w:val="189"/>
        </w:trPr>
        <w:tc>
          <w:tcPr>
            <w:tcW w:w="5340" w:type="dxa"/>
            <w:vAlign w:val="bottom"/>
          </w:tcPr>
          <w:p>
            <w:pPr>
              <w:spacing w:after="0"/>
              <w:rPr>
                <w:sz w:val="16"/>
                <w:szCs w:val="16"/>
                <w:color w:val="auto"/>
              </w:rPr>
            </w:pPr>
          </w:p>
        </w:tc>
        <w:tc>
          <w:tcPr>
            <w:tcW w:w="30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AND INVESTMENT</w:t>
            </w:r>
          </w:p>
        </w:tc>
      </w:tr>
      <w:tr>
        <w:trPr>
          <w:trHeight w:val="234"/>
        </w:trPr>
        <w:tc>
          <w:tcPr>
            <w:tcW w:w="53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r>
      <w:tr>
        <w:trPr>
          <w:trHeight w:val="36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Annette Calcaterra</w:t>
            </w:r>
          </w:p>
        </w:tc>
      </w:tr>
      <w:tr>
        <w:trPr>
          <w:trHeight w:val="22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80" w:type="dxa"/>
            <w:vAlign w:val="bottom"/>
            <w:tcBorders>
              <w:bottom w:val="single" w:sz="8" w:color="auto"/>
            </w:tcBorders>
          </w:tcPr>
          <w:p>
            <w:pPr>
              <w:spacing w:after="0"/>
              <w:rPr>
                <w:sz w:val="19"/>
                <w:szCs w:val="19"/>
                <w:color w:val="auto"/>
              </w:rPr>
            </w:pPr>
          </w:p>
        </w:tc>
      </w:tr>
      <w:tr>
        <w:trPr>
          <w:trHeight w:val="250"/>
        </w:trPr>
        <w:tc>
          <w:tcPr>
            <w:tcW w:w="5340" w:type="dxa"/>
            <w:vAlign w:val="bottom"/>
          </w:tcPr>
          <w:p>
            <w:pPr>
              <w:spacing w:after="0"/>
              <w:rPr>
                <w:sz w:val="21"/>
                <w:szCs w:val="21"/>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Annette Calcaterra</w:t>
            </w:r>
          </w:p>
        </w:tc>
      </w:tr>
      <w:tr>
        <w:trPr>
          <w:trHeight w:val="252"/>
        </w:trPr>
        <w:tc>
          <w:tcPr>
            <w:tcW w:w="5340" w:type="dxa"/>
            <w:vAlign w:val="bottom"/>
          </w:tcPr>
          <w:p>
            <w:pPr>
              <w:spacing w:after="0"/>
              <w:rPr>
                <w:sz w:val="21"/>
                <w:szCs w:val="21"/>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HumanVicePresidentResourcesof</w:t>
            </w:r>
          </w:p>
        </w:tc>
      </w:tr>
      <w:tr>
        <w:trPr>
          <w:trHeight w:val="234"/>
        </w:trPr>
        <w:tc>
          <w:tcPr>
            <w:tcW w:w="53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Plan Administrator</w:t>
            </w:r>
          </w:p>
        </w:tc>
      </w:tr>
      <w:tr>
        <w:trPr>
          <w:trHeight w:val="6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Catherine Bobinski</w:t>
            </w:r>
          </w:p>
        </w:tc>
      </w:tr>
      <w:tr>
        <w:trPr>
          <w:trHeight w:val="22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80" w:type="dxa"/>
            <w:vAlign w:val="bottom"/>
            <w:tcBorders>
              <w:bottom w:val="single" w:sz="8" w:color="auto"/>
            </w:tcBorders>
          </w:tcPr>
          <w:p>
            <w:pPr>
              <w:spacing w:after="0"/>
              <w:rPr>
                <w:sz w:val="19"/>
                <w:szCs w:val="19"/>
                <w:color w:val="auto"/>
              </w:rPr>
            </w:pPr>
          </w:p>
        </w:tc>
      </w:tr>
      <w:tr>
        <w:trPr>
          <w:trHeight w:val="142"/>
        </w:trPr>
        <w:tc>
          <w:tcPr>
            <w:tcW w:w="5340" w:type="dxa"/>
            <w:vAlign w:val="bottom"/>
          </w:tcPr>
          <w:p>
            <w:pPr>
              <w:spacing w:after="0"/>
              <w:rPr>
                <w:sz w:val="12"/>
                <w:szCs w:val="12"/>
                <w:color w:val="auto"/>
              </w:rPr>
            </w:pPr>
          </w:p>
        </w:tc>
        <w:tc>
          <w:tcPr>
            <w:tcW w:w="308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Catherine Bobinski</w:t>
            </w:r>
          </w:p>
        </w:tc>
      </w:tr>
      <w:tr>
        <w:trPr>
          <w:trHeight w:val="184"/>
        </w:trPr>
        <w:tc>
          <w:tcPr>
            <w:tcW w:w="5340" w:type="dxa"/>
            <w:vAlign w:val="bottom"/>
          </w:tcPr>
          <w:p>
            <w:pPr>
              <w:spacing w:after="0"/>
              <w:rPr>
                <w:sz w:val="16"/>
                <w:szCs w:val="16"/>
                <w:color w:val="auto"/>
              </w:rPr>
            </w:pPr>
          </w:p>
        </w:tc>
        <w:tc>
          <w:tcPr>
            <w:tcW w:w="30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3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333-63321) pertaining to the Saga Communications, Inc. Employees’ 401(k) Savings and Investment Plan of our report dated June 29, 2026 with respect to the financial statements and supplemental schedule of the Saga Communications, Inc. Employees’ 401(k) Savings and Investment Plan included in this Annual Report (Form 11-K) for the year ended December 31, 2025.</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480060</wp:posOffset>
            </wp:positionV>
            <wp:extent cx="588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40"/>
      </w:cols>
      <w:pgMar w:left="1320" w:top="11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2026-06-29T17:02:15Z</dcterms:created>
  <dcterms:modified xsi:type="dcterms:W3CDTF">2026-06-29T17:02:15Z</dcterms:modified>
</cp:coreProperties>
</file>