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66" w:lineRule="exact"/>
        <w:rPr>
          <w:sz w:val="24"/>
          <w:szCs w:val="24"/>
          <w:color w:val="auto"/>
        </w:rPr>
      </w:pPr>
    </w:p>
    <w:p>
      <w:pPr>
        <w:ind w:left="360" w:right="3239" w:hanging="350"/>
        <w:spacing w:after="0" w:line="344"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360" w:right="3239" w:hanging="350"/>
        <w:spacing w:after="0" w:line="344"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for __________ to __________</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1-11588</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SAGA COMMUNICATIONS, INC.</w:t>
      </w:r>
    </w:p>
    <w:p>
      <w:pPr>
        <w:spacing w:after="0" w:line="23"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ind w:left="1760"/>
              <w:spacing w:after="0"/>
              <w:rPr>
                <w:sz w:val="20"/>
                <w:szCs w:val="20"/>
                <w:color w:val="auto"/>
              </w:rPr>
            </w:pPr>
            <w:r>
              <w:rPr>
                <w:rFonts w:ascii="Courier New" w:cs="Courier New" w:eastAsia="Courier New" w:hAnsi="Courier New"/>
                <w:sz w:val="15"/>
                <w:szCs w:val="15"/>
                <w:color w:val="auto"/>
              </w:rPr>
              <w:t>Delaware</w:t>
            </w:r>
          </w:p>
        </w:tc>
        <w:tc>
          <w:tcPr>
            <w:tcW w:w="34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38-3042953</w:t>
            </w:r>
          </w:p>
        </w:tc>
        <w:tc>
          <w:tcPr>
            <w:tcW w:w="0" w:type="dxa"/>
            <w:vAlign w:val="bottom"/>
          </w:tcPr>
          <w:p>
            <w:pPr>
              <w:spacing w:after="0"/>
              <w:rPr>
                <w:sz w:val="1"/>
                <w:szCs w:val="1"/>
                <w:color w:val="auto"/>
              </w:rPr>
            </w:pPr>
          </w:p>
        </w:tc>
      </w:tr>
      <w:tr>
        <w:trPr>
          <w:trHeight w:val="168"/>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w w:val="71"/>
                <w:vertAlign w:val="subscript"/>
              </w:rPr>
              <w:t>(State</w:t>
            </w: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orotherjurisdictionofincorporationor</w:t>
            </w:r>
          </w:p>
        </w:tc>
        <w:tc>
          <w:tcPr>
            <w:tcW w:w="3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80" w:type="dxa"/>
            <w:vAlign w:val="bottom"/>
            <w:vMerge w:val="continue"/>
          </w:tcPr>
          <w:p>
            <w:pPr>
              <w:spacing w:after="0"/>
              <w:rPr>
                <w:sz w:val="14"/>
                <w:szCs w:val="14"/>
                <w:color w:val="auto"/>
              </w:rPr>
            </w:pPr>
          </w:p>
        </w:tc>
        <w:tc>
          <w:tcPr>
            <w:tcW w:w="34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(I.R.S. Employer Identification</w:t>
            </w:r>
          </w:p>
        </w:tc>
        <w:tc>
          <w:tcPr>
            <w:tcW w:w="0" w:type="dxa"/>
            <w:vAlign w:val="bottom"/>
          </w:tcPr>
          <w:p>
            <w:pPr>
              <w:spacing w:after="0"/>
              <w:rPr>
                <w:sz w:val="1"/>
                <w:szCs w:val="1"/>
                <w:color w:val="auto"/>
              </w:rPr>
            </w:pPr>
          </w:p>
        </w:tc>
      </w:tr>
      <w:tr>
        <w:trPr>
          <w:trHeight w:val="245"/>
        </w:trPr>
        <w:tc>
          <w:tcPr>
            <w:tcW w:w="4480" w:type="dxa"/>
            <w:vAlign w:val="bottom"/>
          </w:tcPr>
          <w:p>
            <w:pPr>
              <w:jc w:val="center"/>
              <w:ind w:right="272"/>
              <w:spacing w:after="0"/>
              <w:rPr>
                <w:sz w:val="20"/>
                <w:szCs w:val="20"/>
                <w:color w:val="auto"/>
              </w:rPr>
            </w:pPr>
            <w:r>
              <w:rPr>
                <w:rFonts w:ascii="Courier New" w:cs="Courier New" w:eastAsia="Courier New" w:hAnsi="Courier New"/>
                <w:sz w:val="15"/>
                <w:szCs w:val="15"/>
                <w:color w:val="auto"/>
                <w:w w:val="97"/>
              </w:rPr>
              <w:t>organization)</w:t>
            </w:r>
          </w:p>
        </w:tc>
        <w:tc>
          <w:tcPr>
            <w:tcW w:w="34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4"/>
              </w:rPr>
              <w:t>No.)</w:t>
            </w:r>
          </w:p>
        </w:tc>
        <w:tc>
          <w:tcPr>
            <w:tcW w:w="0" w:type="dxa"/>
            <w:vAlign w:val="bottom"/>
          </w:tcPr>
          <w:p>
            <w:pPr>
              <w:spacing w:after="0"/>
              <w:rPr>
                <w:sz w:val="1"/>
                <w:szCs w:val="1"/>
                <w:color w:val="auto"/>
              </w:rPr>
            </w:pPr>
          </w:p>
        </w:tc>
      </w:tr>
      <w:tr>
        <w:trPr>
          <w:trHeight w:val="259"/>
        </w:trPr>
        <w:tc>
          <w:tcPr>
            <w:tcW w:w="4480" w:type="dxa"/>
            <w:vAlign w:val="bottom"/>
          </w:tcPr>
          <w:p>
            <w:pPr>
              <w:jc w:val="center"/>
              <w:ind w:right="272"/>
              <w:spacing w:after="0"/>
              <w:rPr>
                <w:sz w:val="20"/>
                <w:szCs w:val="20"/>
                <w:color w:val="auto"/>
              </w:rPr>
            </w:pPr>
            <w:r>
              <w:rPr>
                <w:rFonts w:ascii="Courier New" w:cs="Courier New" w:eastAsia="Courier New" w:hAnsi="Courier New"/>
                <w:sz w:val="15"/>
                <w:szCs w:val="15"/>
                <w:color w:val="auto"/>
                <w:w w:val="97"/>
              </w:rPr>
              <w:t>73 Kercheval Avenue</w:t>
            </w:r>
          </w:p>
        </w:tc>
        <w:tc>
          <w:tcPr>
            <w:tcW w:w="348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97"/>
              </w:rPr>
              <w:t>48236</w:t>
            </w:r>
          </w:p>
        </w:tc>
        <w:tc>
          <w:tcPr>
            <w:tcW w:w="0" w:type="dxa"/>
            <w:vAlign w:val="bottom"/>
          </w:tcPr>
          <w:p>
            <w:pPr>
              <w:spacing w:after="0"/>
              <w:rPr>
                <w:sz w:val="1"/>
                <w:szCs w:val="1"/>
                <w:color w:val="auto"/>
              </w:rPr>
            </w:pPr>
          </w:p>
        </w:tc>
      </w:tr>
      <w:tr>
        <w:trPr>
          <w:trHeight w:val="168"/>
        </w:trPr>
        <w:tc>
          <w:tcPr>
            <w:tcW w:w="4480" w:type="dxa"/>
            <w:vAlign w:val="bottom"/>
          </w:tcPr>
          <w:p>
            <w:pPr>
              <w:jc w:val="center"/>
              <w:ind w:right="272"/>
              <w:spacing w:after="0" w:line="168" w:lineRule="exact"/>
              <w:rPr>
                <w:sz w:val="20"/>
                <w:szCs w:val="20"/>
                <w:color w:val="auto"/>
              </w:rPr>
            </w:pPr>
            <w:r>
              <w:rPr>
                <w:rFonts w:ascii="Courier New" w:cs="Courier New" w:eastAsia="Courier New" w:hAnsi="Courier New"/>
                <w:sz w:val="15"/>
                <w:szCs w:val="15"/>
                <w:color w:val="auto"/>
                <w:w w:val="97"/>
              </w:rPr>
              <w:t>Grosse Pointe Farms, Michigan</w:t>
            </w: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vMerge w:val="restart"/>
          </w:tcPr>
          <w:p>
            <w:pPr>
              <w:spacing w:after="0"/>
              <w:rPr>
                <w:sz w:val="20"/>
                <w:szCs w:val="20"/>
                <w:color w:val="auto"/>
              </w:rPr>
            </w:pPr>
            <w:r>
              <w:rPr>
                <w:rFonts w:ascii="Courier New" w:cs="Courier New" w:eastAsia="Courier New" w:hAnsi="Courier New"/>
                <w:sz w:val="11"/>
                <w:szCs w:val="11"/>
                <w:color w:val="auto"/>
                <w:w w:val="72"/>
              </w:rPr>
              <w:t>- ------------------------------------------------</w:t>
            </w:r>
            <w:r>
              <w:rPr>
                <w:rFonts w:ascii="Courier New" w:cs="Courier New" w:eastAsia="Courier New" w:hAnsi="Courier New"/>
                <w:sz w:val="20"/>
                <w:szCs w:val="20"/>
                <w:color w:val="auto"/>
                <w:w w:val="72"/>
                <w:vertAlign w:val="subscript"/>
              </w:rPr>
              <w:t>(Addressofprincipalexecutiveoffices)</w:t>
            </w:r>
          </w:p>
        </w:tc>
        <w:tc>
          <w:tcPr>
            <w:tcW w:w="3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80" w:type="dxa"/>
            <w:vAlign w:val="bottom"/>
            <w:vMerge w:val="continue"/>
          </w:tcPr>
          <w:p>
            <w:pPr>
              <w:spacing w:after="0"/>
              <w:rPr>
                <w:sz w:val="22"/>
                <w:szCs w:val="22"/>
                <w:color w:val="auto"/>
              </w:rPr>
            </w:pPr>
          </w:p>
        </w:tc>
        <w:tc>
          <w:tcPr>
            <w:tcW w:w="34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(Zip Code)</w:t>
            </w:r>
          </w:p>
        </w:tc>
        <w:tc>
          <w:tcPr>
            <w:tcW w:w="0" w:type="dxa"/>
            <w:vAlign w:val="bottom"/>
          </w:tcPr>
          <w:p>
            <w:pPr>
              <w:spacing w:after="0"/>
              <w:rPr>
                <w:sz w:val="1"/>
                <w:szCs w:val="1"/>
                <w:color w:val="auto"/>
              </w:rPr>
            </w:pPr>
          </w:p>
        </w:tc>
      </w:tr>
      <w:tr>
        <w:trPr>
          <w:trHeight w:val="413"/>
        </w:trPr>
        <w:tc>
          <w:tcPr>
            <w:tcW w:w="7960" w:type="dxa"/>
            <w:vAlign w:val="bottom"/>
            <w:gridSpan w:val="2"/>
          </w:tcPr>
          <w:p>
            <w:pPr>
              <w:spacing w:after="0"/>
              <w:rPr>
                <w:sz w:val="20"/>
                <w:szCs w:val="20"/>
                <w:color w:val="auto"/>
              </w:rPr>
            </w:pPr>
            <w:r>
              <w:rPr>
                <w:rFonts w:ascii="Courier New" w:cs="Courier New" w:eastAsia="Courier New" w:hAnsi="Courier New"/>
                <w:sz w:val="15"/>
                <w:szCs w:val="15"/>
                <w:color w:val="auto"/>
              </w:rPr>
              <w:t>Registrant's telephone number, including area code: (313) 886-7070</w:t>
            </w: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3480" w:type="dxa"/>
            <w:vAlign w:val="bottom"/>
          </w:tcPr>
          <w:p>
            <w:pPr>
              <w:jc w:val="right"/>
              <w:ind w:right="2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7960" w:type="dxa"/>
            <w:vAlign w:val="bottom"/>
            <w:gridSpan w:val="2"/>
          </w:tcPr>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tc>
        <w:tc>
          <w:tcPr>
            <w:tcW w:w="0" w:type="dxa"/>
            <w:vAlign w:val="bottom"/>
          </w:tcPr>
          <w:p>
            <w:pPr>
              <w:spacing w:after="0"/>
              <w:rPr>
                <w:sz w:val="1"/>
                <w:szCs w:val="1"/>
                <w:color w:val="auto"/>
              </w:rPr>
            </w:pPr>
          </w:p>
        </w:tc>
      </w:tr>
      <w:tr>
        <w:trPr>
          <w:trHeight w:val="596"/>
        </w:trPr>
        <w:tc>
          <w:tcPr>
            <w:tcW w:w="448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each class</w:t>
            </w:r>
          </w:p>
        </w:tc>
        <w:tc>
          <w:tcPr>
            <w:tcW w:w="3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Name of each exchange on which</w:t>
            </w:r>
          </w:p>
        </w:tc>
        <w:tc>
          <w:tcPr>
            <w:tcW w:w="0" w:type="dxa"/>
            <w:vAlign w:val="bottom"/>
          </w:tcPr>
          <w:p>
            <w:pPr>
              <w:spacing w:after="0"/>
              <w:rPr>
                <w:sz w:val="1"/>
                <w:szCs w:val="1"/>
                <w:color w:val="auto"/>
              </w:rPr>
            </w:pPr>
          </w:p>
        </w:tc>
      </w:tr>
      <w:tr>
        <w:trPr>
          <w:trHeight w:val="168"/>
        </w:trPr>
        <w:tc>
          <w:tcPr>
            <w:tcW w:w="4480" w:type="dxa"/>
            <w:vAlign w:val="bottom"/>
            <w:vMerge w:val="continue"/>
          </w:tcPr>
          <w:p>
            <w:pPr>
              <w:spacing w:after="0"/>
              <w:rPr>
                <w:sz w:val="14"/>
                <w:szCs w:val="14"/>
                <w:color w:val="auto"/>
              </w:rPr>
            </w:pPr>
          </w:p>
        </w:tc>
        <w:tc>
          <w:tcPr>
            <w:tcW w:w="34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registered</w:t>
            </w:r>
          </w:p>
        </w:tc>
        <w:tc>
          <w:tcPr>
            <w:tcW w:w="0" w:type="dxa"/>
            <w:vAlign w:val="bottom"/>
          </w:tcPr>
          <w:p>
            <w:pPr>
              <w:spacing w:after="0"/>
              <w:rPr>
                <w:sz w:val="1"/>
                <w:szCs w:val="1"/>
                <w:color w:val="auto"/>
              </w:rPr>
            </w:pPr>
          </w:p>
        </w:tc>
      </w:tr>
      <w:tr>
        <w:trPr>
          <w:trHeight w:val="168"/>
        </w:trPr>
        <w:tc>
          <w:tcPr>
            <w:tcW w:w="4480" w:type="dxa"/>
            <w:vAlign w:val="bottom"/>
            <w:vMerge w:val="restart"/>
          </w:tcPr>
          <w:p>
            <w:pPr>
              <w:spacing w:after="0"/>
              <w:rPr>
                <w:sz w:val="20"/>
                <w:szCs w:val="20"/>
                <w:color w:val="auto"/>
              </w:rPr>
            </w:pPr>
            <w:r>
              <w:rPr>
                <w:rFonts w:ascii="Courier New" w:cs="Courier New" w:eastAsia="Courier New" w:hAnsi="Courier New"/>
                <w:sz w:val="22"/>
                <w:szCs w:val="22"/>
                <w:color w:val="auto"/>
                <w:w w:val="72"/>
                <w:vertAlign w:val="subscript"/>
              </w:rPr>
              <w:t>Class</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ACommonStock,$.01parvalue</w:t>
            </w:r>
          </w:p>
        </w:tc>
        <w:tc>
          <w:tcPr>
            <w:tcW w:w="3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80" w:type="dxa"/>
            <w:vAlign w:val="bottom"/>
            <w:vMerge w:val="continue"/>
          </w:tcPr>
          <w:p>
            <w:pPr>
              <w:spacing w:after="0"/>
              <w:rPr>
                <w:sz w:val="22"/>
                <w:szCs w:val="22"/>
                <w:color w:val="auto"/>
              </w:rPr>
            </w:pPr>
          </w:p>
        </w:tc>
        <w:tc>
          <w:tcPr>
            <w:tcW w:w="3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American Stock Exchange</w:t>
            </w:r>
          </w:p>
        </w:tc>
        <w:tc>
          <w:tcPr>
            <w:tcW w:w="0" w:type="dxa"/>
            <w:vAlign w:val="bottom"/>
          </w:tcPr>
          <w:p>
            <w:pPr>
              <w:spacing w:after="0"/>
              <w:rPr>
                <w:sz w:val="1"/>
                <w:szCs w:val="1"/>
                <w:color w:val="auto"/>
              </w:rPr>
            </w:pPr>
          </w:p>
        </w:tc>
      </w:tr>
    </w:tbl>
    <w:p>
      <w:pPr>
        <w:spacing w:after="0" w:line="2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66" w:lineRule="exact"/>
        <w:rPr>
          <w:sz w:val="24"/>
          <w:szCs w:val="24"/>
          <w:color w:val="auto"/>
        </w:rPr>
      </w:pPr>
    </w:p>
    <w:p>
      <w:pPr>
        <w:ind w:right="3319" w:firstLine="350"/>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 w:lineRule="exact"/>
        <w:rPr>
          <w:sz w:val="24"/>
          <w:szCs w:val="24"/>
          <w:color w:val="auto"/>
        </w:rPr>
      </w:pPr>
    </w:p>
    <w:p>
      <w:pPr>
        <w:ind w:left="4040"/>
        <w:spacing w:after="0"/>
        <w:tabs>
          <w:tab w:leader="none" w:pos="4360" w:val="left"/>
        </w:tabs>
        <w:rPr>
          <w:sz w:val="20"/>
          <w:szCs w:val="20"/>
          <w:color w:val="auto"/>
        </w:rPr>
      </w:pPr>
      <w:r>
        <w:rPr>
          <w:rFonts w:ascii="Courier New" w:cs="Courier New" w:eastAsia="Courier New" w:hAnsi="Courier New"/>
          <w:sz w:val="15"/>
          <w:szCs w:val="15"/>
          <w:color w:val="auto"/>
        </w:rPr>
        <w:t>--</w:t>
        <w:tab/>
        <w:t>--</w:t>
      </w:r>
    </w:p>
    <w:p>
      <w:pPr>
        <w:ind w:right="3239" w:firstLine="350"/>
        <w:spacing w:after="0" w:line="255" w:lineRule="auto"/>
        <w:rPr>
          <w:sz w:val="20"/>
          <w:szCs w:val="20"/>
          <w:color w:val="auto"/>
        </w:rPr>
      </w:pPr>
      <w:r>
        <w:rPr>
          <w:rFonts w:ascii="Courier New" w:cs="Courier New" w:eastAsia="Courier New" w:hAnsi="Courier New"/>
          <w:sz w:val="15"/>
          <w:szCs w:val="15"/>
          <w:color w:val="auto"/>
        </w:rPr>
        <w:t>Indicate by check mark if disclosure of delinquent filers pursuant to Rule 405 of Regulation S-K is not contained herein, and will not be contained, to the best of registrant's knowledge, in definitive proxy or information statements incorporated by reference in Part III of this Form 10-K or any amendments to this Form 10-K. [ ]</w:t>
      </w:r>
    </w:p>
    <w:p>
      <w:pPr>
        <w:spacing w:after="0" w:line="80" w:lineRule="exact"/>
        <w:rPr>
          <w:sz w:val="24"/>
          <w:szCs w:val="24"/>
          <w:color w:val="auto"/>
        </w:rPr>
      </w:pPr>
    </w:p>
    <w:p>
      <w:pPr>
        <w:ind w:right="3319" w:firstLine="350"/>
        <w:spacing w:after="0" w:line="264" w:lineRule="auto"/>
        <w:rPr>
          <w:sz w:val="20"/>
          <w:szCs w:val="20"/>
          <w:color w:val="auto"/>
        </w:rPr>
      </w:pPr>
      <w:r>
        <w:rPr>
          <w:rFonts w:ascii="Courier New" w:cs="Courier New" w:eastAsia="Courier New" w:hAnsi="Courier New"/>
          <w:sz w:val="15"/>
          <w:szCs w:val="15"/>
          <w:color w:val="auto"/>
        </w:rPr>
        <w:t>Aggregate market value of the Class A Common Stock and the Class B Common Stock (assuming conversion thereof into Class A Common Stock) held by nonaffiliates of the registrant, computed on the basis of $19.00 per share (the closing price of the Class A Common Stock on March 18, 1999 on the American Stock Exchange): $216,215,326.</w:t>
      </w:r>
    </w:p>
    <w:p>
      <w:pPr>
        <w:spacing w:after="0" w:line="75" w:lineRule="exact"/>
        <w:rPr>
          <w:sz w:val="24"/>
          <w:szCs w:val="24"/>
          <w:color w:val="auto"/>
        </w:rPr>
      </w:pPr>
    </w:p>
    <w:p>
      <w:pPr>
        <w:jc w:val="both"/>
        <w:ind w:right="3579" w:firstLine="350"/>
        <w:spacing w:after="0" w:line="290" w:lineRule="auto"/>
        <w:rPr>
          <w:sz w:val="20"/>
          <w:szCs w:val="20"/>
          <w:color w:val="auto"/>
        </w:rPr>
      </w:pPr>
      <w:r>
        <w:rPr>
          <w:rFonts w:ascii="Courier New" w:cs="Courier New" w:eastAsia="Courier New" w:hAnsi="Courier New"/>
          <w:sz w:val="15"/>
          <w:szCs w:val="15"/>
          <w:color w:val="auto"/>
        </w:rPr>
        <w:t>The number of shares of the registrant's Class A Common Stock, $.01 par value, and Class B Common Stock, $.01 par value, outstanding as of March 18, 1999 was 11,393,087 and 1,510,637, respectively.</w:t>
      </w:r>
    </w:p>
    <w:p>
      <w:pPr>
        <w:spacing w:after="0" w:line="5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66" w:lineRule="exact"/>
        <w:rPr>
          <w:sz w:val="24"/>
          <w:szCs w:val="24"/>
          <w:color w:val="auto"/>
        </w:rPr>
      </w:pPr>
    </w:p>
    <w:p>
      <w:pPr>
        <w:ind w:right="3239" w:firstLine="10"/>
        <w:spacing w:after="0" w:line="290" w:lineRule="auto"/>
        <w:tabs>
          <w:tab w:leader="none" w:pos="26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for the 1999 Annual Meeting of Stockholders (to be filed with the Securities and Exchange Commission on or before April 30, 1999) is incorporated by reference in Part III hereof.</w:t>
      </w:r>
    </w:p>
    <w:p>
      <w:pPr>
        <w:sectPr>
          <w:pgSz w:w="11900" w:h="16838" w:orient="portrait"/>
          <w:cols w:equalWidth="0" w:num="1">
            <w:col w:w="10239"/>
          </w:cols>
          <w:pgMar w:left="220" w:top="205" w:right="1440" w:bottom="1440" w:gutter="0" w:footer="0" w:header="0"/>
        </w:sectPr>
      </w:pPr>
    </w:p>
    <w:p>
      <w:pPr>
        <w:spacing w:after="0" w:line="225" w:lineRule="exact"/>
        <w:rPr>
          <w:sz w:val="24"/>
          <w:szCs w:val="24"/>
          <w:color w:val="auto"/>
        </w:rPr>
      </w:pPr>
    </w:p>
    <w:p>
      <w:pPr>
        <w:ind w:left="334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On March 30, 1998 the Company acquired a regional and state news and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sports information network (The Michigan Radio Network) for approximately</w:t>
      </w:r>
    </w:p>
    <w:p>
      <w:pPr>
        <w:spacing w:after="0" w:line="237" w:lineRule="auto"/>
        <w:rPr>
          <w:sz w:val="20"/>
          <w:szCs w:val="20"/>
          <w:color w:val="auto"/>
        </w:rPr>
      </w:pPr>
      <w:r>
        <w:rPr>
          <w:rFonts w:ascii="Courier New" w:cs="Courier New" w:eastAsia="Courier New" w:hAnsi="Courier New"/>
          <w:sz w:val="15"/>
          <w:szCs w:val="15"/>
          <w:color w:val="auto"/>
        </w:rPr>
        <w:t>$1,100,000, including approximately $234,000 of the Company's class A common</w:t>
      </w:r>
    </w:p>
    <w:p>
      <w:pPr>
        <w:spacing w:after="0" w:line="238" w:lineRule="auto"/>
        <w:rPr>
          <w:sz w:val="20"/>
          <w:szCs w:val="20"/>
          <w:color w:val="auto"/>
        </w:rPr>
      </w:pPr>
      <w:r>
        <w:rPr>
          <w:rFonts w:ascii="Courier New" w:cs="Courier New" w:eastAsia="Courier New" w:hAnsi="Courier New"/>
          <w:sz w:val="15"/>
          <w:szCs w:val="15"/>
          <w:color w:val="auto"/>
        </w:rPr>
        <w:t>stock. The acquisition is subject to certain adjustments, based on operating</w:t>
      </w:r>
    </w:p>
    <w:p>
      <w:pPr>
        <w:spacing w:after="0" w:line="237" w:lineRule="auto"/>
        <w:rPr>
          <w:sz w:val="20"/>
          <w:szCs w:val="20"/>
          <w:color w:val="auto"/>
        </w:rPr>
      </w:pPr>
      <w:r>
        <w:rPr>
          <w:rFonts w:ascii="Courier New" w:cs="Courier New" w:eastAsia="Courier New" w:hAnsi="Courier New"/>
          <w:sz w:val="15"/>
          <w:szCs w:val="15"/>
          <w:color w:val="auto"/>
        </w:rPr>
        <w:t>performance levels, that could result in an additional acquisition amount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$450,000 payable in shares of the Company's Class A Common Stock.</w:t>
      </w:r>
    </w:p>
    <w:p>
      <w:pPr>
        <w:spacing w:after="0" w:line="140"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On June 17, 1998 the Company acquired 50% of the outstanding stock of Finn Midill, ehf., an Icelandic corporation which owns six FM radio stations serving Reykjavik, Iceland, for approximately $1,100,000. The investment is accounted for using the equity method. Additionally, the Company loaned approximately $570,000 to Finn Midill, ehf. which accrues interest at 7.5% plus an inflationary index, and is to be repaid in June, 2001. As of December 31, 1998, the Company has loaned an additional $1,540,000 to Finn Midill, ehf. for working capital needs; this loan is non-interest bearing.</w:t>
      </w:r>
    </w:p>
    <w:p>
      <w:pPr>
        <w:spacing w:after="0" w:line="86" w:lineRule="exact"/>
        <w:rPr>
          <w:sz w:val="20"/>
          <w:szCs w:val="20"/>
          <w:color w:val="auto"/>
        </w:rPr>
      </w:pPr>
    </w:p>
    <w:p>
      <w:pPr>
        <w:ind w:right="3759" w:firstLine="525"/>
        <w:spacing w:after="0" w:line="290" w:lineRule="auto"/>
        <w:rPr>
          <w:sz w:val="20"/>
          <w:szCs w:val="20"/>
          <w:color w:val="auto"/>
        </w:rPr>
      </w:pPr>
      <w:r>
        <w:rPr>
          <w:rFonts w:ascii="Courier New" w:cs="Courier New" w:eastAsia="Courier New" w:hAnsi="Courier New"/>
          <w:sz w:val="15"/>
          <w:szCs w:val="15"/>
          <w:color w:val="auto"/>
        </w:rPr>
        <w:t>On December 1, 1998, the Company acquired an AM and FM radio station (KGMI-AM and KISM-FM) serving the Bellingham, Washington market for approximately $8,000,000.</w:t>
      </w:r>
    </w:p>
    <w:p>
      <w:pPr>
        <w:spacing w:after="0" w:line="5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On July 7, 1998, the Company entered into an agreement to purchase KAVU-TV (an ABC affiliate) and a low power Univision affiliate, serving the Victoria, Texas market for approximately $11,875,000, including approximately $2,000,000 of the Company's Class A common stock. The Company will also assume an existing Local Marketing Agreement for KVCT-TV (a Fox affiliate). The transaction is subject to the approval of the Federal Communications Commission and is expected to close during the second quarter of 1999.</w:t>
      </w:r>
    </w:p>
    <w:p>
      <w:pPr>
        <w:spacing w:after="0" w:line="82"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On September 21, 1998, the Company signed a letter of intent to purchase a regional and state farm information network (The Michigan Farm Radio Network) for approximately $1,750,000, including approximately $1,125,000 of the Company's Class A common stock. The Company closed on this transaction in January, 1999.</w:t>
      </w:r>
    </w:p>
    <w:p>
      <w:pPr>
        <w:spacing w:after="0" w:line="75"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On October 22, 1998, the Company entered into an agreement to purchase an AM and FM radio station (KAFE-FM and KPUG-AM) serving the Bellingham, Washington market for approximately $6,000,000. The Company closed on this transaction in January, 1999.</w:t>
      </w:r>
    </w:p>
    <w:p>
      <w:pPr>
        <w:spacing w:after="0" w:line="68"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On December 2, 1998, the Company entered into an agreement to purchase an AM radio station (KBFW-AM) serving the Bellingham, Washington market for approximately $1,000,000. The transaction is subject to the approval of the Federal Communications Commission and is expected to close during the second quarter of 1999.</w:t>
      </w:r>
    </w:p>
    <w:p>
      <w:pPr>
        <w:spacing w:after="0" w:line="75"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In February 1999, the Company entered into an agreement to purchase WXVT TV (a CBS affiliate), serving the Greenville, Mississippi market for approximately $5,200,000, including approximately $600,000 of the Company's Class A common stock. The transaction is subject to the approval of the Federal Communications Commission and is expected to close during the third quarter of 1999.</w:t>
      </w:r>
    </w:p>
    <w:p>
      <w:pPr>
        <w:spacing w:after="0" w:line="81"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For additional information with respect to these acquisitions, see Item 7. Management's Discussion and Analysis of Financial Condition and Results of Operations - Liquidity and Capital Resources.</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The Company is a broadcast company whose business is primarily devoted to acquiring, developing and operating radio and television stations. As of March 18,1999 the Company owned and operated one television station, three state radio networks, and twenty-six FM and fifteen AM radio stations serving thirteen markets, including Columbus, Ohio; Norfolk, Virginia; and Milwaukee, Wisconsin. Additionally, the Company has an equity interest in six FM radio stations serving Reykjavik, Iceland</w:t>
      </w:r>
    </w:p>
    <w:p>
      <w:pPr>
        <w:spacing w:after="0" w:line="82"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The Company's television station KOAM-TV, serving the Joplin, Missouri/Pittsburg, Kansas market, which ranked as market 146 by number of television households, is one of four television stations in the market. The station is a CBS affiliate and the number one rated television station, by number of viewers, in the market. (All of the above information was derived from Investing in Television Market Report 1998, based on A.C. Nielson ratings and data.)</w:t>
      </w:r>
    </w:p>
    <w:p>
      <w:pPr>
        <w:spacing w:after="0" w:line="200" w:lineRule="exact"/>
        <w:rPr>
          <w:sz w:val="20"/>
          <w:szCs w:val="20"/>
          <w:color w:val="auto"/>
        </w:rPr>
      </w:pPr>
    </w:p>
    <w:p>
      <w:pPr>
        <w:spacing w:after="0" w:line="3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3"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The following table sets forth certain information about the Company's radio stations and their markets as of March 18, 1999: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1998</w:t>
            </w:r>
          </w:p>
        </w:tc>
        <w:tc>
          <w:tcPr>
            <w:tcW w:w="2480" w:type="dxa"/>
            <w:vAlign w:val="bottom"/>
          </w:tcPr>
          <w:p>
            <w:pPr>
              <w:spacing w:after="0"/>
              <w:rPr>
                <w:sz w:val="14"/>
                <w:szCs w:val="14"/>
                <w:color w:val="auto"/>
              </w:rPr>
            </w:pPr>
          </w:p>
        </w:tc>
        <w:tc>
          <w:tcPr>
            <w:tcW w:w="17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Target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Market</w:t>
            </w:r>
          </w:p>
        </w:tc>
        <w:tc>
          <w:tcPr>
            <w:tcW w:w="24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Ranking</w:t>
            </w:r>
          </w:p>
        </w:tc>
        <w:tc>
          <w:tcPr>
            <w:tcW w:w="248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Demographics</w:t>
            </w:r>
          </w:p>
        </w:tc>
        <w:tc>
          <w:tcPr>
            <w:tcW w:w="13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Target</w:t>
            </w:r>
          </w:p>
        </w:tc>
        <w:tc>
          <w:tcPr>
            <w:tcW w:w="0" w:type="dxa"/>
            <w:vAlign w:val="bottom"/>
          </w:tcPr>
          <w:p>
            <w:pPr>
              <w:spacing w:after="0"/>
              <w:rPr>
                <w:sz w:val="1"/>
                <w:szCs w:val="1"/>
                <w:color w:val="auto"/>
              </w:rPr>
            </w:pPr>
          </w:p>
        </w:tc>
      </w:tr>
      <w:tr>
        <w:trPr>
          <w:trHeight w:val="168"/>
        </w:trPr>
        <w:tc>
          <w:tcPr>
            <w:tcW w:w="1060" w:type="dxa"/>
            <w:vAlign w:val="bottom"/>
            <w:vMerge w:val="restart"/>
          </w:tcPr>
          <w:p>
            <w:pPr>
              <w:spacing w:after="0"/>
              <w:rPr>
                <w:sz w:val="20"/>
                <w:szCs w:val="20"/>
                <w:color w:val="auto"/>
              </w:rPr>
            </w:pPr>
            <w:r>
              <w:rPr>
                <w:rFonts w:ascii="Courier New" w:cs="Courier New" w:eastAsia="Courier New" w:hAnsi="Courier New"/>
                <w:sz w:val="15"/>
                <w:szCs w:val="15"/>
                <w:color w:val="auto"/>
              </w:rPr>
              <w:t>Station</w:t>
            </w:r>
          </w:p>
        </w:tc>
        <w:tc>
          <w:tcPr>
            <w:tcW w:w="1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Market (a)</w:t>
            </w:r>
          </w:p>
        </w:tc>
        <w:tc>
          <w:tcPr>
            <w:tcW w:w="1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by Radio</w:t>
            </w:r>
          </w:p>
        </w:tc>
        <w:tc>
          <w:tcPr>
            <w:tcW w:w="24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Station Format</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Ranking (by</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6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Revenue (b)</w:t>
            </w:r>
          </w:p>
        </w:tc>
        <w:tc>
          <w:tcPr>
            <w:tcW w:w="2480" w:type="dxa"/>
            <w:vAlign w:val="bottom"/>
            <w:vMerge w:val="continue"/>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listeners) (c)</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Demographics</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427"/>
        </w:trPr>
        <w:tc>
          <w:tcPr>
            <w:tcW w:w="1060" w:type="dxa"/>
            <w:vAlign w:val="bottom"/>
          </w:tcPr>
          <w:p>
            <w:pPr>
              <w:spacing w:after="0"/>
              <w:rPr>
                <w:sz w:val="20"/>
                <w:szCs w:val="20"/>
                <w:color w:val="auto"/>
              </w:rPr>
            </w:pPr>
            <w:r>
              <w:rPr>
                <w:rFonts w:ascii="Courier New" w:cs="Courier New" w:eastAsia="Courier New" w:hAnsi="Courier New"/>
                <w:sz w:val="15"/>
                <w:szCs w:val="15"/>
                <w:color w:val="auto"/>
              </w:rPr>
              <w:t>FM:</w:t>
            </w:r>
          </w:p>
        </w:tc>
        <w:tc>
          <w:tcPr>
            <w:tcW w:w="1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Columbus, OH</w:t>
            </w:r>
          </w:p>
        </w:tc>
        <w:tc>
          <w:tcPr>
            <w:tcW w:w="154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29</w:t>
            </w:r>
          </w:p>
        </w:tc>
        <w:tc>
          <w:tcPr>
            <w:tcW w:w="24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Adult Contemporary</w:t>
            </w:r>
          </w:p>
        </w:tc>
        <w:tc>
          <w:tcPr>
            <w:tcW w:w="17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N/S</w:t>
            </w:r>
          </w:p>
        </w:tc>
        <w:tc>
          <w:tcPr>
            <w:tcW w:w="13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Women 25-54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WSNY</w:t>
            </w:r>
          </w:p>
        </w:tc>
        <w:tc>
          <w:tcPr>
            <w:tcW w:w="18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WKLH</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Milwaukee, WI</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Classic Hits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25-49</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WLZR</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Milwaukee, WI</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Album Oriented Rock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18-34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WPNT</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Milwaukee, WI</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Modern Adult Contemporary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Women 25-34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WFMR</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Milwaukee, WI</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Classical</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45+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WNOR</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Norfolk, VA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46</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Album Oriented Rock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2(d)</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18-34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WAFX</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Norfolk, VA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46</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Classic Hits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25-49</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KSTZ</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Des Moines, IA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Hot Adult Contemporary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Women 18-34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KIOA</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Des Moines, IA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Oldies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KAZR</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Des Moines, IA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Album Oriented Rock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1(e)</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18-34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KLTI</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Des Moines, IA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 Adult Contemporary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Women 35-54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WMGX</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Portland, ME</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90</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Hot Adult Contemporary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Women 25-54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WYNZ</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Portland, ME</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90</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Oldies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WPOR</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Portland, ME</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90</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Country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1(d,e)</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WAQY</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Springfield, MA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96</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Album Oriented Rock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1(d)</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18-49</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WZID</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Manchester, NH</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108</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Adult Contemporary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25-54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WQLL</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Manchester, NH</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108</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Oldies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WYMG</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Springfield, IL</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152</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Classic Hits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25-54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WQQL</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Springfield, IL</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152</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Oldies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WDBR</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Springfield, IL</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152</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Contemporary Hits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Women 18-34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WYXY</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Springfield, IL</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152</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Country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3(e)</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25-49</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WLRW</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Champaign, IL</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165</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Hot Adult Contemporary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2(e)</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Women 18-49</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WIXY</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Champaign, IL</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165</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Country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25-54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KCLH</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Sioux City IA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215</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Classic Hits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25-49</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KISM</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Bellingham, WA</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N/A</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Rock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25-54</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0"/>
                <w:szCs w:val="20"/>
                <w:color w:val="auto"/>
              </w:rPr>
            </w:pPr>
            <w:r>
              <w:rPr>
                <w:rFonts w:ascii="Courier New" w:cs="Courier New" w:eastAsia="Courier New" w:hAnsi="Courier New"/>
                <w:sz w:val="15"/>
                <w:szCs w:val="15"/>
                <w:color w:val="auto"/>
              </w:rPr>
              <w:t>KAFE</w:t>
            </w:r>
          </w:p>
        </w:tc>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Bellingham, WA</w:t>
            </w: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rPr>
              <w:t>N/A</w:t>
            </w:r>
          </w:p>
        </w:tc>
        <w:tc>
          <w:tcPr>
            <w:tcW w:w="2480" w:type="dxa"/>
            <w:vAlign w:val="bottom"/>
          </w:tcPr>
          <w:p>
            <w:pPr>
              <w:ind w:left="80"/>
              <w:spacing w:after="0"/>
              <w:rPr>
                <w:sz w:val="20"/>
                <w:szCs w:val="20"/>
                <w:color w:val="auto"/>
              </w:rPr>
            </w:pPr>
            <w:r>
              <w:rPr>
                <w:rFonts w:ascii="Courier New" w:cs="Courier New" w:eastAsia="Courier New" w:hAnsi="Courier New"/>
                <w:sz w:val="15"/>
                <w:szCs w:val="15"/>
                <w:color w:val="auto"/>
              </w:rPr>
              <w:t>Adult Contemporary</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Women 25-54</w:t>
            </w:r>
          </w:p>
        </w:tc>
        <w:tc>
          <w:tcPr>
            <w:tcW w:w="0" w:type="dxa"/>
            <w:vAlign w:val="bottom"/>
          </w:tcPr>
          <w:p>
            <w:pPr>
              <w:spacing w:after="0"/>
              <w:rPr>
                <w:sz w:val="1"/>
                <w:szCs w:val="1"/>
                <w:color w:val="auto"/>
              </w:rPr>
            </w:pPr>
          </w:p>
        </w:tc>
      </w:tr>
      <w:tr>
        <w:trPr>
          <w:trHeight w:val="259"/>
        </w:trPr>
        <w:tc>
          <w:tcPr>
            <w:tcW w:w="1060" w:type="dxa"/>
            <w:vAlign w:val="bottom"/>
          </w:tcPr>
          <w:p>
            <w:pPr>
              <w:spacing w:after="0"/>
              <w:rPr>
                <w:sz w:val="20"/>
                <w:szCs w:val="20"/>
                <w:color w:val="auto"/>
              </w:rPr>
            </w:pPr>
            <w:r>
              <w:rPr>
                <w:rFonts w:ascii="Courier New" w:cs="Courier New" w:eastAsia="Courier New" w:hAnsi="Courier New"/>
                <w:sz w:val="15"/>
                <w:szCs w:val="15"/>
                <w:color w:val="auto"/>
              </w:rPr>
              <w:t>AM:</w:t>
            </w:r>
          </w:p>
        </w:tc>
        <w:tc>
          <w:tcPr>
            <w:tcW w:w="1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Columbus, OH</w:t>
            </w:r>
          </w:p>
        </w:tc>
        <w:tc>
          <w:tcPr>
            <w:tcW w:w="1540" w:type="dxa"/>
            <w:vAlign w:val="bottom"/>
            <w:vMerge w:val="restart"/>
          </w:tcPr>
          <w:p>
            <w:pPr>
              <w:jc w:val="right"/>
              <w:ind w:right="727"/>
              <w:spacing w:after="0"/>
              <w:rPr>
                <w:sz w:val="20"/>
                <w:szCs w:val="20"/>
                <w:color w:val="auto"/>
              </w:rPr>
            </w:pPr>
            <w:r>
              <w:rPr>
                <w:rFonts w:ascii="Courier New" w:cs="Courier New" w:eastAsia="Courier New" w:hAnsi="Courier New"/>
                <w:sz w:val="15"/>
                <w:szCs w:val="15"/>
                <w:color w:val="auto"/>
              </w:rPr>
              <w:t>29</w:t>
            </w:r>
          </w:p>
        </w:tc>
        <w:tc>
          <w:tcPr>
            <w:tcW w:w="24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Gospel</w:t>
            </w:r>
          </w:p>
        </w:tc>
        <w:tc>
          <w:tcPr>
            <w:tcW w:w="17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N/S</w:t>
            </w:r>
          </w:p>
        </w:tc>
        <w:tc>
          <w:tcPr>
            <w:tcW w:w="13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WVKO</w:t>
            </w:r>
          </w:p>
        </w:tc>
        <w:tc>
          <w:tcPr>
            <w:tcW w:w="18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WJYI</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Milwaukee, WI</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Contemporary Christian</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N/R</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18+</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WNOR</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Norfolk, VA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46</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Album Oriented Rock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2(d)</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18-34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KRNT</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Des Moines, IA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Nostalgia/Sports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KXTK</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Des Moines, IA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73</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Talk/Sports</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13(e)</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WGAN</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Portland, ME</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90</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News/Talk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1(e)</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WZAN</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Portland, ME</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90</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News/Talk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35-54</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WPOR</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Portland, ME</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90</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Country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1(d,e)</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WAQY</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Springfield, MA</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96</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Album Oriented Rock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1(d)</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Men 18-49</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WFEA</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Manchester, NH</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108</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Nostalgia/Talk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WTAX</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Springfield, IL</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152</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News/Talk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WVAX</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Springfield, IL</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152</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News/Talk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N/R</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WNAX</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Yankton, SD</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N/A</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Full Service/Country</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KGMI</w:t>
            </w:r>
          </w:p>
        </w:tc>
        <w:tc>
          <w:tcPr>
            <w:tcW w:w="1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Bellingham, WA</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N/A</w:t>
            </w:r>
          </w:p>
        </w:tc>
        <w:tc>
          <w:tcPr>
            <w:tcW w:w="2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News/Talk</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0"/>
                <w:szCs w:val="20"/>
                <w:color w:val="auto"/>
              </w:rPr>
            </w:pPr>
            <w:r>
              <w:rPr>
                <w:rFonts w:ascii="Courier New" w:cs="Courier New" w:eastAsia="Courier New" w:hAnsi="Courier New"/>
                <w:sz w:val="15"/>
                <w:szCs w:val="15"/>
                <w:color w:val="auto"/>
              </w:rPr>
              <w:t>KPUG</w:t>
            </w:r>
          </w:p>
        </w:tc>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Bellingham, WA</w:t>
            </w: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rPr>
              <w:t>N/A</w:t>
            </w:r>
          </w:p>
        </w:tc>
        <w:tc>
          <w:tcPr>
            <w:tcW w:w="2480" w:type="dxa"/>
            <w:vAlign w:val="bottom"/>
          </w:tcPr>
          <w:p>
            <w:pPr>
              <w:ind w:left="80"/>
              <w:spacing w:after="0"/>
              <w:rPr>
                <w:sz w:val="20"/>
                <w:szCs w:val="20"/>
                <w:color w:val="auto"/>
              </w:rPr>
            </w:pPr>
            <w:r>
              <w:rPr>
                <w:rFonts w:ascii="Courier New" w:cs="Courier New" w:eastAsia="Courier New" w:hAnsi="Courier New"/>
                <w:sz w:val="15"/>
                <w:szCs w:val="15"/>
                <w:color w:val="auto"/>
              </w:rPr>
              <w:t>Talk/Sports</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4</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Adults 35+</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(footnotes on next page)</w:t>
      </w: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6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city of license may differ from metro market actually served.</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Derived from Investing in Radio 1998 Market Report.</w:t>
      </w:r>
    </w:p>
    <w:p>
      <w:pPr>
        <w:spacing w:after="0" w:line="166" w:lineRule="exact"/>
        <w:rPr>
          <w:rFonts w:ascii="Courier New" w:cs="Courier New" w:eastAsia="Courier New" w:hAnsi="Courier New"/>
          <w:sz w:val="15"/>
          <w:szCs w:val="15"/>
          <w:color w:val="auto"/>
        </w:rPr>
      </w:pPr>
    </w:p>
    <w:p>
      <w:pPr>
        <w:ind w:left="800" w:right="3239" w:hanging="790"/>
        <w:spacing w:after="0" w:line="264" w:lineRule="auto"/>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derived from most recent available Arbitron Radio Market Report except for Columbus and Bellingham. The Columbus and Bellingham information was derived from Investing in Radio 1998 Market Report, and the 1998 Willhight Research Audience Measurement Surveys report, respectively.</w:t>
      </w:r>
    </w:p>
    <w:p>
      <w:pPr>
        <w:spacing w:after="0" w:line="74" w:lineRule="exact"/>
        <w:rPr>
          <w:rFonts w:ascii="Courier New" w:cs="Courier New" w:eastAsia="Courier New" w:hAnsi="Courier New"/>
          <w:sz w:val="15"/>
          <w:szCs w:val="15"/>
          <w:color w:val="auto"/>
        </w:rPr>
      </w:pPr>
    </w:p>
    <w:p>
      <w:pPr>
        <w:ind w:left="800" w:right="3679" w:hanging="790"/>
        <w:spacing w:after="0" w:line="344" w:lineRule="auto"/>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 and FM stations are simulcast. Accordingly, ranking information pertains to the combined stations.</w:t>
      </w:r>
    </w:p>
    <w:p>
      <w:pPr>
        <w:spacing w:after="0" w:line="1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Tied for position.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 w:type="dxa"/>
            <w:vAlign w:val="bottom"/>
          </w:tcPr>
          <w:p>
            <w:pPr>
              <w:spacing w:after="0"/>
              <w:rPr>
                <w:sz w:val="20"/>
                <w:szCs w:val="20"/>
                <w:color w:val="auto"/>
              </w:rPr>
            </w:pPr>
            <w:r>
              <w:rPr>
                <w:rFonts w:ascii="Courier New" w:cs="Courier New" w:eastAsia="Courier New" w:hAnsi="Courier New"/>
                <w:sz w:val="15"/>
                <w:szCs w:val="15"/>
                <w:color w:val="auto"/>
              </w:rPr>
              <w:t>N/A</w:t>
            </w:r>
          </w:p>
        </w:tc>
        <w:tc>
          <w:tcPr>
            <w:tcW w:w="6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Information currently not available.</w:t>
            </w: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N/R</w:t>
            </w:r>
          </w:p>
        </w:tc>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w w:val="98"/>
              </w:rPr>
              <w:t>Station does not</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appear in Arbitron Radio Market Report.</w:t>
            </w:r>
          </w:p>
        </w:tc>
      </w:tr>
      <w:tr>
        <w:trPr>
          <w:trHeight w:val="259"/>
        </w:trPr>
        <w:tc>
          <w:tcPr>
            <w:tcW w:w="540" w:type="dxa"/>
            <w:vAlign w:val="bottom"/>
          </w:tcPr>
          <w:p>
            <w:pPr>
              <w:spacing w:after="0"/>
              <w:rPr>
                <w:sz w:val="20"/>
                <w:szCs w:val="20"/>
                <w:color w:val="auto"/>
              </w:rPr>
            </w:pPr>
            <w:r>
              <w:rPr>
                <w:rFonts w:ascii="Courier New" w:cs="Courier New" w:eastAsia="Courier New" w:hAnsi="Courier New"/>
                <w:sz w:val="15"/>
                <w:szCs w:val="15"/>
                <w:color w:val="auto"/>
              </w:rPr>
              <w:t>N/S</w:t>
            </w:r>
          </w:p>
        </w:tc>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w w:val="98"/>
              </w:rPr>
              <w:t>Non Subscriber -</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w w:val="96"/>
              </w:rPr>
              <w:t>Station does not currently subscribe to Arbitron Radio</w:t>
            </w:r>
          </w:p>
        </w:tc>
      </w:tr>
      <w:tr>
        <w:trPr>
          <w:trHeight w:val="245"/>
        </w:trPr>
        <w:tc>
          <w:tcPr>
            <w:tcW w:w="540" w:type="dxa"/>
            <w:vAlign w:val="bottom"/>
          </w:tcPr>
          <w:p>
            <w:pPr>
              <w:spacing w:after="0"/>
              <w:rPr>
                <w:sz w:val="21"/>
                <w:szCs w:val="21"/>
                <w:color w:val="auto"/>
              </w:rPr>
            </w:pPr>
          </w:p>
        </w:tc>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rPr>
              <w:t>Market Report.</w:t>
            </w:r>
          </w:p>
        </w:tc>
        <w:tc>
          <w:tcPr>
            <w:tcW w:w="4760" w:type="dxa"/>
            <w:vAlign w:val="bottom"/>
          </w:tcPr>
          <w:p>
            <w:pPr>
              <w:spacing w:after="0"/>
              <w:rPr>
                <w:sz w:val="21"/>
                <w:szCs w:val="2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STRATEGY</w:t>
      </w:r>
    </w:p>
    <w:p>
      <w:pPr>
        <w:spacing w:after="0" w:line="16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The Company's strategy is to operate top billing radio and television stations in mid-sized markets. The Company prefers to operate in mid-sized markets, which it defines as markets ranked (by market revenues) from 20 to 200 out of the markets summarized by Investing in Radio Market Report and Investing in Television Market Report. As of March 18, 1999, the Company owns and/or operates at least one of the top four billing stations in each of its radio markets for which independent data exists. Twenty five of the 26 FM stations and 14 of the 15 AM stations owned and/or operated by the Company subscribe to independent listener rating services.</w:t>
      </w:r>
    </w:p>
    <w:p>
      <w:pPr>
        <w:spacing w:after="0" w:line="89"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Based on the most recent information available, 13 of the 26 FM radio stations and 5 of the 15 AM radio stations owned and/or operated by the Company were ranked number one (by number of listeners), and its television station was ranked number one (by number of viewers), in their target demographic markets. Programming and marketing are key components in the Company's strategy to achieve top ratings in both its radio and television operations. In many of the Company's markets, the three or four most highly rated stations (radio and/or television) receive a disproportionately high share of the market's advertising revenues. As a result, a station's revenue is dependent upon its ability to maximize its number of listeners/viewers within an advertiser's given demographic parameters. In certain cases it is the practice of the Company to use attributes other than specific market listener data for sales activities. In those markets where sufficient alternative data is available, the Company does not subscribe to an independent listener rating service.</w:t>
      </w:r>
    </w:p>
    <w:p>
      <w:pPr>
        <w:spacing w:after="0" w:line="81"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The Company's radio stations employ a variety of programming formats, including but not limited to Classic Hits, Adult Contemporary, Album Oriented Rock, News/Talk, Country and Classical. The Company regularly performs extensive market research, including music evaluations, focus groups and strategic vulnerability studies. The Company's stations also employ audience promotions to further develop and secure a loyal following.</w:t>
      </w:r>
    </w:p>
    <w:p>
      <w:pPr>
        <w:spacing w:after="0" w:line="81"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The Company's television station is a CBS affiliate. In addition to securing network programming, the Company also carefully selects available syndicated programming to maximize viewership. The Company also develops local programming, including a strong local news franchise.</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6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right="3319" w:firstLine="525"/>
        <w:spacing w:after="0" w:line="252" w:lineRule="auto"/>
        <w:rPr>
          <w:sz w:val="20"/>
          <w:szCs w:val="20"/>
          <w:color w:val="auto"/>
        </w:rPr>
      </w:pPr>
      <w:r>
        <w:rPr>
          <w:rFonts w:ascii="Courier New" w:cs="Courier New" w:eastAsia="Courier New" w:hAnsi="Courier New"/>
          <w:sz w:val="15"/>
          <w:szCs w:val="15"/>
          <w:color w:val="auto"/>
        </w:rPr>
        <w:t>In operating its stations, the Company concentrates on the development of strong decentralized local management, which is responsible for the day-to-day operations of the station and is compensated based on the station's financial performance, as well as other performance factors that are deemed to effect the long-term ability of the stations to achieve financial performance objectives. Corporate management is responsible for long-range planning, establishing policies and procedures, resource allocation and monitoring the activities of the stations.</w:t>
      </w:r>
    </w:p>
    <w:p>
      <w:pPr>
        <w:spacing w:after="0" w:line="86" w:lineRule="exact"/>
        <w:rPr>
          <w:sz w:val="20"/>
          <w:szCs w:val="20"/>
          <w:color w:val="auto"/>
        </w:rPr>
      </w:pPr>
    </w:p>
    <w:p>
      <w:pPr>
        <w:ind w:right="3399" w:firstLine="525"/>
        <w:spacing w:after="0" w:line="262" w:lineRule="auto"/>
        <w:rPr>
          <w:sz w:val="20"/>
          <w:szCs w:val="20"/>
          <w:color w:val="auto"/>
        </w:rPr>
      </w:pPr>
      <w:r>
        <w:rPr>
          <w:rFonts w:ascii="Courier New" w:cs="Courier New" w:eastAsia="Courier New" w:hAnsi="Courier New"/>
          <w:sz w:val="14"/>
          <w:szCs w:val="14"/>
          <w:color w:val="auto"/>
        </w:rPr>
        <w:t>The Company continues to actively seek and explore opportunities for expansion through the acquisition of additional broadcast properties. With passage of the Telecommunications Act of 1996 (the "Telecommunications Act") (see "Federal Regulation of Radio and Television Broadcasting"), a company is now able to own as many as 8 radio stations in a single market. Another significant provision of the Telecommunications Act was the lifting of the limitations on the number of radio stations one organization can own in total. The Company seeks to acquire reasonably priced broadcast properties with significant growth potential that are located in markets with well-established and relatively stable economies. The Company often focuses on local economies supported by a strong presence of state or federal government or one or more major universities. Future acquisitions will be subject to the availability of financing and compliance with the Communications Act of 1934 (the "Communications Act") and Federal Communications Commission ("FCC") rules. Although the Company reviews acquisition opportunities on an ongoing basis, it has no other present understandings, agreements or arrangements to acquire or sell any radio or television stations, other than those discussed herein.</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SALES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Virtually all of the Company's revenue is generated from the sale of advertising for broadcast on its stations. Depending on the format of a particular radio station, there are a predetermined number of advertisements broadcast each hour. In the case of the Company's television station, the number of advertisements broadcast may be limited by certain network affiliation and syndication agreements and, with respect to programs designed for children, federal regulation. The Company determines the number of advertisements broadcast hourly that can maximize a station's available revenue dollars without jeopardizing listening/viewing levels. While there may be shifts from time to time in the number of advertisements broadcast during a particular time of the day, the total number of advertisements broadcast on a particular station generally does not vary significantly from year to year. Any change in the Company's revenue, with the exception of those instances where stations are acquired or sold, is generally the result of pricing adjustments which are made to ensure that the station efficiently utilizes available inventory.</w:t>
      </w:r>
    </w:p>
    <w:p>
      <w:pPr>
        <w:spacing w:after="0" w:line="249"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Advertising rates charged by radio and television stations are generally based primarily on a station's ability to attract audiences in the demographic groups targeted BY advertisers (as measured by rating service surveys quantifying the number of listeners/viewers tuned to the station at various times); the number of stations in the market competing for the same demographic group; the supply of and demand for radio advertising time; and other qualitative factors, including rates charged by competing radio stations within a given market. Radio rates are generally highest during morning and afternoon drive-time hours, while television advertising rates are generally higher during prime time evening viewing periods. Most advertising contracts are short-term, generally running for only a few weeks, providing broadcasters the ability to modify advertising rates as dictated by such variables as changes in station ownership within a market, changes in listener/viewer ratings and changes in the business climate within a particular market, any of which may have a significant impact on the available advertising time on a particular station.</w:t>
      </w:r>
    </w:p>
    <w:p>
      <w:pPr>
        <w:spacing w:after="0" w:line="84" w:lineRule="exact"/>
        <w:rPr>
          <w:sz w:val="20"/>
          <w:szCs w:val="20"/>
          <w:color w:val="auto"/>
        </w:rPr>
      </w:pPr>
    </w:p>
    <w:p>
      <w:pPr>
        <w:ind w:right="3499" w:firstLine="525"/>
        <w:spacing w:after="0" w:line="298" w:lineRule="auto"/>
        <w:rPr>
          <w:sz w:val="20"/>
          <w:szCs w:val="20"/>
          <w:color w:val="auto"/>
        </w:rPr>
      </w:pPr>
      <w:r>
        <w:rPr>
          <w:rFonts w:ascii="Courier New" w:cs="Courier New" w:eastAsia="Courier New" w:hAnsi="Courier New"/>
          <w:sz w:val="14"/>
          <w:szCs w:val="14"/>
          <w:color w:val="auto"/>
        </w:rPr>
        <w:t>Approximately 82% of the Company's revenue in fiscal 1998 was generated from the sale of local advertising. Additional revenue is generated from the sale of national advertising, network compensation payments, barter and other miscellaneous transactions. In all its markets, the</w:t>
      </w:r>
    </w:p>
    <w:p>
      <w:pPr>
        <w:spacing w:after="0" w:line="3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Company attempts to maintain a local sales force which is generally larger than that of its competitors. In its sales efforts, the Company's principal goal is to develop long-standing customer relationships through frequent direct contacts, which the Company believes represents a competitive advantage. The Company also typically provides incentive to its sales staff to seek out new opportunities resulting in the establishment of new client relationships, as well as new sources of revenue, not directly associated with the sale of broadcast time.</w:t>
      </w:r>
    </w:p>
    <w:p>
      <w:pPr>
        <w:spacing w:after="0" w:line="86" w:lineRule="exact"/>
        <w:rPr>
          <w:sz w:val="20"/>
          <w:szCs w:val="20"/>
          <w:color w:val="auto"/>
        </w:rPr>
      </w:pPr>
    </w:p>
    <w:p>
      <w:pPr>
        <w:ind w:right="3399" w:firstLine="525"/>
        <w:spacing w:after="0" w:line="280" w:lineRule="auto"/>
        <w:rPr>
          <w:sz w:val="20"/>
          <w:szCs w:val="20"/>
          <w:color w:val="auto"/>
        </w:rPr>
      </w:pPr>
      <w:r>
        <w:rPr>
          <w:rFonts w:ascii="Courier New" w:cs="Courier New" w:eastAsia="Courier New" w:hAnsi="Courier New"/>
          <w:sz w:val="14"/>
          <w:szCs w:val="14"/>
          <w:color w:val="auto"/>
        </w:rPr>
        <w:t>Each of the Company's stations also engage national independent sales representatives to assist it in obtaining national advertising revenues. These representatives obtain advertising through national advertising agencies and receive a commission from the Company based on the Company's net revenue from the advertising obtained. Total gross revenue resulting from national advertising in fiscal 1998 was approximately $14,711,000 or 17%.</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Although radio and television broadcasting are highly competitive businesses, such competition is subject to the inherent limitations implied by the finite number of commercial broadcasting licenses available in each market (see "Federal Regulation of Radio and Television Broadcasting"). The Company's stations compete for listeners/viewers and advertising revenues directly with other radio and/or television stations, as well as other media, within their markets. The Company's radio and television stations compete for listeners/viewers primarily on the basis of program content and by employing on-air talent which appeals to a particular demographic group. By building a strong listener/viewer base comprised of a specific demographic group in each of its markets, the Company is able to attract advertisers seeking to reach these listeners/viewers.</w:t>
      </w:r>
    </w:p>
    <w:p>
      <w:pPr>
        <w:spacing w:after="0" w:line="88" w:lineRule="exact"/>
        <w:rPr>
          <w:sz w:val="20"/>
          <w:szCs w:val="20"/>
          <w:color w:val="auto"/>
        </w:rPr>
      </w:pPr>
    </w:p>
    <w:p>
      <w:pPr>
        <w:jc w:val="both"/>
        <w:ind w:right="3319" w:firstLine="525"/>
        <w:spacing w:after="0" w:line="273" w:lineRule="auto"/>
        <w:rPr>
          <w:sz w:val="20"/>
          <w:szCs w:val="20"/>
          <w:color w:val="auto"/>
        </w:rPr>
      </w:pPr>
      <w:r>
        <w:rPr>
          <w:rFonts w:ascii="Courier New" w:cs="Courier New" w:eastAsia="Courier New" w:hAnsi="Courier New"/>
          <w:sz w:val="15"/>
          <w:szCs w:val="15"/>
          <w:color w:val="auto"/>
        </w:rPr>
        <w:t>Other media, including broadcast television and/or radio (as applicable), cable television, newspapers, magazines, direct mail, the internet, coupons and billboard advertising, also compete with the Company's stations for advertising revenues.</w:t>
      </w:r>
    </w:p>
    <w:p>
      <w:pPr>
        <w:spacing w:after="0" w:line="68"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The radio and television broadcasting industries are also subject to competition from new media technologies that may be developed or introduced, such as the delivery of audio programming by cable television systems or direct reception from satellites. Although the Company recognizes that technological advances within the broadcast industry can be significant, it is not aware of any such advances or developments that it has not already implemented that would have an effect on its competitive position within its markets. The Company cannot predict the effect, if any, that any such new technologies may have on the broadcasting industry taken as a whole.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right="3399" w:firstLine="525"/>
        <w:spacing w:after="0" w:line="320" w:lineRule="auto"/>
        <w:rPr>
          <w:sz w:val="20"/>
          <w:szCs w:val="20"/>
          <w:color w:val="auto"/>
        </w:rPr>
      </w:pPr>
      <w:r>
        <w:rPr>
          <w:rFonts w:ascii="Courier New" w:cs="Courier New" w:eastAsia="Courier New" w:hAnsi="Courier New"/>
          <w:sz w:val="14"/>
          <w:szCs w:val="14"/>
          <w:color w:val="auto"/>
        </w:rPr>
        <w:t>As of December 31, 1998, the Company had approximately 572 full-time employees and 214 part-time employees, none of whom are represented by unions. The Company believes that its relations with its employees are good.</w:t>
      </w:r>
    </w:p>
    <w:p>
      <w:pPr>
        <w:spacing w:after="0" w:line="38"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The Company employs several high-profile personalities with large loyal audiences in their respective markets. The Company has entered into employment and non-competition agreements with its President and with most of its high-profile on-air personalities, as well as non-competition agreements with its commissioned sales representatives.</w:t>
      </w:r>
    </w:p>
    <w:p>
      <w:pPr>
        <w:spacing w:after="0" w:line="2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REGULATION OF RADIO AND TELEVISION BROADCASTING</w:t>
      </w:r>
    </w:p>
    <w:p>
      <w:pPr>
        <w:spacing w:after="0" w:line="166" w:lineRule="exact"/>
        <w:rPr>
          <w:sz w:val="20"/>
          <w:szCs w:val="20"/>
          <w:color w:val="auto"/>
        </w:rPr>
      </w:pPr>
    </w:p>
    <w:p>
      <w:pPr>
        <w:ind w:right="3499" w:firstLine="525"/>
        <w:spacing w:after="0" w:line="267" w:lineRule="auto"/>
        <w:rPr>
          <w:sz w:val="20"/>
          <w:szCs w:val="20"/>
          <w:color w:val="auto"/>
        </w:rPr>
      </w:pPr>
      <w:r>
        <w:rPr>
          <w:rFonts w:ascii="Courier New" w:cs="Courier New" w:eastAsia="Courier New" w:hAnsi="Courier New"/>
          <w:sz w:val="14"/>
          <w:szCs w:val="14"/>
          <w:color w:val="auto"/>
        </w:rPr>
        <w:t>INTRODUCTION. The ownership, operation and sale of radio and television stations, including those licensed to the Company, are subject to the jurisdiction of the FCC, which acts under authority granted by the Communications Act. Among other things, the FCC assigns frequency bands for broadcasting; determines the particular frequencies, locations and operating power of stations; issues, renews, revokes and modifies station licenses; determines whether to approve changes in ownership or control of station licenses; regulates equipment used by stations; adopts and implements regulations and policies that directly or indirectly affect the ownership, operation and employment practices of stations; and has the power to impose penalties for violations of its rules or the Communications Act.</w:t>
      </w:r>
    </w:p>
    <w:p>
      <w:pPr>
        <w:spacing w:after="0" w:line="78"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The following is a brief summary of certain provisions of the Communications Act and of specific FCC regulations and policies. Reference should be made to the Communications Act, FCC rules and the public notices and rulings of the FCC for further information concerning the nature and extent of federal regulation of broadcast stations.</w:t>
      </w:r>
    </w:p>
    <w:p>
      <w:pPr>
        <w:spacing w:after="0" w:line="75" w:lineRule="exact"/>
        <w:rPr>
          <w:sz w:val="20"/>
          <w:szCs w:val="20"/>
          <w:color w:val="auto"/>
        </w:rPr>
      </w:pPr>
    </w:p>
    <w:p>
      <w:pPr>
        <w:ind w:right="3239" w:firstLine="525"/>
        <w:spacing w:after="0" w:line="260" w:lineRule="auto"/>
        <w:rPr>
          <w:sz w:val="20"/>
          <w:szCs w:val="20"/>
          <w:color w:val="auto"/>
        </w:rPr>
      </w:pPr>
      <w:r>
        <w:rPr>
          <w:rFonts w:ascii="Courier New" w:cs="Courier New" w:eastAsia="Courier New" w:hAnsi="Courier New"/>
          <w:sz w:val="14"/>
          <w:szCs w:val="14"/>
          <w:color w:val="auto"/>
        </w:rPr>
        <w:t>LICENSE RENEWAL. Radio and television broadcasting licenses are granted for maximum terms of eight years, and are subject to renewal upon application to the FCC. Under it's "two-step" renewal process, the FCC must grant a renewal application if it finds that during the preceding term the licensee has served the public interest, convenience and necessity, and there have been no serious violations of the Communications Act or the FCC's rules which, taken together, would constitute a pattern of abuse. If a renewal applicant fails to meet these standards, the FCC may either deny its application or grant the application on such terms and conditions as are appropriate, including renewal for less than the full 8-year term. In making the determination of whether to renew the license, the FCC may not consider whether the public interest would be served by the grant of a license to a person other than the renewal applicant. If the FCC, after notice and opportunity for a hearing, finds that the licensee has failed to meet the requirements for renewal and no mitigating factors justify the imposition of lesser sanctions, the FCC may issue an order denying the renewal application, and only thereafter may the FCC accept applications for a construction permit specifying the broadcasting facilities of the former licensee. Petitions may be filed to deny the renewal applications of any of the Company's stations, but any such petitions must raise issues that would cause the FCC to deny a renewal application under the standards adopted in the "two-step" renewal process. Under the Communications Act, if a broadcast station fails to transmit signals for any consecutive 12-month period, the FCC license expires at the end of that period.</w:t>
      </w:r>
    </w:p>
    <w:p>
      <w:pPr>
        <w:spacing w:after="0" w:line="257"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The Company owns television station KOAM-TV, channel 7, serving the Joplin, Missouri/Pittsburg, Kansas market, operating at a power of 316,000 watts (visual), and 61,600 watts (aural). The expiration date of the stations FCC authorization is June 1, 2006.</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The following table sets forth the market and broadcast power of each of the Company's radio stations and the date on which each such station's FCC license expires: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60" w:type="dxa"/>
            <w:vAlign w:val="bottom"/>
          </w:tcPr>
          <w:p>
            <w:pPr>
              <w:ind w:left="480"/>
              <w:spacing w:after="0"/>
              <w:rPr>
                <w:sz w:val="20"/>
                <w:szCs w:val="20"/>
                <w:color w:val="auto"/>
              </w:rPr>
            </w:pPr>
            <w:r>
              <w:rPr>
                <w:rFonts w:ascii="Courier New" w:cs="Courier New" w:eastAsia="Courier New" w:hAnsi="Courier New"/>
                <w:sz w:val="15"/>
                <w:szCs w:val="15"/>
                <w:color w:val="auto"/>
                <w:w w:val="95"/>
              </w:rPr>
              <w:t>Expiration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vMerge w:val="restart"/>
          </w:tcPr>
          <w:p>
            <w:pPr>
              <w:spacing w:after="0"/>
              <w:rPr>
                <w:sz w:val="20"/>
                <w:szCs w:val="20"/>
                <w:color w:val="auto"/>
              </w:rPr>
            </w:pPr>
            <w:r>
              <w:rPr>
                <w:rFonts w:ascii="Courier New" w:cs="Courier New" w:eastAsia="Courier New" w:hAnsi="Courier New"/>
                <w:sz w:val="15"/>
                <w:szCs w:val="15"/>
                <w:color w:val="auto"/>
              </w:rPr>
              <w:t>Station</w:t>
            </w:r>
          </w:p>
        </w:tc>
        <w:tc>
          <w:tcPr>
            <w:tcW w:w="23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Market(1)</w:t>
            </w:r>
          </w:p>
        </w:tc>
        <w:tc>
          <w:tcPr>
            <w:tcW w:w="23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Power (Watts)(2)</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Date of FCC</w:t>
            </w:r>
          </w:p>
        </w:tc>
        <w:tc>
          <w:tcPr>
            <w:tcW w:w="0" w:type="dxa"/>
            <w:vAlign w:val="bottom"/>
          </w:tcPr>
          <w:p>
            <w:pPr>
              <w:spacing w:after="0"/>
              <w:rPr>
                <w:sz w:val="1"/>
                <w:szCs w:val="1"/>
                <w:color w:val="auto"/>
              </w:rPr>
            </w:pPr>
          </w:p>
        </w:tc>
      </w:tr>
      <w:tr>
        <w:trPr>
          <w:trHeight w:val="245"/>
        </w:trPr>
        <w:tc>
          <w:tcPr>
            <w:tcW w:w="1140" w:type="dxa"/>
            <w:vAlign w:val="bottom"/>
            <w:vMerge w:val="continue"/>
          </w:tcPr>
          <w:p>
            <w:pPr>
              <w:spacing w:after="0"/>
              <w:rPr>
                <w:sz w:val="21"/>
                <w:szCs w:val="21"/>
                <w:color w:val="auto"/>
              </w:rPr>
            </w:pPr>
          </w:p>
        </w:tc>
        <w:tc>
          <w:tcPr>
            <w:tcW w:w="2320" w:type="dxa"/>
            <w:vAlign w:val="bottom"/>
            <w:vMerge w:val="continue"/>
          </w:tcPr>
          <w:p>
            <w:pPr>
              <w:spacing w:after="0"/>
              <w:rPr>
                <w:sz w:val="21"/>
                <w:szCs w:val="21"/>
                <w:color w:val="auto"/>
              </w:rPr>
            </w:pPr>
          </w:p>
        </w:tc>
        <w:tc>
          <w:tcPr>
            <w:tcW w:w="2360" w:type="dxa"/>
            <w:vAlign w:val="bottom"/>
            <w:vMerge w:val="continue"/>
          </w:tcPr>
          <w:p>
            <w:pPr>
              <w:spacing w:after="0"/>
              <w:rPr>
                <w:sz w:val="21"/>
                <w:szCs w:val="21"/>
                <w:color w:val="auto"/>
              </w:rPr>
            </w:pPr>
          </w:p>
        </w:tc>
        <w:tc>
          <w:tcPr>
            <w:tcW w:w="19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Authorization</w:t>
            </w:r>
          </w:p>
        </w:tc>
        <w:tc>
          <w:tcPr>
            <w:tcW w:w="0" w:type="dxa"/>
            <w:vAlign w:val="bottom"/>
          </w:tcPr>
          <w:p>
            <w:pPr>
              <w:spacing w:after="0"/>
              <w:rPr>
                <w:sz w:val="1"/>
                <w:szCs w:val="1"/>
                <w:color w:val="auto"/>
              </w:rPr>
            </w:pPr>
          </w:p>
        </w:tc>
      </w:tr>
      <w:tr>
        <w:trPr>
          <w:trHeight w:val="427"/>
        </w:trPr>
        <w:tc>
          <w:tcPr>
            <w:tcW w:w="1140" w:type="dxa"/>
            <w:vAlign w:val="bottom"/>
          </w:tcPr>
          <w:p>
            <w:pPr>
              <w:spacing w:after="0"/>
              <w:rPr>
                <w:sz w:val="20"/>
                <w:szCs w:val="20"/>
                <w:color w:val="auto"/>
              </w:rPr>
            </w:pPr>
            <w:r>
              <w:rPr>
                <w:rFonts w:ascii="Courier New" w:cs="Courier New" w:eastAsia="Courier New" w:hAnsi="Courier New"/>
                <w:sz w:val="15"/>
                <w:szCs w:val="15"/>
                <w:color w:val="auto"/>
              </w:rPr>
              <w:t>FM:</w:t>
            </w:r>
          </w:p>
        </w:tc>
        <w:tc>
          <w:tcPr>
            <w:tcW w:w="23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Columbus, OH</w:t>
            </w:r>
          </w:p>
        </w:tc>
        <w:tc>
          <w:tcPr>
            <w:tcW w:w="2360" w:type="dxa"/>
            <w:vAlign w:val="bottom"/>
            <w:vMerge w:val="restart"/>
          </w:tcPr>
          <w:p>
            <w:pPr>
              <w:jc w:val="right"/>
              <w:ind w:right="1007"/>
              <w:spacing w:after="0"/>
              <w:rPr>
                <w:sz w:val="20"/>
                <w:szCs w:val="20"/>
                <w:color w:val="auto"/>
              </w:rPr>
            </w:pPr>
            <w:r>
              <w:rPr>
                <w:rFonts w:ascii="Courier New" w:cs="Courier New" w:eastAsia="Courier New" w:hAnsi="Courier New"/>
                <w:sz w:val="15"/>
                <w:szCs w:val="15"/>
                <w:color w:val="auto"/>
              </w:rPr>
              <w:t>50,000</w:t>
            </w:r>
          </w:p>
        </w:tc>
        <w:tc>
          <w:tcPr>
            <w:tcW w:w="1980" w:type="dxa"/>
            <w:vAlign w:val="bottom"/>
            <w:gridSpan w:val="2"/>
            <w:vMerge w:val="restart"/>
          </w:tcPr>
          <w:p>
            <w:pPr>
              <w:ind w:left="480"/>
              <w:spacing w:after="0"/>
              <w:rPr>
                <w:sz w:val="20"/>
                <w:szCs w:val="20"/>
                <w:color w:val="auto"/>
              </w:rPr>
            </w:pPr>
            <w:r>
              <w:rPr>
                <w:rFonts w:ascii="Courier New" w:cs="Courier New" w:eastAsia="Courier New" w:hAnsi="Courier New"/>
                <w:sz w:val="15"/>
                <w:szCs w:val="15"/>
                <w:color w:val="auto"/>
              </w:rPr>
              <w:t>October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WSNY</w:t>
            </w:r>
          </w:p>
        </w:tc>
        <w:tc>
          <w:tcPr>
            <w:tcW w:w="232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WKLH</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Milwaukee, WI</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WLZR</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Milwaukee, WI</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WFMR</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Milwaukee, WI</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6,000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WPNT</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Milwaukee, WI</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6,000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WNOR</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Norfolk, VA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October 1, 2003</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WAFX</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Norfolk, VA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October 1, 2003</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KSTZ</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 Moines, IA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February 1, 2005</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KIOA</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 Moines, IA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February 1, 2005</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KAZR</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 Moines, IA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February 1, 2005</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KLTI-FM</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 Moines, IA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February 1, 2005</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WAQY</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Springfield, MA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WMGX</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Portland, ME</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WYNZ</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Portland, ME</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25,000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WPOR</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Portland, ME</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WYMG</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Springfield, IL</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WQQL</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Springfield, IL</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WDBR</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Springfield, IL</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WYXY</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Lincoln, IL</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25,000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WZID</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Manchester, NH</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WQLL</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Manchester, NH</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6,000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WLRW</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Champaign, IL</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WIXY</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Champaign, IL</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25,000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KCLH</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Yankton, SD</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2005</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KISM</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Bellingham, WA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February 1, 2006</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Courier New" w:cs="Courier New" w:eastAsia="Courier New" w:hAnsi="Courier New"/>
                <w:sz w:val="15"/>
                <w:szCs w:val="15"/>
                <w:color w:val="auto"/>
              </w:rPr>
              <w:t>KAFE</w:t>
            </w:r>
          </w:p>
        </w:tc>
        <w:tc>
          <w:tcPr>
            <w:tcW w:w="2320" w:type="dxa"/>
            <w:vAlign w:val="bottom"/>
          </w:tcPr>
          <w:p>
            <w:pPr>
              <w:ind w:left="540"/>
              <w:spacing w:after="0"/>
              <w:rPr>
                <w:sz w:val="20"/>
                <w:szCs w:val="20"/>
                <w:color w:val="auto"/>
              </w:rPr>
            </w:pPr>
            <w:r>
              <w:rPr>
                <w:rFonts w:ascii="Courier New" w:cs="Courier New" w:eastAsia="Courier New" w:hAnsi="Courier New"/>
                <w:sz w:val="15"/>
                <w:szCs w:val="15"/>
                <w:color w:val="auto"/>
              </w:rPr>
              <w:t>Bellingham, WA</w:t>
            </w:r>
          </w:p>
        </w:tc>
        <w:tc>
          <w:tcPr>
            <w:tcW w:w="236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100,000</w:t>
            </w:r>
          </w:p>
        </w:tc>
        <w:tc>
          <w:tcPr>
            <w:tcW w:w="19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February 1, 2006</w:t>
            </w: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0"/>
                <w:szCs w:val="20"/>
                <w:color w:val="auto"/>
              </w:rPr>
            </w:pPr>
            <w:r>
              <w:rPr>
                <w:rFonts w:ascii="Courier New" w:cs="Courier New" w:eastAsia="Courier New" w:hAnsi="Courier New"/>
                <w:sz w:val="15"/>
                <w:szCs w:val="15"/>
                <w:color w:val="auto"/>
              </w:rPr>
              <w:t>AM:</w:t>
            </w:r>
          </w:p>
        </w:tc>
        <w:tc>
          <w:tcPr>
            <w:tcW w:w="23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Columbus, OH</w:t>
            </w:r>
          </w:p>
        </w:tc>
        <w:tc>
          <w:tcPr>
            <w:tcW w:w="2360" w:type="dxa"/>
            <w:vAlign w:val="bottom"/>
            <w:vMerge w:val="restart"/>
          </w:tcPr>
          <w:p>
            <w:pPr>
              <w:jc w:val="right"/>
              <w:ind w:right="1007"/>
              <w:spacing w:after="0"/>
              <w:rPr>
                <w:sz w:val="20"/>
                <w:szCs w:val="20"/>
                <w:color w:val="auto"/>
              </w:rPr>
            </w:pPr>
            <w:r>
              <w:rPr>
                <w:rFonts w:ascii="Courier New" w:cs="Courier New" w:eastAsia="Courier New" w:hAnsi="Courier New"/>
                <w:sz w:val="15"/>
                <w:szCs w:val="15"/>
                <w:color w:val="auto"/>
              </w:rPr>
              <w:t>1,000</w:t>
            </w:r>
          </w:p>
        </w:tc>
        <w:tc>
          <w:tcPr>
            <w:tcW w:w="1980" w:type="dxa"/>
            <w:vAlign w:val="bottom"/>
            <w:gridSpan w:val="2"/>
            <w:vMerge w:val="restart"/>
          </w:tcPr>
          <w:p>
            <w:pPr>
              <w:ind w:left="480"/>
              <w:spacing w:after="0"/>
              <w:rPr>
                <w:sz w:val="20"/>
                <w:szCs w:val="20"/>
                <w:color w:val="auto"/>
              </w:rPr>
            </w:pPr>
            <w:r>
              <w:rPr>
                <w:rFonts w:ascii="Courier New" w:cs="Courier New" w:eastAsia="Courier New" w:hAnsi="Courier New"/>
                <w:sz w:val="15"/>
                <w:szCs w:val="15"/>
                <w:color w:val="auto"/>
              </w:rPr>
              <w:t>October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WVKO</w:t>
            </w:r>
          </w:p>
        </w:tc>
        <w:tc>
          <w:tcPr>
            <w:tcW w:w="232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WJYI</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Milwaukee, WI</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WNOR</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Norfolk, VA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October 1, 2003</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KRNT</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 Moines, IA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February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1, 2005</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KXTK</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 Moines, IA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10,000</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February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1, 2005</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WAQY</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Springfield, MA</w:t>
            </w:r>
          </w:p>
        </w:tc>
        <w:tc>
          <w:tcPr>
            <w:tcW w:w="2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2,500(3)</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WGAN</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Portland, ME</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WZAN</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Portland, ME</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WPOR</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Portland, ME</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WTAX</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Springfield, IL</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WVAX</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Lincoln, IL</w:t>
            </w:r>
          </w:p>
        </w:tc>
        <w:tc>
          <w:tcPr>
            <w:tcW w:w="23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1,000(3)</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December 1, 2004</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WFEA</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Manchester, NH</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2006</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WNAX</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Yankton, SD</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April 1, 2005</w:t>
            </w:r>
          </w:p>
        </w:tc>
        <w:tc>
          <w:tcPr>
            <w:tcW w:w="0" w:type="dxa"/>
            <w:vAlign w:val="bottom"/>
          </w:tcPr>
          <w:p>
            <w:pPr>
              <w:spacing w:after="0"/>
              <w:rPr>
                <w:sz w:val="1"/>
                <w:szCs w:val="1"/>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KGMI</w:t>
            </w:r>
          </w:p>
        </w:tc>
        <w:tc>
          <w:tcPr>
            <w:tcW w:w="2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Bellingham, WA</w:t>
            </w:r>
          </w:p>
        </w:tc>
        <w:tc>
          <w:tcPr>
            <w:tcW w:w="23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5,000</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February 1, 2006</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Courier New" w:cs="Courier New" w:eastAsia="Courier New" w:hAnsi="Courier New"/>
                <w:sz w:val="15"/>
                <w:szCs w:val="15"/>
                <w:color w:val="auto"/>
              </w:rPr>
              <w:t>KPUG</w:t>
            </w:r>
          </w:p>
        </w:tc>
        <w:tc>
          <w:tcPr>
            <w:tcW w:w="2320" w:type="dxa"/>
            <w:vAlign w:val="bottom"/>
          </w:tcPr>
          <w:p>
            <w:pPr>
              <w:ind w:left="540"/>
              <w:spacing w:after="0"/>
              <w:rPr>
                <w:sz w:val="20"/>
                <w:szCs w:val="20"/>
                <w:color w:val="auto"/>
              </w:rPr>
            </w:pPr>
            <w:r>
              <w:rPr>
                <w:rFonts w:ascii="Courier New" w:cs="Courier New" w:eastAsia="Courier New" w:hAnsi="Courier New"/>
                <w:sz w:val="15"/>
                <w:szCs w:val="15"/>
                <w:color w:val="auto"/>
              </w:rPr>
              <w:t>Bellingham, WA</w:t>
            </w:r>
          </w:p>
        </w:tc>
        <w:tc>
          <w:tcPr>
            <w:tcW w:w="236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10,000</w:t>
            </w:r>
          </w:p>
        </w:tc>
        <w:tc>
          <w:tcPr>
            <w:tcW w:w="19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February 1, 2006</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(footnotes on next page)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00" w:right="3399" w:hanging="690"/>
        <w:spacing w:after="0" w:line="344"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stations are licensed to a different community located within the market that they serve.</w:t>
      </w:r>
    </w:p>
    <w:p>
      <w:pPr>
        <w:spacing w:after="0" w:line="17" w:lineRule="exact"/>
        <w:rPr>
          <w:rFonts w:ascii="Courier New" w:cs="Courier New" w:eastAsia="Courier New" w:hAnsi="Courier New"/>
          <w:sz w:val="15"/>
          <w:szCs w:val="15"/>
          <w:color w:val="auto"/>
        </w:rPr>
      </w:pPr>
    </w:p>
    <w:p>
      <w:pPr>
        <w:ind w:left="700" w:right="3399" w:hanging="690"/>
        <w:spacing w:after="0" w:line="264"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stations are licensed to operate with a combination of effective radiated power and antenna height which may be different from, but provide equivalent coverage to, the power shown. WVKO(AM), KXTK(AM), KPUG(AM) and KGMI(AM) operate with lower power at night than the power shown.</w:t>
      </w:r>
    </w:p>
    <w:p>
      <w:pPr>
        <w:spacing w:after="0" w:line="74"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Operates daytime only or with greatly reduced power at night.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OWNERSHIP MATTERS. The Communications Act prohibits the assignment of a broadcast license or the transfer of control of a broadcast licensee without the prior approval of the FCC. In determining whether to grant or renew a broadcast license, the FCC considers a number of factors pertaining to the licensee, including compliance with the Communications Act's limitations on alien ownership; compliance with various rules limiting common ownership of broadcast, cable and newspaper properties; and the "character" and other qualifications of the licensee and those persons holding "attributable or cognizable" interests therein.</w:t>
      </w:r>
    </w:p>
    <w:p>
      <w:pPr>
        <w:spacing w:after="0" w:line="89"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Under the Communications Act, broadcast licenses may not be granted to any corporation having more than one-fifth of its issued and outstanding capital stock owned or voted by aliens (including non-U.S. corporations), foreign governments or their representatives (collectively, "Aliens"). The Communications Act also prohibits a corporation, without FCC waiver, from holding a broadcast license if that corporation is controlled, directly or indirectly, by another corporation in which more than one-fourth of the issued and outstanding capital stock is owned or voted by Aliens. The FCC has issued interpretations of existing law under which these restrictions in modified form apply to other forms of business organizations, including partnerships. As a result of these statutory requirements and the FCC's rulings thereunder, the Company, which serves as a holding company for its various radio station subsidiaries, cannot have more than 25% of its stock owned or voted by Aliens.</w:t>
      </w:r>
    </w:p>
    <w:p>
      <w:pPr>
        <w:spacing w:after="0" w:line="78" w:lineRule="exact"/>
        <w:rPr>
          <w:sz w:val="20"/>
          <w:szCs w:val="20"/>
          <w:color w:val="auto"/>
        </w:rPr>
      </w:pPr>
    </w:p>
    <w:p>
      <w:pPr>
        <w:ind w:right="3239" w:firstLine="525"/>
        <w:spacing w:after="0" w:line="241" w:lineRule="auto"/>
        <w:rPr>
          <w:sz w:val="20"/>
          <w:szCs w:val="20"/>
          <w:color w:val="auto"/>
        </w:rPr>
      </w:pPr>
      <w:r>
        <w:rPr>
          <w:rFonts w:ascii="Courier New" w:cs="Courier New" w:eastAsia="Courier New" w:hAnsi="Courier New"/>
          <w:sz w:val="15"/>
          <w:szCs w:val="15"/>
          <w:color w:val="auto"/>
        </w:rPr>
        <w:t>The Communications Act and FCC rules also generally prohibit or restrict the common ownership, operation or control of a radio broadcast station and a television broadcast station serving the same geographic market, and of a radio broadcast station and a daily newspaper serving the same geographic market. Additionally, the Communications Act and FCC rules also generally prohibit or restrict the common ownership, operation or control of a television broadcast station and a radio broadcast station serving the same geographic market, of a television broadcast station and a daily newspaper serving the same geographic market, and of a television broadcast station and a cable television system serving the same geographic market. Under these rules, absent waivers, the Company would not be permitted to acquire any newspaper or television broadcast station (other than low power television) in a geographic market in which it now owns any radio broadcast properties, or to acquire any newspaper, television broadcast station, radio broadcast station, or cable television system in a geographic market in which it now owns any television broadcast station. The FCC's rules provide for the liberal grant of waiver of the rule prohibiting ownership of radio and television stations in the same geographic market in the top 25 television markets if certain conditions are satisfied. Under the Communications Act, the FCC is directed to extend its waiver policy (one-to-a-market policy) to any of the top 50 television markets. The Communications Act also requires the FCC to conduct a rule-making to determine whether to retain, modify, or eliminate limits on the number of television stations an entity may own, operate, control or have a cognizable interest in, within the same television market. In November 1996, the FCC adopted a Further Notice of Proposed Rule Making to implement this section of the Communications Act. The</w:t>
      </w:r>
    </w:p>
    <w:p>
      <w:pPr>
        <w:spacing w:after="0" w:line="200" w:lineRule="exact"/>
        <w:rPr>
          <w:sz w:val="20"/>
          <w:szCs w:val="20"/>
          <w:color w:val="auto"/>
        </w:rPr>
      </w:pPr>
    </w:p>
    <w:p>
      <w:pPr>
        <w:spacing w:after="0" w:line="2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jc w:val="both"/>
        <w:ind w:right="3399"/>
        <w:spacing w:after="0" w:line="320" w:lineRule="auto"/>
        <w:rPr>
          <w:sz w:val="20"/>
          <w:szCs w:val="20"/>
          <w:color w:val="auto"/>
        </w:rPr>
      </w:pPr>
      <w:r>
        <w:rPr>
          <w:rFonts w:ascii="Courier New" w:cs="Courier New" w:eastAsia="Courier New" w:hAnsi="Courier New"/>
          <w:sz w:val="14"/>
          <w:szCs w:val="14"/>
          <w:color w:val="auto"/>
        </w:rPr>
        <w:t>FCC revised its rules to permit a television station to affiliate with two or more major networks of television broadcast stations under certain conditions. (Major existing networks are still subject to the FCC's dual network ban).</w:t>
      </w:r>
    </w:p>
    <w:p>
      <w:pPr>
        <w:spacing w:after="0" w:line="38"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The Company is permitted to own an unlimited number of radio stations on a nationwide basis (subject to local ownership restrictions described below), and an unlimited number of television stations on a nationwide basis so long as the ownership of the stations would not result in an aggregate national audience reach (i.e., the total number of television households in the Arbitron Area of Dominant Influence (ADI) markets in which the relevant stations are located divided by the total national television households as measured by ADI data at the time of a grant, transfer or assignment of a license) of 35%. On March 12, 1998, the Commission initiated its biennial review of broadcast ownership rules to review (a) the UHF Television Discount which attributes 50% of television households in a local television market to the audience reach of a UHF television station for purposes of calculating whether a television station owner complies with the 35% national audience reach cap; (b) the Daily Newspaper/Broadcast Cross-Ownership Rule which prohibits common ownership of a broadcast station and daily newspaper in the same locale; (c) the Cable/Television Cross-Ownership Rule which effectively prohibits common ownership of a broadcast television station and cable system in the same market;</w:t>
      </w:r>
    </w:p>
    <w:p>
      <w:pPr>
        <w:spacing w:after="0" w:line="9" w:lineRule="exact"/>
        <w:rPr>
          <w:sz w:val="20"/>
          <w:szCs w:val="20"/>
          <w:color w:val="auto"/>
        </w:rPr>
      </w:pPr>
    </w:p>
    <w:p>
      <w:pPr>
        <w:ind w:right="3239" w:firstLine="10"/>
        <w:spacing w:after="0" w:line="242"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Experimental Broadcast Station Multiple Ownership Rule which limits the number of experimental broadcast stations that can be licensed to or controlled by a person; (e) the National Television Ownership Rule which eliminates a numerical limit on the number of television stations a party may own nationally and increases the national "audience reach" cap of television station ownership from 25% to 35% of television households nationally; (f) the Local Radio Ownership Rule which allows a party to own up to 8 commercial radio stations in a market depending on the number of commercial radio stations in the market; (g) the Dual Network Rule which in effect permits an entity to maintain two or more broadcast networks unless such dual or multiple networks are composed of (1) two or more of the four major networks (ABC, CBS, Fox, NBC), or (2) any of the four major networks and one of the two emerging networks (WBTN, UPN). The FCC has held an "en banc" hearing on the matter. The Commission also reviewed and restated its approach to granting conditional waivers of broadcast ownership rules that are under active consideration by the Commission in a rulemaking or inquiry proceeding.</w:t>
      </w:r>
    </w:p>
    <w:p>
      <w:pPr>
        <w:spacing w:after="0" w:line="92"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Under the Communications Act, the Company is permitted to own radio stations (without regard to the audience shares of the stations) based upon the number of radio stations in the relevant radio market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Number of Stations</w:t>
            </w:r>
          </w:p>
        </w:tc>
        <w:tc>
          <w:tcPr>
            <w:tcW w:w="23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Number of Stations</w:t>
            </w: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In Radio Market</w:t>
            </w:r>
          </w:p>
        </w:tc>
        <w:tc>
          <w:tcPr>
            <w:tcW w:w="23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Company Can Own</w:t>
            </w: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45"/>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40" w:type="dxa"/>
            <w:vAlign w:val="bottom"/>
            <w:gridSpan w:val="5"/>
          </w:tcPr>
          <w:p>
            <w:pPr>
              <w:ind w:left="340"/>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14 or Fewer</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Total of</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stations, not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more than 3</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in the same</w:t>
            </w:r>
          </w:p>
        </w:tc>
      </w:tr>
      <w:tr>
        <w:trPr>
          <w:trHeight w:val="168"/>
        </w:trPr>
        <w:tc>
          <w:tcPr>
            <w:tcW w:w="1940" w:type="dxa"/>
            <w:vAlign w:val="bottom"/>
          </w:tcPr>
          <w:p>
            <w:pPr>
              <w:spacing w:after="0"/>
              <w:rPr>
                <w:sz w:val="14"/>
                <w:szCs w:val="14"/>
                <w:color w:val="auto"/>
              </w:rPr>
            </w:pPr>
          </w:p>
        </w:tc>
        <w:tc>
          <w:tcPr>
            <w:tcW w:w="5240" w:type="dxa"/>
            <w:vAlign w:val="bottom"/>
            <w:gridSpan w:val="5"/>
          </w:tcPr>
          <w:p>
            <w:pPr>
              <w:ind w:left="160"/>
              <w:spacing w:after="0" w:line="168" w:lineRule="exact"/>
              <w:rPr>
                <w:sz w:val="20"/>
                <w:szCs w:val="20"/>
                <w:color w:val="auto"/>
              </w:rPr>
            </w:pPr>
            <w:r>
              <w:rPr>
                <w:rFonts w:ascii="Courier New" w:cs="Courier New" w:eastAsia="Courier New" w:hAnsi="Courier New"/>
                <w:sz w:val="15"/>
                <w:szCs w:val="15"/>
                <w:color w:val="auto"/>
              </w:rPr>
              <w:t>service (AM or FM) except the Company cannot own more</w:t>
            </w:r>
          </w:p>
        </w:tc>
      </w:tr>
      <w:tr>
        <w:trPr>
          <w:trHeight w:val="245"/>
        </w:trPr>
        <w:tc>
          <w:tcPr>
            <w:tcW w:w="1940" w:type="dxa"/>
            <w:vAlign w:val="bottom"/>
          </w:tcPr>
          <w:p>
            <w:pPr>
              <w:spacing w:after="0"/>
              <w:rPr>
                <w:sz w:val="21"/>
                <w:szCs w:val="21"/>
                <w:color w:val="auto"/>
              </w:rPr>
            </w:pP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than 50%</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of the stations</w:t>
            </w:r>
          </w:p>
        </w:tc>
        <w:tc>
          <w:tcPr>
            <w:tcW w:w="2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the market.</w:t>
            </w: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15-29</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Total of</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stations, not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more than 4</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in the same service</w:t>
            </w:r>
          </w:p>
        </w:tc>
      </w:tr>
      <w:tr>
        <w:trPr>
          <w:trHeight w:val="245"/>
        </w:trPr>
        <w:tc>
          <w:tcPr>
            <w:tcW w:w="1940" w:type="dxa"/>
            <w:vAlign w:val="bottom"/>
          </w:tcPr>
          <w:p>
            <w:pPr>
              <w:spacing w:after="0"/>
              <w:rPr>
                <w:sz w:val="21"/>
                <w:szCs w:val="21"/>
                <w:color w:val="auto"/>
              </w:rPr>
            </w:pPr>
          </w:p>
        </w:tc>
        <w:tc>
          <w:tcPr>
            <w:tcW w:w="23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(AM or FM).</w:t>
            </w:r>
          </w:p>
        </w:tc>
        <w:tc>
          <w:tcPr>
            <w:tcW w:w="10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30-44</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Total of</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stations, not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more than 4</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in the same service</w:t>
            </w:r>
          </w:p>
        </w:tc>
      </w:tr>
      <w:tr>
        <w:trPr>
          <w:trHeight w:val="245"/>
        </w:trPr>
        <w:tc>
          <w:tcPr>
            <w:tcW w:w="1940" w:type="dxa"/>
            <w:vAlign w:val="bottom"/>
          </w:tcPr>
          <w:p>
            <w:pPr>
              <w:spacing w:after="0"/>
              <w:rPr>
                <w:sz w:val="21"/>
                <w:szCs w:val="21"/>
                <w:color w:val="auto"/>
              </w:rPr>
            </w:pPr>
          </w:p>
        </w:tc>
        <w:tc>
          <w:tcPr>
            <w:tcW w:w="23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(AM or FM).</w:t>
            </w:r>
          </w:p>
        </w:tc>
        <w:tc>
          <w:tcPr>
            <w:tcW w:w="10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45 or More</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Total of</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stations, not</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more than 5</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in the same service</w:t>
            </w:r>
          </w:p>
        </w:tc>
      </w:tr>
      <w:tr>
        <w:trPr>
          <w:trHeight w:val="245"/>
        </w:trPr>
        <w:tc>
          <w:tcPr>
            <w:tcW w:w="1940" w:type="dxa"/>
            <w:vAlign w:val="bottom"/>
          </w:tcPr>
          <w:p>
            <w:pPr>
              <w:spacing w:after="0"/>
              <w:rPr>
                <w:sz w:val="21"/>
                <w:szCs w:val="21"/>
                <w:color w:val="auto"/>
              </w:rPr>
            </w:pPr>
          </w:p>
        </w:tc>
        <w:tc>
          <w:tcPr>
            <w:tcW w:w="23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(AM or FM).</w:t>
            </w:r>
          </w:p>
        </w:tc>
        <w:tc>
          <w:tcPr>
            <w:tcW w:w="1040" w:type="dxa"/>
            <w:vAlign w:val="bottom"/>
          </w:tcPr>
          <w:p>
            <w:pPr>
              <w:spacing w:after="0"/>
              <w:rPr>
                <w:sz w:val="21"/>
                <w:szCs w:val="21"/>
                <w:color w:val="auto"/>
              </w:rPr>
            </w:pPr>
          </w:p>
        </w:tc>
        <w:tc>
          <w:tcPr>
            <w:tcW w:w="1880" w:type="dxa"/>
            <w:vAlign w:val="bottom"/>
          </w:tcPr>
          <w:p>
            <w:pPr>
              <w:spacing w:after="0"/>
              <w:rPr>
                <w:sz w:val="21"/>
                <w:szCs w:val="21"/>
                <w:color w:val="auto"/>
              </w:rPr>
            </w:pPr>
          </w:p>
        </w:tc>
      </w:tr>
    </w:tbl>
    <w:p>
      <w:pPr>
        <w:spacing w:after="0" w:line="259"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Notwithstanding the limitations described above, new rules to be promulgated under the Communications Act also will permit the Company to own, operate, control or have a cognizable</w:t>
      </w:r>
    </w:p>
    <w:p>
      <w:pPr>
        <w:spacing w:after="0" w:line="3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jc w:val="both"/>
        <w:ind w:right="3319"/>
        <w:spacing w:after="0" w:line="273" w:lineRule="auto"/>
        <w:rPr>
          <w:sz w:val="20"/>
          <w:szCs w:val="20"/>
          <w:color w:val="auto"/>
        </w:rPr>
      </w:pPr>
      <w:r>
        <w:rPr>
          <w:rFonts w:ascii="Courier New" w:cs="Courier New" w:eastAsia="Courier New" w:hAnsi="Courier New"/>
          <w:sz w:val="15"/>
          <w:szCs w:val="15"/>
          <w:color w:val="auto"/>
        </w:rPr>
        <w:t>interest in additional radio broadcast stations if the FCC determines that such ownership, operation, control or cognizable interest will result in an increase in the number of radio stations in operation. No firm date has been established for initiation of this proceeding.</w:t>
      </w:r>
    </w:p>
    <w:p>
      <w:pPr>
        <w:spacing w:after="0" w:line="68"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The FCC generally applies its ownership limits to "attributable" interests held by an individual, corporation, partnership or other association. In the case of corporations holding broadcast licenses, the interests of officers, directors and those who, directly or indirectly, have the right to vote 5% or more of the corporation's stock (or 10% or more of such stock in the case of insurance companies, mutual funds, bank trust departments and certain other passive investors that are holding stock for investment purposes only) are generally attributable, as are positions of an officer or director of a corporate parent of a broadcast licensee. Currently, only two of the Company's officers and directors have an attributable interest in any company applying for or licensed to operate broadcast stations other than the Company.</w:t>
      </w:r>
    </w:p>
    <w:p>
      <w:pPr>
        <w:spacing w:after="0" w:line="78"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4"/>
          <w:szCs w:val="14"/>
          <w:color w:val="auto"/>
        </w:rPr>
        <w:t>On November 5, 1996, the FCC released another further notice of proposed rulemaking proposing to liberalize the national television ownership limits, to relax or to eliminate the prohibition of ownership of two or more television stations with overlapping grade B contours to grade A, and to eliminate the radio-television cross-ownership rule and apply existing radio Local Market Agreement (LMA) guidelines (as discussed below) to television stations. The FCC has held an "en banc" hearing on the matter. The Company cannot predict whether any of these proposals will ultimately be adopted by the FCC.</w:t>
      </w:r>
    </w:p>
    <w:p>
      <w:pPr>
        <w:spacing w:after="0" w:line="71" w:lineRule="exact"/>
        <w:rPr>
          <w:sz w:val="20"/>
          <w:szCs w:val="20"/>
          <w:color w:val="auto"/>
        </w:rPr>
      </w:pPr>
    </w:p>
    <w:p>
      <w:pPr>
        <w:ind w:right="3239" w:firstLine="525"/>
        <w:spacing w:after="0" w:line="259" w:lineRule="auto"/>
        <w:rPr>
          <w:sz w:val="20"/>
          <w:szCs w:val="20"/>
          <w:color w:val="auto"/>
        </w:rPr>
      </w:pPr>
      <w:r>
        <w:rPr>
          <w:rFonts w:ascii="Courier New" w:cs="Courier New" w:eastAsia="Courier New" w:hAnsi="Courier New"/>
          <w:sz w:val="14"/>
          <w:szCs w:val="14"/>
          <w:color w:val="auto"/>
        </w:rPr>
        <w:t>On March 12, 1992, the FCC initiated an inquiry and rulemaking proceeding in which it solicited comment on whether it should alter its ownership attribution rules by (a) raising the basic benchmark for attributing ownership in a corporate licensee from 5% to 10% of the licensee's voting stock; (b) increasing the attribution benchmark for "passive investors" in corporate licensees from 10% to 20% of the licensee's voting stock; (c) broadening the class of investors eligible for "passive investor" status to include Small Business and Minority Enterprise Small Business Investment Companies; and (d) exempting certain widely-held limited partnership interests from attribution where each individual interest represents an insignificant percentage of total partnership equity. On January 12, 1995, the FCC released a Further Notice of Proposed Rulemaking wherein it sought to undertake a thorough review of its attribution rules. The FCC incorporated by reference those comments filed in response to its earlier Notice of Inquiry and asked for updated information on all of the issues raised therein. The FCC also sought comments on the following additional issues:(a) the relevance of its attribution rules as applied to other communications services (such as cable, multi-point distribution systems, personal communications services, and specialized mobile radio); (b) the relevance of other agencies' attribution benchmarks; (c) whether non-voting stock should be attributed in certain circumstances; (d) how to treat limited liability companies for attribution purposes; (e) whether to eliminate its cross-interest policy; and (f) whether certain business interrelationships (such as debt-holders) warrant attribution. On November 5, 1996, the FCC adopted another Further Notice of Proposed Rule Making to inquire into these matters. The Company cannot predict whether any of these proposals will ultimately be adopted by the FCC.</w:t>
      </w:r>
    </w:p>
    <w:p>
      <w:pPr>
        <w:spacing w:after="0" w:line="200" w:lineRule="exact"/>
        <w:rPr>
          <w:sz w:val="20"/>
          <w:szCs w:val="20"/>
          <w:color w:val="auto"/>
        </w:rPr>
      </w:pPr>
    </w:p>
    <w:p>
      <w:pPr>
        <w:spacing w:after="0" w:line="234"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PROGRAMMING AND OPERATION. The Communications Act requires broadcasters to serve the "public interest". Since the late 1970s, the FCC gradually has relaxed or eliminated many of the more formalized procedures it developed to promote the broadcast of certain types of programming responsive to the needs of a station's community of license. However, licensees continue to be required to present programming that is responsive to community problems, needs and interests and to maintain certain records demonstrating such responsiveness. Complaints from listeners concerning a station's programming often will be considered by the FCC when it evaluates renewal applications of a licensee, although such complaints may be filed at any time and generally may be considered by the FCC at any time. Stations also must follow various rules promulgated under the Communications Act that regulate, among other things, political advertising, sponsorship identification, the advertisement of contests and lotteries, obscene and indecent broadcasts, and</w:t>
      </w:r>
    </w:p>
    <w:p>
      <w:pPr>
        <w:spacing w:after="0" w:line="200" w:lineRule="exact"/>
        <w:rPr>
          <w:sz w:val="20"/>
          <w:szCs w:val="20"/>
          <w:color w:val="auto"/>
        </w:rPr>
      </w:pPr>
    </w:p>
    <w:p>
      <w:pPr>
        <w:spacing w:after="0" w:line="2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6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right="3239"/>
        <w:spacing w:after="0" w:line="262" w:lineRule="auto"/>
        <w:rPr>
          <w:sz w:val="20"/>
          <w:szCs w:val="20"/>
          <w:color w:val="auto"/>
        </w:rPr>
      </w:pPr>
      <w:r>
        <w:rPr>
          <w:rFonts w:ascii="Courier New" w:cs="Courier New" w:eastAsia="Courier New" w:hAnsi="Courier New"/>
          <w:sz w:val="14"/>
          <w:szCs w:val="14"/>
          <w:color w:val="auto"/>
        </w:rPr>
        <w:t>technical operations, including limits on radio frequency radiation. The FCC now requires the owners of antenna supporting structures (towers) to register them with the FCC. The Company owns such towers that are subject to the registration requirements. The Children's Television Act of 1990 and the FCC's rules promulgated thereunder require television broadcasters to limit the amount of commercial matter which may be aired in children's programming to 10.5 minutes per hour on weekends and 12 minutes per hour on weekdays. The Children's Television Act and the FCC's rules also require each television licensee to serve, over the term of its license, the educational and informational needs of children through the licensee's programming (and to present at least three hours per week of "core" educational programming specifically designed to serve such needs). Licensees are required to publicize the availability of this programming and to file annually a report with the FCC on these programs and related matters. On January 1, 1998, a new FCC rule became effective which requires television stations to provide closed captioning for certain video programming according to a schedule that gradually increases the amount of video programming that must be provided with captions.</w:t>
      </w:r>
    </w:p>
    <w:p>
      <w:pPr>
        <w:spacing w:after="0" w:line="257" w:lineRule="exact"/>
        <w:rPr>
          <w:sz w:val="20"/>
          <w:szCs w:val="20"/>
          <w:color w:val="auto"/>
        </w:rPr>
      </w:pPr>
    </w:p>
    <w:p>
      <w:pPr>
        <w:ind w:right="3499" w:firstLine="525"/>
        <w:spacing w:after="0" w:line="264" w:lineRule="auto"/>
        <w:rPr>
          <w:sz w:val="20"/>
          <w:szCs w:val="20"/>
          <w:color w:val="auto"/>
        </w:rPr>
      </w:pPr>
      <w:r>
        <w:rPr>
          <w:rFonts w:ascii="Courier New" w:cs="Courier New" w:eastAsia="Courier New" w:hAnsi="Courier New"/>
          <w:sz w:val="15"/>
          <w:szCs w:val="15"/>
          <w:color w:val="auto"/>
        </w:rPr>
        <w:t>Failure to observe these or other rules and policies can result in the imposition of various sanctions, including monetary forfeitures, the grant of "short" (less than the full eight-year) renewal terms or, for particularly egregious violations, the denial of a license renewal application or the revocation of a license.</w:t>
      </w:r>
    </w:p>
    <w:p>
      <w:pPr>
        <w:spacing w:after="0" w:line="75"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LOCAL MARKET AGREEMENTS. A number of radio stations, including the Company's stations, have entered into what have commonly been referred to as "Local Market Agreements", or "LMA's". While these agreements may take varying forms, under a typical LMA, separately owned and licensed radio stations agree to enter into cooperative arrangements of varying sorts, subject to compliance with the requirements of antitrust laws and with the FCC's rules and policies. Under these types of arrangements, separately-owned stations agree to function cooperatively in terms of programming, advertising sales, etc., subject to the licensee of each station maintaining independent control over the programming and station operations of its own station. One typical type of LMA is a programming agreement among two separately-owned radio stations serving a common service area, whereby the licensee of one station purchases substantial portions of the broadcast day on the other licensee's station, subject to ultimate editorial and other controls being exercised by the latter licensee, and sells advertising time during such program segments. Such arrangements are an extension of the concept of "time brokerage" agreements, under which a licensee of a station sells blocks of time on its station to an entity or entities which purchase the blocks of time and which sell their own commercial advertising announcements during the time periods in question.</w:t>
      </w:r>
    </w:p>
    <w:p>
      <w:pPr>
        <w:spacing w:after="0" w:line="259"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In the past, the FCC has determined that issues of joint advertising sales should be left to antitrust enforcement and has specifically revised its so-called "cross-interest" policy to exempt time brokerage arrangements from the scope of its applicability. Furthermore, the staff of the FCC's Mass Media Bureau has held that such agreements are not contrary to the Communications Act provided that the licensee of the radio station from which time is being purchased by another entity maintains complete responsibility for and control over operations of its radio station and assures compliance with applicable FCC rules and policies. The FCC is conducting a review of its rules which may result in the adoption of rules that would continue the existing ban on the ownership of two or more television stations in the same-market, and require the termination of existing television LMA's. The FCC has approved the Company's application to purchase a television station that has an LMA with another same-market television station (the acquisition has not yet been consummated). If the FCC adopts new rules banning same-market LMA's, the Company could be required to terminate the LMA with the other television station.</w:t>
      </w:r>
    </w:p>
    <w:p>
      <w:pPr>
        <w:spacing w:after="0" w:line="252"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The FCC's rules provide that a station purchasing (brokering) time on another station serving the same market will be considered to have an attributable ownership interest in the brokered station for purposes of the FCC's multiple ownership rules. As a result, under the rules, a broadcast station will not be permitted to enter into a time brokerage agreement giving it the right</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6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right="3319"/>
        <w:spacing w:after="0" w:line="276" w:lineRule="auto"/>
        <w:rPr>
          <w:sz w:val="20"/>
          <w:szCs w:val="20"/>
          <w:color w:val="auto"/>
        </w:rPr>
      </w:pPr>
      <w:r>
        <w:rPr>
          <w:rFonts w:ascii="Courier New" w:cs="Courier New" w:eastAsia="Courier New" w:hAnsi="Courier New"/>
          <w:sz w:val="14"/>
          <w:szCs w:val="14"/>
          <w:color w:val="auto"/>
        </w:rPr>
        <w:t>to purchase more than 15% of the broadcast time, on a weekly basis, of another local station which it could not own under the local ownership rules of the FCC's multiple ownership rules. The FCC's rules also prohibit a broadcast licensee from simulcasting more than 25% of its programming on another station in the same broadcast service (i.e., AM-AM or FM-FM) whether it owns the stations or through a time brokerage or LMA arrangement, where the brokered and brokering stations serve substantially the same geographic area.</w:t>
      </w:r>
    </w:p>
    <w:p>
      <w:pPr>
        <w:spacing w:after="0" w:line="69" w:lineRule="exact"/>
        <w:rPr>
          <w:sz w:val="20"/>
          <w:szCs w:val="20"/>
          <w:color w:val="auto"/>
        </w:rPr>
      </w:pPr>
    </w:p>
    <w:p>
      <w:pPr>
        <w:ind w:right="3239" w:firstLine="525"/>
        <w:spacing w:after="0" w:line="259" w:lineRule="auto"/>
        <w:rPr>
          <w:sz w:val="20"/>
          <w:szCs w:val="20"/>
          <w:color w:val="auto"/>
        </w:rPr>
      </w:pPr>
      <w:r>
        <w:rPr>
          <w:rFonts w:ascii="Courier New" w:cs="Courier New" w:eastAsia="Courier New" w:hAnsi="Courier New"/>
          <w:sz w:val="14"/>
          <w:szCs w:val="14"/>
          <w:color w:val="auto"/>
        </w:rPr>
        <w:t>The FCC adopted methodology that will be used to send program ratings information to consumer TV receivers (implementation of "V-Chip" legislation contained in the Communications Act). The FCC also adopted the TV Parental Guidelines developed by the Industry Ratings Implementation Group which apply to all broadcast television programming except for news and sports. As a part of the legislation, television station licensees are required to attach as an exhibit to their applications for license renewal a summary of written comments and suggestions received from the public and maintained by the licensee that comment on the licensee's programming characterized as violent. The FCC adopted a Report and Order establishing digital television ("DTV") (formerly advanced television or "ATV") standards. On February 17,1998 the FCC adopted a Memorandum Opinion and Order on Reconsideration of the Fifth Report and Order that affirmed the FCC's service rules for the conversion by all U.S. broadcasters to DTV, including build-out construction schedules, NTSC (current system) and DTV channel simulcasting, and the return of analog channels to the government by 2006. As a result, the Company's television station is required to convert its operations from NTSC channel 7 to DTV channel 30 by May 1, 2002, and to cease broadcasting on NTSC channel 7 in 2006, and return channel 7 to the government. Also on February 17, 1998 the FCC adopted a Memorandum Opinion and Order on Reconsideration of the Sixth Report and Order that affirmed the FCC's DTV channel assignments and other technical rules and policies. The FCC has not yet decided how the law requiring the carriage of television signals on local cable television systems should apply to DTV signals. On November 19, 1998 the FCC decided to charge television licensees a fee of 5% of gross revenue derived from the offering of ancillary or supplementary services on DTV spectrum for which a subscription fee is charged.</w:t>
      </w:r>
    </w:p>
    <w:p>
      <w:pPr>
        <w:spacing w:after="0" w:line="262"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PROPOSED CHANGES. The FCC has under consideration, and may in the future consider and adopt, new laws, regulations and policies regarding a wide variety of matters that could, directly or indirectly, affect the operation and ownership of the Company and its broadcast properties. Such matters include a pending proceeding to revise the FCC's equal employment opportunity requirements for broadcast stations, (its previous EEO Rules were found to be unconstitutional). New application processing rules adopted by the FCC might require the Company to apply for facilities modifications to its standard broadcast stations in future "window" periods for filing applications or result in the stations being "locked in" with their present facilities. On March 3, 1997, the FCC adopted rules for the Digital Audio Radio Satellite Service ("DARS") in the 2310-2360 MHz frequency band. In adopting the rules, the FCC stated, "although healthy satellite DARS systems are likely to have some adverse impact on terrestrial radio audience size, revenues and profits, the record does not demonstrate that licensing satellite DARS would have such a strong adverse impact that it threatens the provision of local service." Because the DARS service is novel, the Company cannot predict whether it will have an adverse impact on its business. The Balanced Budget Act of 1997 authorizes the FCC to use auctions for the allocation of radio broadcast spectrum frequencies for commercial use. The implementation of this law could require the Company to bid for the use of certain frequencies. Proposals are pending in Congress to repeal the FCC's ban restricting broadcasters from owning newspapers in the same market. Additionally, the FCC on February 3, 1999 released a Notice of Proposed Rulemaking in which it proposed the creation of three new classes of low power FM radio broadcast stations (ranging from 10 watts to 1,000 watts of power - with 1mV/m coverage area up to 8.8 miles from the transmitter). This could result in a new nationwide low power FM service. Such stations could compete for audience and revenue with the Company's stations. Holders of "attributable interests" in broadcast stations, including the Company, under the proposed rules, would be excluded from having any ownership interest in such stations. Under the proposed rules, the Company's FM translator stations might be</w:t>
      </w: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6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required to terminate operations. The Company cannot predict what other changes might be considered in the future, nor can it judge in advance what impact, if any, such changes might have on its business.</w:t>
      </w:r>
    </w:p>
    <w:p>
      <w:pPr>
        <w:spacing w:after="0" w:line="57" w:lineRule="exact"/>
        <w:rPr>
          <w:sz w:val="20"/>
          <w:szCs w:val="20"/>
          <w:color w:val="auto"/>
        </w:rPr>
      </w:pPr>
    </w:p>
    <w:p>
      <w:pPr>
        <w:ind w:right="3239" w:firstLine="525"/>
        <w:spacing w:after="0" w:line="246" w:lineRule="auto"/>
        <w:rPr>
          <w:sz w:val="20"/>
          <w:szCs w:val="20"/>
          <w:color w:val="auto"/>
        </w:rPr>
      </w:pPr>
      <w:r>
        <w:rPr>
          <w:rFonts w:ascii="Courier New" w:cs="Courier New" w:eastAsia="Courier New" w:hAnsi="Courier New"/>
          <w:sz w:val="15"/>
          <w:szCs w:val="15"/>
          <w:color w:val="auto"/>
        </w:rPr>
        <w:t>The FCC on January 13, 1999, released a study and conducted a forum on the impact of advertising practices on minority-owned and minority-formatted broadcast stations. The study provided evidence that advertisers often exclude radio stations serving minority audiences from ad placements and pay them less than other stations when they are included. On February 22, 1999, a "summit" was held to continue this initiative where participants considered the advertising study's recommendations to adopt a Code of Conduct to oppose unfair ad placement and payment, to encourage diversity in hiring and training and to enforce laws against unfair business practices. The Company cannot predict at this time whether the FCC will adopt new rules that would require the placement of part of an advertiser's budget on minority-owned and minority-formatted broadcast stations, and if so, whether such rules would have an adverse impact on thee Company.</w:t>
      </w:r>
    </w:p>
    <w:p>
      <w:pPr>
        <w:spacing w:after="0" w:line="91"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The Satellite Home Viewer Act ("SHVA"), a copyright law, prevents direct-to-home satellite television carriers from retransmitting broadcast network television signals to consumers unless those consumers (1) are "unserved" by the over-the-air signals of their local network affiliate stations, and (2) have not received cable service in the last 90 days. According to the SHVA, "unserved" means that a consumer cannot receive, using a conventional outdoor rooftop antenna, a television signal that is strong enough to provide an adequate television picture. If the Commission's new testing methods determine that a consumer resides in an "unserved household" and the court accepts this methodology, the consumer may continue to receive network programming via satellite. However, federal courts have determined that a substantial number of satellite subscribers have been receiving CBS and Fox network programming in violation of the SHVA, and have taken steps to terminate the retransmission by the satellite carriers. The FCC has said that the majority of these consumers are not likely to be assisted by the FCC's action and can expect to have their CBS and Fox network programming terminated. The Company owns a CBS-affiliated television station, and has entered into an agreement to purchase a CBS-affiliated television station and in a separate agreement, to assume an existing LMA for a Fox-affiliated television station.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current executive officers of the Company are as follows:</w:t>
      </w:r>
    </w:p>
    <w:p>
      <w:pPr>
        <w:spacing w:after="0" w:line="16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40" w:type="dxa"/>
            <w:vAlign w:val="bottom"/>
          </w:tcPr>
          <w:p>
            <w:pPr>
              <w:ind w:left="620"/>
              <w:spacing w:after="0"/>
              <w:rPr>
                <w:sz w:val="20"/>
                <w:szCs w:val="20"/>
                <w:color w:val="auto"/>
              </w:rPr>
            </w:pPr>
            <w:r>
              <w:rPr>
                <w:rFonts w:ascii="Courier New" w:cs="Courier New" w:eastAsia="Courier New" w:hAnsi="Courier New"/>
                <w:sz w:val="15"/>
                <w:szCs w:val="15"/>
                <w:color w:val="auto"/>
              </w:rPr>
              <w:t>Name</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Age</w:t>
            </w: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Position</w:t>
            </w:r>
          </w:p>
        </w:tc>
      </w:tr>
      <w:tr>
        <w:trPr>
          <w:trHeight w:val="245"/>
        </w:trPr>
        <w:tc>
          <w:tcPr>
            <w:tcW w:w="22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Edward K. Christian</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54</w:t>
            </w: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w w:val="96"/>
              </w:rPr>
              <w:t>President, Chief Executive Officer</w:t>
            </w:r>
          </w:p>
        </w:tc>
      </w:tr>
      <w:tr>
        <w:trPr>
          <w:trHeight w:val="245"/>
        </w:trPr>
        <w:tc>
          <w:tcPr>
            <w:tcW w:w="2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and Chairman; Director</w:t>
            </w: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Steven J. Goldstein</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42</w:t>
            </w: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Executive Vice President and</w:t>
            </w:r>
          </w:p>
        </w:tc>
      </w:tr>
      <w:tr>
        <w:trPr>
          <w:trHeight w:val="245"/>
        </w:trPr>
        <w:tc>
          <w:tcPr>
            <w:tcW w:w="2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Group Program Director</w:t>
            </w: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Samuel D. Bush</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41</w:t>
            </w: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Vice President, Chief Financial</w:t>
            </w:r>
          </w:p>
        </w:tc>
      </w:tr>
      <w:tr>
        <w:trPr>
          <w:trHeight w:val="245"/>
        </w:trPr>
        <w:tc>
          <w:tcPr>
            <w:tcW w:w="2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Officer and Treasurer</w:t>
            </w: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Catherine A. Bobinski</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39</w:t>
            </w: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Vice President,</w:t>
            </w:r>
          </w:p>
        </w:tc>
      </w:tr>
      <w:tr>
        <w:trPr>
          <w:trHeight w:val="245"/>
        </w:trPr>
        <w:tc>
          <w:tcPr>
            <w:tcW w:w="2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Corporate Controller</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Warren Lada</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44</w:t>
            </w: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Vice President, Operations</w:t>
            </w: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Marcia K. Lobaito</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50</w:t>
            </w: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Vice President,</w:t>
            </w:r>
          </w:p>
        </w:tc>
      </w:tr>
      <w:tr>
        <w:trPr>
          <w:trHeight w:val="245"/>
        </w:trPr>
        <w:tc>
          <w:tcPr>
            <w:tcW w:w="2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ind w:left="660"/>
              <w:spacing w:after="0"/>
              <w:rPr>
                <w:sz w:val="20"/>
                <w:szCs w:val="20"/>
                <w:color w:val="auto"/>
              </w:rPr>
            </w:pPr>
            <w:r>
              <w:rPr>
                <w:rFonts w:ascii="Courier New" w:cs="Courier New" w:eastAsia="Courier New" w:hAnsi="Courier New"/>
                <w:sz w:val="15"/>
                <w:szCs w:val="15"/>
                <w:color w:val="auto"/>
              </w:rPr>
              <w:t>Corporate Secretary, and</w:t>
            </w:r>
          </w:p>
        </w:tc>
      </w:tr>
      <w:tr>
        <w:trPr>
          <w:trHeight w:val="505"/>
        </w:trPr>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39"/>
          </w:cols>
          <w:pgMar w:left="220" w:top="26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Director of Business Affairs</w:t>
      </w:r>
    </w:p>
    <w:p>
      <w:pPr>
        <w:spacing w:after="0" w:line="166"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Officers are elected annually by the Board of Directors and serve at the discretion of the Board. Set forth below is certain information with respect to the Company's executive officers.</w:t>
      </w:r>
    </w:p>
    <w:p>
      <w:pPr>
        <w:spacing w:after="0" w:line="57"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MR. CHRISTIAN has been President, Chief Executive Officer and Chairman since the Company's inception in 1986.</w:t>
      </w:r>
    </w:p>
    <w:p>
      <w:pPr>
        <w:spacing w:after="0" w:line="17"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MR. GOLDSTEIN has been Executive Vice President and Group Program Director since 1988. Mr. Goldstein has been employed by the Company since its inception in 1986.</w:t>
      </w:r>
    </w:p>
    <w:p>
      <w:pPr>
        <w:spacing w:after="0" w:line="57"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MR. BUSH has been Vice President, Chief Financial Officer and Treasurer since September 1997. From 1988 to 1997 he held various positions with the Media Finance Group at AT&amp;T Capital Corporation, most recently as Senior Vice President.</w:t>
      </w:r>
    </w:p>
    <w:p>
      <w:pPr>
        <w:spacing w:after="0" w:line="68" w:lineRule="exact"/>
        <w:rPr>
          <w:sz w:val="20"/>
          <w:szCs w:val="20"/>
          <w:color w:val="auto"/>
        </w:rPr>
      </w:pPr>
    </w:p>
    <w:p>
      <w:pPr>
        <w:ind w:right="3319" w:firstLine="525"/>
        <w:spacing w:after="0" w:line="381" w:lineRule="auto"/>
        <w:rPr>
          <w:sz w:val="20"/>
          <w:szCs w:val="20"/>
          <w:color w:val="auto"/>
        </w:rPr>
      </w:pPr>
      <w:r>
        <w:rPr>
          <w:rFonts w:ascii="Courier New" w:cs="Courier New" w:eastAsia="Courier New" w:hAnsi="Courier New"/>
          <w:sz w:val="14"/>
          <w:szCs w:val="14"/>
          <w:color w:val="auto"/>
        </w:rPr>
        <w:t>MS. BOBINSKI has been Vice President since March, 1999 and Corporate Controller since September 1991. Ms. Bobinski is a certified public accountant.</w:t>
      </w:r>
    </w:p>
    <w:p>
      <w:pPr>
        <w:spacing w:after="0" w:line="1" w:lineRule="exact"/>
        <w:rPr>
          <w:sz w:val="20"/>
          <w:szCs w:val="20"/>
          <w:color w:val="auto"/>
        </w:rPr>
      </w:pPr>
    </w:p>
    <w:p>
      <w:pPr>
        <w:ind w:right="3239" w:firstLine="525"/>
        <w:spacing w:after="0" w:line="381" w:lineRule="auto"/>
        <w:rPr>
          <w:sz w:val="20"/>
          <w:szCs w:val="20"/>
          <w:color w:val="auto"/>
        </w:rPr>
      </w:pPr>
      <w:r>
        <w:rPr>
          <w:rFonts w:ascii="Courier New" w:cs="Courier New" w:eastAsia="Courier New" w:hAnsi="Courier New"/>
          <w:sz w:val="14"/>
          <w:szCs w:val="14"/>
          <w:color w:val="auto"/>
        </w:rPr>
        <w:t>MR. LADA has been Vice President, Operations since 1997. From 1992 to 1997 he was Regional Vice President of Saga Communications of New England, Inc.</w:t>
      </w:r>
    </w:p>
    <w:p>
      <w:pPr>
        <w:spacing w:after="0" w:line="1"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MS. LOBAITO has been Vice President since 1996, and Director of Business Affairs and Corporate Secretary since its inception in 1986.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 RISK FACTORS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Risks and uncertainties inherent in the Company's business are set forth in detail below. However, this section does not discuss all possible risk and uncertainties to which the Company is subject, nor can it be assumed necessarily that there are no other risks and uncertainties which may be more significant to the Company.</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DEPENDENCE ON KEY PERSONNEL</w:t>
      </w:r>
    </w:p>
    <w:p>
      <w:pPr>
        <w:spacing w:after="0" w:line="166"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The Company's business is partially dependent upon the performance of certain key individuals, particularly Edward K. Christian, its President and the holder of approximately 57% of the combined voting power of the Common Stock. The Company has entered into long-term employment and non-competition agreements with Mr. Christian and certain other key personnel. The loss of the services of Mr. Christian could have a material adverse effect upon the Company. The Company does not maintain key man life insurance on Mr. Christian's life.</w:t>
      </w:r>
    </w:p>
    <w:p>
      <w:pPr>
        <w:spacing w:after="0" w:line="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FINANCIAL LEVERAGE AND DEBT SERVICE REQUIREMENTS</w:t>
      </w:r>
    </w:p>
    <w:p>
      <w:pPr>
        <w:spacing w:after="0" w:line="166"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At December 31, 1998 the Company's long-term debt (including the current portion thereof) was approximately $70,906,000.The Company has borrowed and expects to continue to borrow to finance acquisitions and for other corporate purposes. Because of the Company's substantial indebtedness, a significant portion of the Company's cash flow from operations is required for debt service. Under the terms of the Credit Agreement, commencing March 31, 2001 and continuing quarterly thereafter, the $70,000,000 commitment under the Term Loan, and any indebtedness outstanding under the $60,000,000 Acquisition Facility, will be reduced on a quarterly basis in amounts ranging from 2.5% to 7.5%. The Company believes that cash flow from operations will be sufficient to meet debt service requirements for interest and scheduled quarterly payments of principal under the Credit Agreement. If such cash flow is not sufficient to meet such debt service requirements, the Company may be required to sell additional equity securities, refinance its</w:t>
      </w: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6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obligations or dispose of one or more of its properties in order to make such scheduled payments. There can be no assurance that the Company would be able to effect any such transactions on favorable terms. See "Management's Discussion and Analysis of Financial Condition and Results of Operations - Liquidity and Capital Resources".</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DEPENDENCE ON KEY STATIONS</w:t>
      </w:r>
    </w:p>
    <w:p>
      <w:pPr>
        <w:spacing w:after="0" w:line="166" w:lineRule="exact"/>
        <w:rPr>
          <w:sz w:val="20"/>
          <w:szCs w:val="20"/>
          <w:color w:val="auto"/>
        </w:rPr>
      </w:pPr>
    </w:p>
    <w:p>
      <w:pPr>
        <w:ind w:right="3319" w:firstLine="525"/>
        <w:spacing w:after="0" w:line="252" w:lineRule="auto"/>
        <w:rPr>
          <w:sz w:val="20"/>
          <w:szCs w:val="20"/>
          <w:color w:val="auto"/>
        </w:rPr>
      </w:pPr>
      <w:r>
        <w:rPr>
          <w:rFonts w:ascii="Courier New" w:cs="Courier New" w:eastAsia="Courier New" w:hAnsi="Courier New"/>
          <w:sz w:val="15"/>
          <w:szCs w:val="15"/>
          <w:color w:val="auto"/>
        </w:rPr>
        <w:t>For the years ended December 31, 1998, 1997 and 1996 the Company's Columbus, Ohio stations accounted for an aggregate of 22%, 24% and 22%, respectively, and the Company's Milwaukee, Wisconsin stations accounted for an aggregate of 24%, 24% and 23%, respectively, of the Company's station operating income. While radio revenues in each of the Columbus and Milwaukee markets have remained relatively stable historically, an adverse change in either radio market or either location's relative market position could have a significant impact on the Company's operating results as a whole.</w:t>
      </w:r>
    </w:p>
    <w:p>
      <w:pPr>
        <w:spacing w:after="0" w:line="8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REGULATORY MATTERS</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The broadcasting industry is subject to extensive federal regulation which, among other things, requires approval by the FCC of transfers, assignments and renewals of broadcasting licenses, and limit the number of broadcasting properties that the Company may acquire within a specific market. Federal regulation also restricts alien ownership of capital stock of and participation in the affairs of licensees. See "Business - Federal Regulation of Radio and Television Broadcasting".</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DEPENDENCE ON LOCAL AND NATIONAL ECONOMIC CONDITIONS</w:t>
      </w:r>
    </w:p>
    <w:p>
      <w:pPr>
        <w:spacing w:after="0" w:line="166"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The Company's financial results are dependent primarily on its ability to generate advertising revenue through rates charged to advertisers. The advertising rates a station is able to charge is affected by many factors, including the general strength of the local and national economies.</w:t>
      </w:r>
    </w:p>
    <w:p>
      <w:pPr>
        <w:spacing w:after="0" w:line="68"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SUCCESS OF ACQUISITIONS DEPEND ON COMPANY'S ABILITY TO INTEGRATE ACQUIRED STATIONS</w:t>
      </w:r>
    </w:p>
    <w:p>
      <w:pPr>
        <w:spacing w:after="0" w:line="17"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The Company has pursued and intends to continue to pursue acquisitions of additional radio and television stations. The success of any completed acquisition will depend on the Company's ability to integrate effectively the acquired stations into the Company. The process of integrating acquired stations may involve numerous risks, including difficulties in the assimilation of operations, the diversion of management's attention from other business concerns, risk of entering new markets, and the potential loss of key employees of the acquired stations.</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ind w:right="3319" w:firstLine="612"/>
        <w:spacing w:after="0" w:line="258" w:lineRule="auto"/>
        <w:rPr>
          <w:sz w:val="20"/>
          <w:szCs w:val="20"/>
          <w:color w:val="auto"/>
        </w:rPr>
      </w:pPr>
      <w:r>
        <w:rPr>
          <w:rFonts w:ascii="Courier New" w:cs="Courier New" w:eastAsia="Courier New" w:hAnsi="Courier New"/>
          <w:sz w:val="15"/>
          <w:szCs w:val="15"/>
          <w:color w:val="auto"/>
        </w:rPr>
        <w:t>The Company's corporate headquarters is located in Grosse Pointe Farms, Michigan. The types of properties required to support each of the Company's stations include offices, studios, transmitter sites and antenna sites. A station's studios are generally housed with its offices in downtown or business districts. The transmitter sites and antenna sites are generally located so as to provide maximum market coverage.</w:t>
      </w:r>
    </w:p>
    <w:p>
      <w:pPr>
        <w:spacing w:after="0" w:line="81" w:lineRule="exact"/>
        <w:rPr>
          <w:sz w:val="20"/>
          <w:szCs w:val="20"/>
          <w:color w:val="auto"/>
        </w:rPr>
      </w:pPr>
    </w:p>
    <w:p>
      <w:pPr>
        <w:ind w:right="3399" w:firstLine="612"/>
        <w:spacing w:after="0" w:line="252" w:lineRule="auto"/>
        <w:rPr>
          <w:sz w:val="20"/>
          <w:szCs w:val="20"/>
          <w:color w:val="auto"/>
        </w:rPr>
      </w:pPr>
      <w:r>
        <w:rPr>
          <w:rFonts w:ascii="Courier New" w:cs="Courier New" w:eastAsia="Courier New" w:hAnsi="Courier New"/>
          <w:sz w:val="15"/>
          <w:szCs w:val="15"/>
          <w:color w:val="auto"/>
        </w:rPr>
        <w:t>The studios and offices of eleven of the Company's fourteen station locations, as well as its corporate headquarters in Michigan, are located in facilities owned by the Company. The remaining studios and offices are located in leased facilities with lease terms that expire in 1 to 6 years. The Company owns or leases its transmitter and antenna sites, with lease terms that expire in 1 to 90 years. The Company does not anticipate any difficulties in renewing those leases that expire within the next five years or in leasing other space, if required.</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6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right="3319" w:firstLine="612"/>
        <w:spacing w:after="0" w:line="290" w:lineRule="auto"/>
        <w:rPr>
          <w:sz w:val="20"/>
          <w:szCs w:val="20"/>
          <w:color w:val="auto"/>
        </w:rPr>
      </w:pPr>
      <w:r>
        <w:rPr>
          <w:rFonts w:ascii="Courier New" w:cs="Courier New" w:eastAsia="Courier New" w:hAnsi="Courier New"/>
          <w:sz w:val="15"/>
          <w:szCs w:val="15"/>
          <w:color w:val="auto"/>
        </w:rPr>
        <w:t>No one property is material to the Company's overall operations. The Company believes that its properties are in good condition and suitable for its operations.</w:t>
      </w:r>
    </w:p>
    <w:p>
      <w:pPr>
        <w:spacing w:after="0" w:line="57" w:lineRule="exact"/>
        <w:rPr>
          <w:sz w:val="20"/>
          <w:szCs w:val="20"/>
          <w:color w:val="auto"/>
        </w:rPr>
      </w:pPr>
    </w:p>
    <w:p>
      <w:pPr>
        <w:ind w:right="4099" w:firstLine="612"/>
        <w:spacing w:after="0" w:line="344" w:lineRule="auto"/>
        <w:rPr>
          <w:sz w:val="20"/>
          <w:szCs w:val="20"/>
          <w:color w:val="auto"/>
        </w:rPr>
      </w:pPr>
      <w:r>
        <w:rPr>
          <w:rFonts w:ascii="Courier New" w:cs="Courier New" w:eastAsia="Courier New" w:hAnsi="Courier New"/>
          <w:sz w:val="15"/>
          <w:szCs w:val="15"/>
          <w:color w:val="auto"/>
        </w:rPr>
        <w:t>The Company owns substantially all of the equipment used in its broadcasting business.</w:t>
      </w:r>
    </w:p>
    <w:p>
      <w:pPr>
        <w:spacing w:after="0" w:line="17" w:lineRule="exact"/>
        <w:rPr>
          <w:sz w:val="20"/>
          <w:szCs w:val="20"/>
          <w:color w:val="auto"/>
        </w:rPr>
      </w:pPr>
    </w:p>
    <w:p>
      <w:pPr>
        <w:ind w:right="3499" w:firstLine="612"/>
        <w:spacing w:after="0" w:line="344" w:lineRule="auto"/>
        <w:rPr>
          <w:sz w:val="20"/>
          <w:szCs w:val="20"/>
          <w:color w:val="auto"/>
        </w:rPr>
      </w:pPr>
      <w:r>
        <w:rPr>
          <w:rFonts w:ascii="Courier New" w:cs="Courier New" w:eastAsia="Courier New" w:hAnsi="Courier New"/>
          <w:sz w:val="15"/>
          <w:szCs w:val="15"/>
          <w:color w:val="auto"/>
        </w:rPr>
        <w:t>The Company's bank indebtedness is secured by a first priority lien on all of the assets of the Company and its subsidiaries.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6" w:lineRule="exact"/>
        <w:rPr>
          <w:sz w:val="20"/>
          <w:szCs w:val="20"/>
          <w:color w:val="auto"/>
        </w:rPr>
      </w:pPr>
    </w:p>
    <w:p>
      <w:pPr>
        <w:ind w:right="3319" w:firstLine="612"/>
        <w:spacing w:after="0" w:line="344" w:lineRule="auto"/>
        <w:rPr>
          <w:sz w:val="20"/>
          <w:szCs w:val="20"/>
          <w:color w:val="auto"/>
        </w:rPr>
      </w:pPr>
      <w:r>
        <w:rPr>
          <w:rFonts w:ascii="Courier New" w:cs="Courier New" w:eastAsia="Courier New" w:hAnsi="Courier New"/>
          <w:sz w:val="15"/>
          <w:szCs w:val="15"/>
          <w:color w:val="auto"/>
        </w:rPr>
        <w:t>In the opinion of management of the Company, there are no material legal proceedings pending against the Company.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66" w:lineRule="exact"/>
        <w:rPr>
          <w:sz w:val="20"/>
          <w:szCs w:val="20"/>
          <w:color w:val="auto"/>
        </w:rPr>
      </w:pPr>
    </w:p>
    <w:p>
      <w:pPr>
        <w:ind w:right="3239" w:firstLine="612"/>
        <w:spacing w:after="0" w:line="273" w:lineRule="auto"/>
        <w:rPr>
          <w:sz w:val="20"/>
          <w:szCs w:val="20"/>
          <w:color w:val="auto"/>
        </w:rPr>
      </w:pPr>
      <w:r>
        <w:rPr>
          <w:rFonts w:ascii="Courier New" w:cs="Courier New" w:eastAsia="Courier New" w:hAnsi="Courier New"/>
          <w:sz w:val="15"/>
          <w:szCs w:val="15"/>
          <w:color w:val="auto"/>
        </w:rPr>
        <w:t>On May 29, 1998 the Company consummated a five-for-four split of its Class A and Class B Common Stock, resulting in additional shares being issued of approximately 2,240,000 and 302,000, respectively, for holders of record on May 15, 1998.</w:t>
      </w:r>
    </w:p>
    <w:p>
      <w:pPr>
        <w:spacing w:after="0" w:line="68" w:lineRule="exact"/>
        <w:rPr>
          <w:sz w:val="20"/>
          <w:szCs w:val="20"/>
          <w:color w:val="auto"/>
        </w:rPr>
      </w:pPr>
    </w:p>
    <w:p>
      <w:pPr>
        <w:ind w:right="3239" w:firstLine="612"/>
        <w:spacing w:after="0" w:line="273" w:lineRule="auto"/>
        <w:rPr>
          <w:sz w:val="20"/>
          <w:szCs w:val="20"/>
          <w:color w:val="auto"/>
        </w:rPr>
      </w:pPr>
      <w:r>
        <w:rPr>
          <w:rFonts w:ascii="Courier New" w:cs="Courier New" w:eastAsia="Courier New" w:hAnsi="Courier New"/>
          <w:sz w:val="15"/>
          <w:szCs w:val="15"/>
          <w:color w:val="auto"/>
        </w:rPr>
        <w:t>On April 1, 1997 the Company consummated a five-for-four split of its Class A and Class B Common Stock, resulting in additional shares being issued of approximately 1,772,000 and 242,000, respectively, for holders of record on March 17, 1997.</w:t>
      </w:r>
    </w:p>
    <w:p>
      <w:pPr>
        <w:spacing w:after="0" w:line="68" w:lineRule="exact"/>
        <w:rPr>
          <w:sz w:val="20"/>
          <w:szCs w:val="20"/>
          <w:color w:val="auto"/>
        </w:rPr>
      </w:pPr>
    </w:p>
    <w:p>
      <w:pPr>
        <w:ind w:right="3239" w:firstLine="700"/>
        <w:spacing w:after="0" w:line="298" w:lineRule="auto"/>
        <w:rPr>
          <w:sz w:val="20"/>
          <w:szCs w:val="20"/>
          <w:color w:val="auto"/>
        </w:rPr>
      </w:pPr>
      <w:r>
        <w:rPr>
          <w:rFonts w:ascii="Courier New" w:cs="Courier New" w:eastAsia="Courier New" w:hAnsi="Courier New"/>
          <w:sz w:val="14"/>
          <w:szCs w:val="14"/>
          <w:color w:val="auto"/>
        </w:rPr>
        <w:t>The Company's Class A Common Stock trades on the American Stock Exchange; there is no public trading market for the Company's Class B Common Stock. The following table sets forth the high and low sales prices of the Class A Common Stock as reported by Tradeline for the calendar quarters indicated:</w:t>
      </w:r>
    </w:p>
    <w:p>
      <w:pPr>
        <w:spacing w:after="0" w:line="52"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High</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5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$14.96</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$12.16</w:t>
            </w:r>
          </w:p>
        </w:tc>
        <w:tc>
          <w:tcPr>
            <w:tcW w:w="0" w:type="dxa"/>
            <w:vAlign w:val="bottom"/>
          </w:tcPr>
          <w:p>
            <w:pPr>
              <w:spacing w:after="0"/>
              <w:rPr>
                <w:sz w:val="1"/>
                <w:szCs w:val="1"/>
                <w:color w:val="auto"/>
              </w:rPr>
            </w:pP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First Quarter</w:t>
            </w:r>
          </w:p>
        </w:tc>
        <w:tc>
          <w:tcPr>
            <w:tcW w:w="15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Second Quarter</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$16.20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$13.30</w:t>
            </w:r>
          </w:p>
        </w:tc>
        <w:tc>
          <w:tcPr>
            <w:tcW w:w="0" w:type="dxa"/>
            <w:vAlign w:val="bottom"/>
          </w:tcPr>
          <w:p>
            <w:pPr>
              <w:spacing w:after="0"/>
              <w:rPr>
                <w:sz w:val="1"/>
                <w:szCs w:val="1"/>
                <w:color w:val="auto"/>
              </w:rPr>
            </w:pP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Third Quarter</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$19.70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$14.50</w:t>
            </w:r>
          </w:p>
        </w:tc>
        <w:tc>
          <w:tcPr>
            <w:tcW w:w="0" w:type="dxa"/>
            <w:vAlign w:val="bottom"/>
          </w:tcPr>
          <w:p>
            <w:pPr>
              <w:spacing w:after="0"/>
              <w:rPr>
                <w:sz w:val="1"/>
                <w:szCs w:val="1"/>
                <w:color w:val="auto"/>
              </w:rPr>
            </w:pP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Fourth Quarter</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5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$17.00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$15.30</w:t>
            </w:r>
          </w:p>
        </w:tc>
        <w:tc>
          <w:tcPr>
            <w:tcW w:w="0" w:type="dxa"/>
            <w:vAlign w:val="bottom"/>
          </w:tcPr>
          <w:p>
            <w:pPr>
              <w:spacing w:after="0"/>
              <w:rPr>
                <w:sz w:val="1"/>
                <w:szCs w:val="1"/>
                <w:color w:val="auto"/>
              </w:rPr>
            </w:pP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First Quarter</w:t>
            </w:r>
          </w:p>
        </w:tc>
        <w:tc>
          <w:tcPr>
            <w:tcW w:w="15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Second Quarter</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$18.90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w:t>
            </w:r>
          </w:p>
        </w:tc>
        <w:tc>
          <w:tcPr>
            <w:tcW w:w="0" w:type="dxa"/>
            <w:vAlign w:val="bottom"/>
          </w:tcPr>
          <w:p>
            <w:pPr>
              <w:spacing w:after="0"/>
              <w:rPr>
                <w:sz w:val="1"/>
                <w:szCs w:val="1"/>
                <w:color w:val="auto"/>
              </w:rPr>
            </w:pPr>
          </w:p>
        </w:tc>
      </w:tr>
      <w:tr>
        <w:trPr>
          <w:trHeight w:val="168"/>
        </w:trPr>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Third Quarter</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$18.25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$14.50</w:t>
            </w:r>
          </w:p>
        </w:tc>
        <w:tc>
          <w:tcPr>
            <w:tcW w:w="0" w:type="dxa"/>
            <w:vAlign w:val="bottom"/>
          </w:tcPr>
          <w:p>
            <w:pPr>
              <w:spacing w:after="0"/>
              <w:rPr>
                <w:sz w:val="1"/>
                <w:szCs w:val="1"/>
                <w:color w:val="auto"/>
              </w:rPr>
            </w:pPr>
          </w:p>
        </w:tc>
      </w:tr>
      <w:tr>
        <w:trPr>
          <w:trHeight w:val="245"/>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Fourth Quarter</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$20.75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$14.63</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399" w:firstLine="612"/>
        <w:spacing w:after="0" w:line="290" w:lineRule="auto"/>
        <w:rPr>
          <w:sz w:val="20"/>
          <w:szCs w:val="20"/>
          <w:color w:val="auto"/>
        </w:rPr>
      </w:pPr>
      <w:r>
        <w:rPr>
          <w:rFonts w:ascii="Courier New" w:cs="Courier New" w:eastAsia="Courier New" w:hAnsi="Courier New"/>
          <w:sz w:val="15"/>
          <w:szCs w:val="15"/>
          <w:color w:val="auto"/>
        </w:rPr>
        <w:t>As of March 18, 1999, there were approximately 163 holders of record of the Company's Class A Common Stock, and one holder of the Company's Class B Common Stock.</w:t>
      </w:r>
    </w:p>
    <w:p>
      <w:pPr>
        <w:spacing w:after="0" w:line="3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6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right="3239" w:firstLine="612"/>
        <w:spacing w:after="0" w:line="252" w:lineRule="auto"/>
        <w:rPr>
          <w:sz w:val="20"/>
          <w:szCs w:val="20"/>
          <w:color w:val="auto"/>
        </w:rPr>
      </w:pPr>
      <w:r>
        <w:rPr>
          <w:rFonts w:ascii="Courier New" w:cs="Courier New" w:eastAsia="Courier New" w:hAnsi="Courier New"/>
          <w:sz w:val="15"/>
          <w:szCs w:val="15"/>
          <w:color w:val="auto"/>
        </w:rPr>
        <w:t>The Company has not paid any cash dividends on its Common Stock during the three most recent fiscal years. The Company intends to retain future earnings for use in its business and does not anticipate paying any dividends on shares of its Common Stock in the foreseeable future. The Company is prohibited by the terms of its bank loan agreement from paying dividends on its Common Stock without the banks' prior consent. See Item 7. Management's Discussion and Analysis of Financial Position and Results of Operations -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6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DATA: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Revenue</w:t>
      </w:r>
    </w:p>
    <w:p>
      <w:pPr>
        <w:ind w:left="360" w:right="320" w:hanging="349"/>
        <w:spacing w:after="0" w:line="300" w:lineRule="auto"/>
        <w:rPr>
          <w:sz w:val="20"/>
          <w:szCs w:val="20"/>
          <w:color w:val="auto"/>
        </w:rPr>
      </w:pPr>
      <w:r>
        <w:rPr>
          <w:rFonts w:ascii="Courier New" w:cs="Courier New" w:eastAsia="Courier New" w:hAnsi="Courier New"/>
          <w:sz w:val="14"/>
          <w:szCs w:val="14"/>
          <w:color w:val="auto"/>
        </w:rPr>
        <w:t>Station Operating Expense (excluding depreciation, amortization, corporate general and administrative)</w:t>
      </w:r>
    </w:p>
    <w:p>
      <w:pPr>
        <w:spacing w:after="0" w:line="52" w:lineRule="exact"/>
        <w:rPr>
          <w:sz w:val="20"/>
          <w:szCs w:val="20"/>
          <w:color w:val="auto"/>
        </w:rPr>
      </w:pPr>
    </w:p>
    <w:p>
      <w:pPr>
        <w:ind w:left="360" w:right="320" w:hanging="349"/>
        <w:spacing w:after="0" w:line="320" w:lineRule="auto"/>
        <w:rPr>
          <w:sz w:val="20"/>
          <w:szCs w:val="20"/>
          <w:color w:val="auto"/>
        </w:rPr>
      </w:pPr>
      <w:r>
        <w:rPr>
          <w:rFonts w:ascii="Courier New" w:cs="Courier New" w:eastAsia="Courier New" w:hAnsi="Courier New"/>
          <w:sz w:val="14"/>
          <w:szCs w:val="14"/>
          <w:color w:val="auto"/>
        </w:rPr>
        <w:t>Station Operating Income (excluding depreciation, amortization, corporate general and administrative)</w:t>
      </w:r>
    </w:p>
    <w:p>
      <w:pPr>
        <w:spacing w:after="0" w:line="38" w:lineRule="exact"/>
        <w:rPr>
          <w:sz w:val="20"/>
          <w:szCs w:val="20"/>
          <w:color w:val="auto"/>
        </w:rPr>
      </w:pPr>
    </w:p>
    <w:p>
      <w:pPr>
        <w:ind w:right="760"/>
        <w:spacing w:after="0" w:line="385" w:lineRule="auto"/>
        <w:rPr>
          <w:sz w:val="20"/>
          <w:szCs w:val="20"/>
          <w:color w:val="auto"/>
        </w:rPr>
      </w:pPr>
      <w:r>
        <w:rPr>
          <w:rFonts w:ascii="Courier New" w:cs="Courier New" w:eastAsia="Courier New" w:hAnsi="Courier New"/>
          <w:sz w:val="14"/>
          <w:szCs w:val="14"/>
          <w:color w:val="auto"/>
        </w:rPr>
        <w:t>Depreciation and Amortization Corporate General and Administrative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Profit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237" w:lineRule="auto"/>
        <w:rPr>
          <w:sz w:val="20"/>
          <w:szCs w:val="20"/>
          <w:color w:val="auto"/>
        </w:rPr>
      </w:pPr>
      <w:r>
        <w:rPr>
          <w:rFonts w:ascii="Courier New" w:cs="Courier New" w:eastAsia="Courier New" w:hAnsi="Courier New"/>
          <w:sz w:val="15"/>
          <w:szCs w:val="15"/>
          <w:color w:val="auto"/>
        </w:rPr>
        <w:t>Net Income</w:t>
      </w:r>
    </w:p>
    <w:p>
      <w:pPr>
        <w:spacing w:after="0" w:line="238" w:lineRule="auto"/>
        <w:rPr>
          <w:sz w:val="20"/>
          <w:szCs w:val="20"/>
          <w:color w:val="auto"/>
        </w:rPr>
      </w:pPr>
      <w:r>
        <w:rPr>
          <w:rFonts w:ascii="Courier New" w:cs="Courier New" w:eastAsia="Courier New" w:hAnsi="Courier New"/>
          <w:sz w:val="15"/>
          <w:szCs w:val="15"/>
          <w:color w:val="auto"/>
        </w:rPr>
        <w:t>Basic Earnings Per Share</w:t>
      </w:r>
    </w:p>
    <w:p>
      <w:pPr>
        <w:spacing w:after="0"/>
        <w:rPr>
          <w:sz w:val="20"/>
          <w:szCs w:val="20"/>
          <w:color w:val="auto"/>
        </w:rPr>
      </w:pPr>
      <w:r>
        <w:rPr>
          <w:rFonts w:ascii="Courier New" w:cs="Courier New" w:eastAsia="Courier New" w:hAnsi="Courier New"/>
          <w:sz w:val="15"/>
          <w:szCs w:val="15"/>
          <w:color w:val="auto"/>
        </w:rPr>
        <w:t>Cash Dividends Declared Per Common Share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Common Shares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 Earnings Per Share</w:t>
      </w:r>
    </w:p>
    <w:p>
      <w:pPr>
        <w:spacing w:after="0"/>
        <w:rPr>
          <w:sz w:val="20"/>
          <w:szCs w:val="20"/>
          <w:color w:val="auto"/>
        </w:rPr>
      </w:pPr>
      <w:r>
        <w:rPr>
          <w:rFonts w:ascii="Courier New" w:cs="Courier New" w:eastAsia="Courier New" w:hAnsi="Courier New"/>
          <w:sz w:val="14"/>
          <w:szCs w:val="14"/>
          <w:color w:val="auto"/>
        </w:rPr>
        <w:t>Weighted Average Common Shares and Common</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Equivalents</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DATA: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After-Tax Cash Flow (6)</w:t>
      </w:r>
    </w:p>
    <w:p>
      <w:pPr>
        <w:spacing w:after="0" w:line="237" w:lineRule="auto"/>
        <w:rPr>
          <w:sz w:val="20"/>
          <w:szCs w:val="20"/>
          <w:color w:val="auto"/>
        </w:rPr>
      </w:pPr>
      <w:r>
        <w:rPr>
          <w:rFonts w:ascii="Courier New" w:cs="Courier New" w:eastAsia="Courier New" w:hAnsi="Courier New"/>
          <w:sz w:val="15"/>
          <w:szCs w:val="15"/>
          <w:color w:val="auto"/>
        </w:rPr>
        <w:t>After-Tax Cash Flow Per Share-Basic</w:t>
      </w:r>
    </w:p>
    <w:p>
      <w:pPr>
        <w:spacing w:after="0"/>
        <w:rPr>
          <w:sz w:val="20"/>
          <w:szCs w:val="20"/>
          <w:color w:val="auto"/>
        </w:rPr>
      </w:pPr>
      <w:r>
        <w:rPr>
          <w:rFonts w:ascii="Courier New" w:cs="Courier New" w:eastAsia="Courier New" w:hAnsi="Courier New"/>
          <w:sz w:val="15"/>
          <w:szCs w:val="15"/>
          <w:color w:val="auto"/>
        </w:rPr>
        <w:t>After-Tax Cash Flow Per Share-Diluted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Years Ended</w:t>
      </w:r>
    </w:p>
    <w:p>
      <w:pPr>
        <w:spacing w:after="0" w:line="2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December 31,</w:t>
      </w: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52"/>
        </w:trPr>
        <w:tc>
          <w:tcPr>
            <w:tcW w:w="1180" w:type="dxa"/>
            <w:vAlign w:val="bottom"/>
          </w:tcPr>
          <w:p>
            <w:pPr>
              <w:ind w:left="100"/>
              <w:spacing w:after="0" w:line="152" w:lineRule="exact"/>
              <w:rPr>
                <w:sz w:val="20"/>
                <w:szCs w:val="20"/>
                <w:color w:val="auto"/>
              </w:rPr>
            </w:pPr>
            <w:r>
              <w:rPr>
                <w:rFonts w:ascii="Courier New" w:cs="Courier New" w:eastAsia="Courier New" w:hAnsi="Courier New"/>
                <w:sz w:val="15"/>
                <w:szCs w:val="15"/>
                <w:color w:val="auto"/>
              </w:rPr>
              <w:t>1998(1)(2)</w:t>
            </w:r>
          </w:p>
        </w:tc>
        <w:tc>
          <w:tcPr>
            <w:tcW w:w="1400" w:type="dxa"/>
            <w:vAlign w:val="bottom"/>
          </w:tcPr>
          <w:p>
            <w:pPr>
              <w:ind w:left="320"/>
              <w:spacing w:after="0" w:line="152" w:lineRule="exact"/>
              <w:rPr>
                <w:sz w:val="20"/>
                <w:szCs w:val="20"/>
                <w:color w:val="auto"/>
              </w:rPr>
            </w:pPr>
            <w:r>
              <w:rPr>
                <w:rFonts w:ascii="Courier New" w:cs="Courier New" w:eastAsia="Courier New" w:hAnsi="Courier New"/>
                <w:sz w:val="15"/>
                <w:szCs w:val="15"/>
                <w:color w:val="auto"/>
              </w:rPr>
              <w:t>1997(1)(3)</w:t>
            </w:r>
          </w:p>
        </w:tc>
        <w:tc>
          <w:tcPr>
            <w:tcW w:w="1400" w:type="dxa"/>
            <w:vAlign w:val="bottom"/>
          </w:tcPr>
          <w:p>
            <w:pPr>
              <w:ind w:left="320"/>
              <w:spacing w:after="0" w:line="152" w:lineRule="exact"/>
              <w:rPr>
                <w:sz w:val="20"/>
                <w:szCs w:val="20"/>
                <w:color w:val="auto"/>
              </w:rPr>
            </w:pPr>
            <w:r>
              <w:rPr>
                <w:rFonts w:ascii="Courier New" w:cs="Courier New" w:eastAsia="Courier New" w:hAnsi="Courier New"/>
                <w:sz w:val="15"/>
                <w:szCs w:val="15"/>
                <w:color w:val="auto"/>
              </w:rPr>
              <w:t>1996(1)(4)</w:t>
            </w:r>
          </w:p>
        </w:tc>
        <w:tc>
          <w:tcPr>
            <w:tcW w:w="1500" w:type="dxa"/>
            <w:vAlign w:val="bottom"/>
          </w:tcPr>
          <w:p>
            <w:pPr>
              <w:ind w:left="320"/>
              <w:spacing w:after="0" w:line="152" w:lineRule="exact"/>
              <w:rPr>
                <w:sz w:val="20"/>
                <w:szCs w:val="20"/>
                <w:color w:val="auto"/>
              </w:rPr>
            </w:pPr>
            <w:r>
              <w:rPr>
                <w:rFonts w:ascii="Courier New" w:cs="Courier New" w:eastAsia="Courier New" w:hAnsi="Courier New"/>
                <w:sz w:val="15"/>
                <w:szCs w:val="15"/>
                <w:color w:val="auto"/>
              </w:rPr>
              <w:t>1995(1)</w:t>
            </w:r>
          </w:p>
        </w:tc>
        <w:tc>
          <w:tcPr>
            <w:tcW w:w="1000" w:type="dxa"/>
            <w:vAlign w:val="bottom"/>
          </w:tcPr>
          <w:p>
            <w:pPr>
              <w:ind w:left="120"/>
              <w:spacing w:after="0" w:line="152" w:lineRule="exact"/>
              <w:rPr>
                <w:sz w:val="20"/>
                <w:szCs w:val="20"/>
                <w:color w:val="auto"/>
              </w:rPr>
            </w:pPr>
            <w:r>
              <w:rPr>
                <w:rFonts w:ascii="Courier New" w:cs="Courier New" w:eastAsia="Courier New" w:hAnsi="Courier New"/>
                <w:sz w:val="15"/>
                <w:szCs w:val="15"/>
                <w:color w:val="auto"/>
                <w:w w:val="95"/>
              </w:rPr>
              <w:t>1994(1)(5)</w:t>
            </w:r>
          </w:p>
        </w:tc>
      </w:tr>
      <w:tr>
        <w:trPr>
          <w:trHeight w:val="245"/>
        </w:trPr>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spacing w:after="0"/>
              <w:rPr>
                <w:sz w:val="24"/>
                <w:szCs w:val="24"/>
                <w:color w:val="auto"/>
              </w:rPr>
            </w:pPr>
          </w:p>
        </w:tc>
        <w:tc>
          <w:tcPr>
            <w:tcW w:w="430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(In thousands except per share amounts)</w:t>
            </w:r>
          </w:p>
        </w:tc>
        <w:tc>
          <w:tcPr>
            <w:tcW w:w="1000" w:type="dxa"/>
            <w:vAlign w:val="bottom"/>
          </w:tcPr>
          <w:p>
            <w:pPr>
              <w:spacing w:after="0"/>
              <w:rPr>
                <w:sz w:val="24"/>
                <w:szCs w:val="24"/>
                <w:color w:val="auto"/>
              </w:rPr>
            </w:pPr>
          </w:p>
        </w:tc>
      </w:tr>
      <w:tr>
        <w:trPr>
          <w:trHeight w:val="505"/>
        </w:trPr>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$75,871</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$66,258</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$56,240</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$49,699</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$44,380</w:t>
            </w:r>
          </w:p>
        </w:tc>
      </w:tr>
      <w:tr>
        <w:trPr>
          <w:trHeight w:val="453"/>
        </w:trPr>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48,544</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43,796</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36,629</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32,436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28,878</w:t>
            </w:r>
          </w:p>
        </w:tc>
      </w:tr>
    </w:tbl>
    <w:p>
      <w:pPr>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27,327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22,462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19,611</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17,263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15,502</w:t>
            </w:r>
          </w:p>
        </w:tc>
      </w:tr>
      <w:tr>
        <w:trPr>
          <w:trHeight w:val="259"/>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6,420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5,872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5,508</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6,551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5,781</w:t>
            </w:r>
          </w:p>
        </w:tc>
      </w:tr>
      <w:tr>
        <w:trPr>
          <w:trHeight w:val="194"/>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4,497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3,953</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3,299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2,639</w:t>
            </w:r>
          </w:p>
        </w:tc>
      </w:tr>
    </w:tbl>
    <w:p>
      <w:pPr>
        <w:spacing w:after="0"/>
        <w:rPr>
          <w:sz w:val="20"/>
          <w:szCs w:val="20"/>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16,410</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12,637</w:t>
            </w:r>
          </w:p>
        </w:tc>
        <w:tc>
          <w:tcPr>
            <w:tcW w:w="480" w:type="dxa"/>
            <w:vAlign w:val="bottom"/>
          </w:tcPr>
          <w:p>
            <w:pPr>
              <w:spacing w:after="0"/>
              <w:rPr>
                <w:sz w:val="14"/>
                <w:szCs w:val="1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2"/>
              </w:rPr>
              <w:t>10,804</w:t>
            </w:r>
          </w:p>
        </w:tc>
        <w:tc>
          <w:tcPr>
            <w:tcW w:w="500" w:type="dxa"/>
            <w:vAlign w:val="bottom"/>
          </w:tcPr>
          <w:p>
            <w:pPr>
              <w:spacing w:after="0"/>
              <w:rPr>
                <w:sz w:val="14"/>
                <w:szCs w:val="1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7,896</w:t>
            </w: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7,082</w:t>
            </w:r>
          </w:p>
        </w:tc>
        <w:tc>
          <w:tcPr>
            <w:tcW w:w="0" w:type="dxa"/>
            <w:vAlign w:val="bottom"/>
          </w:tcPr>
          <w:p>
            <w:pPr>
              <w:spacing w:after="0"/>
              <w:rPr>
                <w:sz w:val="1"/>
                <w:szCs w:val="1"/>
                <w:color w:val="auto"/>
              </w:rPr>
            </w:pPr>
          </w:p>
        </w:tc>
      </w:tr>
      <w:tr>
        <w:trPr>
          <w:trHeight w:val="168"/>
        </w:trPr>
        <w:tc>
          <w:tcPr>
            <w:tcW w:w="100" w:type="dxa"/>
            <w:vAlign w:val="bottom"/>
            <w:vMerge w:val="restart"/>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4,609</w:t>
            </w:r>
          </w:p>
        </w:tc>
        <w:tc>
          <w:tcPr>
            <w:tcW w:w="4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4,769</w:t>
            </w:r>
          </w:p>
        </w:tc>
        <w:tc>
          <w:tcPr>
            <w:tcW w:w="48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3,814</w:t>
            </w:r>
          </w:p>
        </w:tc>
        <w:tc>
          <w:tcPr>
            <w:tcW w:w="50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3,319</w:t>
            </w:r>
          </w:p>
        </w:tc>
        <w:tc>
          <w:tcPr>
            <w:tcW w:w="5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2,867</w:t>
            </w:r>
          </w:p>
        </w:tc>
        <w:tc>
          <w:tcPr>
            <w:tcW w:w="0" w:type="dxa"/>
            <w:vAlign w:val="bottom"/>
          </w:tcPr>
          <w:p>
            <w:pPr>
              <w:spacing w:after="0"/>
              <w:rPr>
                <w:sz w:val="1"/>
                <w:szCs w:val="1"/>
                <w:color w:val="auto"/>
              </w:rPr>
            </w:pPr>
          </w:p>
        </w:tc>
      </w:tr>
      <w:tr>
        <w:trPr>
          <w:trHeight w:val="245"/>
        </w:trPr>
        <w:tc>
          <w:tcPr>
            <w:tcW w:w="100" w:type="dxa"/>
            <w:vAlign w:val="bottom"/>
            <w:vMerge w:val="continue"/>
          </w:tcPr>
          <w:p>
            <w:pPr>
              <w:spacing w:after="0"/>
              <w:rPr>
                <w:sz w:val="21"/>
                <w:szCs w:val="21"/>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6,351</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$ 4,492</w:t>
            </w:r>
          </w:p>
        </w:tc>
        <w:tc>
          <w:tcPr>
            <w:tcW w:w="13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$ 3,935</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$ 2,678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$ 2,306</w:t>
            </w:r>
          </w:p>
        </w:tc>
        <w:tc>
          <w:tcPr>
            <w:tcW w:w="0" w:type="dxa"/>
            <w:vAlign w:val="bottom"/>
          </w:tcPr>
          <w:p>
            <w:pPr>
              <w:spacing w:after="0"/>
              <w:rPr>
                <w:sz w:val="1"/>
                <w:szCs w:val="1"/>
                <w:color w:val="auto"/>
              </w:rPr>
            </w:pPr>
          </w:p>
        </w:tc>
      </w:tr>
      <w:tr>
        <w:trPr>
          <w:trHeight w:val="259"/>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20"/>
                <w:szCs w:val="20"/>
                <w:color w:val="auto"/>
              </w:rPr>
            </w:pPr>
            <w:r>
              <w:rPr>
                <w:rFonts w:ascii="Courier New" w:cs="Courier New" w:eastAsia="Courier New" w:hAnsi="Courier New"/>
                <w:sz w:val="2"/>
                <w:szCs w:val="2"/>
                <w:color w:val="auto"/>
                <w:w w:val="94"/>
              </w:rPr>
              <w:t>-------</w:t>
            </w: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2"/>
              </w:rPr>
              <w:t>12,717</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00" w:type="dxa"/>
            <w:vAlign w:val="bottom"/>
            <w:vMerge w:val="restart"/>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continue"/>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12,637</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2"/>
              </w:rPr>
              <w:t>12,573</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2"/>
              </w:rPr>
              <w:t>12,537</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12,532</w:t>
            </w:r>
          </w:p>
        </w:tc>
        <w:tc>
          <w:tcPr>
            <w:tcW w:w="0" w:type="dxa"/>
            <w:vAlign w:val="bottom"/>
          </w:tcPr>
          <w:p>
            <w:pPr>
              <w:spacing w:after="0"/>
              <w:rPr>
                <w:sz w:val="1"/>
                <w:szCs w:val="1"/>
                <w:color w:val="auto"/>
              </w:rPr>
            </w:pPr>
          </w:p>
        </w:tc>
      </w:tr>
      <w:tr>
        <w:trPr>
          <w:trHeight w:val="245"/>
        </w:trPr>
        <w:tc>
          <w:tcPr>
            <w:tcW w:w="100" w:type="dxa"/>
            <w:vAlign w:val="bottom"/>
            <w:vMerge w:val="continue"/>
          </w:tcPr>
          <w:p>
            <w:pPr>
              <w:spacing w:after="0"/>
              <w:rPr>
                <w:sz w:val="21"/>
                <w:szCs w:val="21"/>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w:t>
            </w:r>
          </w:p>
        </w:tc>
        <w:tc>
          <w:tcPr>
            <w:tcW w:w="480" w:type="dxa"/>
            <w:vAlign w:val="bottom"/>
            <w:vMerge w:val="continue"/>
          </w:tcPr>
          <w:p>
            <w:pPr>
              <w:spacing w:after="0"/>
              <w:rPr>
                <w:sz w:val="21"/>
                <w:szCs w:val="21"/>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w:t>
            </w:r>
          </w:p>
        </w:tc>
        <w:tc>
          <w:tcPr>
            <w:tcW w:w="480" w:type="dxa"/>
            <w:vAlign w:val="bottom"/>
            <w:vMerge w:val="continue"/>
          </w:tcPr>
          <w:p>
            <w:pPr>
              <w:spacing w:after="0"/>
              <w:rPr>
                <w:sz w:val="21"/>
                <w:szCs w:val="21"/>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w:t>
            </w:r>
          </w:p>
        </w:tc>
        <w:tc>
          <w:tcPr>
            <w:tcW w:w="500" w:type="dxa"/>
            <w:vAlign w:val="bottom"/>
            <w:vMerge w:val="continue"/>
          </w:tcPr>
          <w:p>
            <w:pPr>
              <w:spacing w:after="0"/>
              <w:rPr>
                <w:sz w:val="21"/>
                <w:szCs w:val="21"/>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w:t>
            </w:r>
          </w:p>
        </w:tc>
        <w:tc>
          <w:tcPr>
            <w:tcW w:w="500" w:type="dxa"/>
            <w:vAlign w:val="bottom"/>
            <w:vMerge w:val="continue"/>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336"/>
        </w:trPr>
        <w:tc>
          <w:tcPr>
            <w:tcW w:w="10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12,990</w:t>
            </w:r>
          </w:p>
        </w:tc>
        <w:tc>
          <w:tcPr>
            <w:tcW w:w="48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12,888</w:t>
            </w:r>
          </w:p>
        </w:tc>
        <w:tc>
          <w:tcPr>
            <w:tcW w:w="480" w:type="dxa"/>
            <w:vAlign w:val="bottom"/>
          </w:tcPr>
          <w:p>
            <w:pPr>
              <w:spacing w:after="0"/>
              <w:rPr>
                <w:sz w:val="24"/>
                <w:szCs w:val="2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2"/>
              </w:rPr>
              <w:t>12,816</w:t>
            </w:r>
          </w:p>
        </w:tc>
        <w:tc>
          <w:tcPr>
            <w:tcW w:w="500" w:type="dxa"/>
            <w:vAlign w:val="bottom"/>
          </w:tcPr>
          <w:p>
            <w:pPr>
              <w:spacing w:after="0"/>
              <w:rPr>
                <w:sz w:val="24"/>
                <w:szCs w:val="2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2"/>
              </w:rPr>
              <w:t>12,688</w:t>
            </w:r>
          </w:p>
        </w:tc>
        <w:tc>
          <w:tcPr>
            <w:tcW w:w="5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12,641</w:t>
            </w:r>
          </w:p>
        </w:tc>
        <w:tc>
          <w:tcPr>
            <w:tcW w:w="0" w:type="dxa"/>
            <w:vAlign w:val="bottom"/>
          </w:tcPr>
          <w:p>
            <w:pPr>
              <w:spacing w:after="0"/>
              <w:rPr>
                <w:sz w:val="1"/>
                <w:szCs w:val="1"/>
                <w:color w:val="auto"/>
              </w:rPr>
            </w:pPr>
          </w:p>
        </w:tc>
      </w:tr>
      <w:tr>
        <w:trPr>
          <w:trHeight w:val="596"/>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14,328</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$11,083</w:t>
            </w:r>
          </w:p>
        </w:tc>
        <w:tc>
          <w:tcPr>
            <w:tcW w:w="13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$10,143</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$ 9,564</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$ 8,052</w:t>
            </w:r>
          </w:p>
        </w:tc>
        <w:tc>
          <w:tcPr>
            <w:tcW w:w="0" w:type="dxa"/>
            <w:vAlign w:val="bottom"/>
          </w:tcPr>
          <w:p>
            <w:pPr>
              <w:spacing w:after="0"/>
              <w:rPr>
                <w:sz w:val="1"/>
                <w:szCs w:val="1"/>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.81</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bl>
    <w:p>
      <w:pPr>
        <w:sectPr>
          <w:pgSz w:w="11900" w:h="16838" w:orient="portrait"/>
          <w:cols w:equalWidth="0" w:num="2">
            <w:col w:w="3920" w:space="720"/>
            <w:col w:w="6480"/>
          </w:cols>
          <w:pgMar w:left="220" w:top="261" w:right="559"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67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1997(3)</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1996(4)</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5"/>
              </w:rPr>
              <w:t>1994(5)</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$ 15,255</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1,587</w:t>
            </w:r>
          </w:p>
        </w:tc>
        <w:tc>
          <w:tcPr>
            <w:tcW w:w="170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$10,997</w:t>
            </w:r>
          </w:p>
        </w:tc>
        <w:tc>
          <w:tcPr>
            <w:tcW w:w="12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$ 3,582</w:t>
            </w:r>
          </w:p>
        </w:tc>
        <w:tc>
          <w:tcPr>
            <w:tcW w:w="11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$ 3,828</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Working Capital</w:t>
            </w:r>
          </w:p>
        </w:tc>
        <w:tc>
          <w:tcPr>
            <w:tcW w:w="1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Fixed Assets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35,564</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34,028</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29,704</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26,403</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28,640</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Other Assets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70,505</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60,886</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48,636</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34,399</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35,923</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130,013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112,433</w:t>
            </w: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96,415</w:t>
            </w:r>
          </w:p>
        </w:tc>
        <w:tc>
          <w:tcPr>
            <w:tcW w:w="1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74,944</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78,170</w:t>
            </w:r>
          </w:p>
        </w:tc>
        <w:tc>
          <w:tcPr>
            <w:tcW w:w="0" w:type="dxa"/>
            <w:vAlign w:val="bottom"/>
          </w:tcPr>
          <w:p>
            <w:pPr>
              <w:spacing w:after="0"/>
              <w:rPr>
                <w:sz w:val="1"/>
                <w:szCs w:val="1"/>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 Excluding Current</w:t>
            </w:r>
          </w:p>
        </w:tc>
        <w:tc>
          <w:tcPr>
            <w:tcW w:w="14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70,725</w:t>
            </w: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53,466</w:t>
            </w:r>
          </w:p>
        </w:tc>
        <w:tc>
          <w:tcPr>
            <w:tcW w:w="170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52,355</w:t>
            </w:r>
          </w:p>
        </w:tc>
        <w:tc>
          <w:tcPr>
            <w:tcW w:w="12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32,131</w:t>
            </w:r>
          </w:p>
        </w:tc>
        <w:tc>
          <w:tcPr>
            <w:tcW w:w="110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39,969</w:t>
            </w:r>
          </w:p>
        </w:tc>
        <w:tc>
          <w:tcPr>
            <w:tcW w:w="0" w:type="dxa"/>
            <w:vAlign w:val="bottom"/>
          </w:tcPr>
          <w:p>
            <w:pPr>
              <w:spacing w:after="0"/>
              <w:rPr>
                <w:sz w:val="1"/>
                <w:szCs w:val="1"/>
                <w:color w:val="auto"/>
              </w:rPr>
            </w:pPr>
          </w:p>
        </w:tc>
      </w:tr>
      <w:tr>
        <w:trPr>
          <w:trHeight w:val="168"/>
        </w:trPr>
        <w:tc>
          <w:tcPr>
            <w:tcW w:w="3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Portion</w:t>
            </w:r>
          </w:p>
        </w:tc>
        <w:tc>
          <w:tcPr>
            <w:tcW w:w="14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44,723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38,255</w:t>
            </w:r>
          </w:p>
        </w:tc>
        <w:tc>
          <w:tcPr>
            <w:tcW w:w="1700" w:type="dxa"/>
            <w:vAlign w:val="bottom"/>
          </w:tcPr>
          <w:p>
            <w:pPr>
              <w:ind w:left="740"/>
              <w:spacing w:after="0"/>
              <w:rPr>
                <w:sz w:val="20"/>
                <w:szCs w:val="20"/>
                <w:color w:val="auto"/>
              </w:rPr>
            </w:pPr>
            <w:r>
              <w:rPr>
                <w:rFonts w:ascii="Courier New" w:cs="Courier New" w:eastAsia="Courier New" w:hAnsi="Courier New"/>
                <w:sz w:val="15"/>
                <w:szCs w:val="15"/>
                <w:color w:val="auto"/>
              </w:rPr>
              <w:t>33,113</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28,882</w:t>
            </w:r>
          </w:p>
        </w:tc>
        <w:tc>
          <w:tcPr>
            <w:tcW w:w="1100" w:type="dxa"/>
            <w:vAlign w:val="bottom"/>
          </w:tcPr>
          <w:p>
            <w:pPr>
              <w:ind w:left="480"/>
              <w:spacing w:after="0"/>
              <w:rPr>
                <w:sz w:val="20"/>
                <w:szCs w:val="20"/>
                <w:color w:val="auto"/>
              </w:rPr>
            </w:pPr>
            <w:r>
              <w:rPr>
                <w:rFonts w:ascii="Courier New" w:cs="Courier New" w:eastAsia="Courier New" w:hAnsi="Courier New"/>
                <w:sz w:val="15"/>
                <w:szCs w:val="15"/>
                <w:color w:val="auto"/>
              </w:rPr>
              <w:t>26,328</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700" w:right="3420" w:hanging="690"/>
        <w:spacing w:after="0" w:line="25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periods presented include the weighted average shares and common equivalents related to certain stock options. In June 1998, April, 1997, May, 1996 and July, 1995 the Company consummated a five-for-four split of its Class A and Class B common stock. All share and per share information has been restated to reflect the retroactive equivalent change in the weighted average shares.</w:t>
      </w:r>
    </w:p>
    <w:p>
      <w:pPr>
        <w:spacing w:after="0" w:line="81" w:lineRule="exact"/>
        <w:rPr>
          <w:rFonts w:ascii="Courier New" w:cs="Courier New" w:eastAsia="Courier New" w:hAnsi="Courier New"/>
          <w:sz w:val="15"/>
          <w:szCs w:val="15"/>
          <w:color w:val="auto"/>
        </w:rPr>
      </w:pPr>
    </w:p>
    <w:p>
      <w:pPr>
        <w:ind w:left="700" w:right="3420" w:hanging="690"/>
        <w:spacing w:after="0" w:line="344"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results of Michigan Radio Network, acquired in March, 1998; and KGMI and KISM, acquired in December, 1998.</w:t>
      </w:r>
    </w:p>
    <w:p>
      <w:pPr>
        <w:spacing w:after="0" w:line="17" w:lineRule="exact"/>
        <w:rPr>
          <w:rFonts w:ascii="Courier New" w:cs="Courier New" w:eastAsia="Courier New" w:hAnsi="Courier New"/>
          <w:sz w:val="15"/>
          <w:szCs w:val="15"/>
          <w:color w:val="auto"/>
        </w:rPr>
      </w:pPr>
    </w:p>
    <w:p>
      <w:pPr>
        <w:ind w:left="700" w:right="3420" w:hanging="690"/>
        <w:spacing w:after="0" w:line="255"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results of KAZR, acquired in March, 1997; KLTI, acquired in April, 1997 and the results of a local market agreement for KLTI which began in January, 1997; WDBR, WYXY, WTAX, and WVAX acquired in May, 1997; WFMR and WPNT, acquired in May, 1997; WQLL acquired in November, 1997, and the results of a local market agreement for WQLL which began in July, 1997; and the Illinois Radio Network acquired in November, 1997.</w:t>
      </w:r>
    </w:p>
    <w:p>
      <w:pPr>
        <w:spacing w:after="0" w:line="81" w:lineRule="exact"/>
        <w:rPr>
          <w:rFonts w:ascii="Courier New" w:cs="Courier New" w:eastAsia="Courier New" w:hAnsi="Courier New"/>
          <w:sz w:val="15"/>
          <w:szCs w:val="15"/>
          <w:color w:val="auto"/>
        </w:rPr>
      </w:pPr>
    </w:p>
    <w:p>
      <w:pPr>
        <w:ind w:left="700" w:right="3420" w:hanging="690"/>
        <w:spacing w:after="0" w:line="298" w:lineRule="auto"/>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results of WNAX AM/FM, acquired in June, 1996; WPOR AM/FM, acquired in June 1996; the results of a local market agreement for WDBR, WYXY, WTAX, and WVAX which began in July, 1996; and the results of a local market agreement for KAZR which began in August, 1996.</w:t>
      </w:r>
    </w:p>
    <w:p>
      <w:pPr>
        <w:spacing w:after="0" w:line="53" w:lineRule="exact"/>
        <w:rPr>
          <w:rFonts w:ascii="Courier New" w:cs="Courier New" w:eastAsia="Courier New" w:hAnsi="Courier New"/>
          <w:sz w:val="14"/>
          <w:szCs w:val="14"/>
          <w:color w:val="auto"/>
        </w:rPr>
      </w:pPr>
    </w:p>
    <w:p>
      <w:pPr>
        <w:ind w:left="700" w:right="3680" w:hanging="690"/>
        <w:spacing w:after="0" w:line="381" w:lineRule="auto"/>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results of WLZR and WJYI, acquired in April, 1994; WAFX, acquired in April 1994; and KOAM TV, acquired in October, 1994.</w:t>
      </w:r>
    </w:p>
    <w:p>
      <w:pPr>
        <w:spacing w:after="0" w:line="1" w:lineRule="exact"/>
        <w:rPr>
          <w:rFonts w:ascii="Courier New" w:cs="Courier New" w:eastAsia="Courier New" w:hAnsi="Courier New"/>
          <w:sz w:val="14"/>
          <w:szCs w:val="14"/>
          <w:color w:val="auto"/>
        </w:rPr>
      </w:pPr>
    </w:p>
    <w:p>
      <w:pPr>
        <w:ind w:left="700" w:right="3680" w:hanging="690"/>
        <w:spacing w:after="0" w:line="344"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as net income plus depreciation, amortization (excluding film rights), other expense, and deferred taxes.</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420"/>
          </w:cols>
          <w:pgMar w:left="220" w:top="261" w:right="125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right="3319" w:hanging="699"/>
        <w:spacing w:after="0" w:line="34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The following discussion should be read in conjunction with Item 6. Selected Financial Data and the financial statements and notes thereto of Saga Communications, Inc. and its subsidiaries contained elsewhere herein.</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The Company's financial results are dependent on a number of factors, the most significant of which is the ability to generate advertising revenue through rates charged to advertisers. The rates a station is able to charge are, in large part, based on a station's ability to attract audiences in the demographic groups targeted by its advertisers, as measured principally by periodic reports by independent national rating services. Various factors affect the rate a station can charge, including the general strength of the local and national economies, population growth, ability to provide popular programming, local market competition, relative efficiency of radio and/or broadcasting compared to other advertising media, signal strength and government regulation and policies. The primary operating expenses involved in owning and operating radio stations are employee salaries, depreciation and amortization, programming expenses, solicitation of advertising, and promotion expenses. In addition to these expenses, owning and operating television stations involve the cost of acquiring certain syndicated programming.</w:t>
      </w:r>
    </w:p>
    <w:p>
      <w:pPr>
        <w:spacing w:after="0" w:line="84"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During the years ended December 31, 1998, 1997 and 1996, none of the Company's operating locations represented more than 15% of the Company's station operating income (i.e., net operating revenue less station operating expense), other than the Columbus, Ohio and Milwaukee, Wisconsin stations. For the years ended December 31, 1998, 1997 and 1996, Columbus accounted for an aggregate of 22%, 24% and 22%, respectively, and Milwaukee accounted for an aggregate of 24%, 24%, and 23%, respectively, of the Company's station operating income. While radio revenues in each of the Columbus and Milwaukee markets have remained relatively stable historically, an adverse change in either radio market or either location's relative market position could have a significant impact on the Company's operating results as a whole.</w:t>
      </w:r>
    </w:p>
    <w:p>
      <w:pPr>
        <w:spacing w:after="0" w:line="87" w:lineRule="exact"/>
        <w:rPr>
          <w:sz w:val="20"/>
          <w:szCs w:val="20"/>
          <w:color w:val="auto"/>
        </w:rPr>
      </w:pPr>
    </w:p>
    <w:p>
      <w:pPr>
        <w:ind w:right="3399" w:firstLine="525"/>
        <w:spacing w:after="0" w:line="287" w:lineRule="auto"/>
        <w:rPr>
          <w:sz w:val="20"/>
          <w:szCs w:val="20"/>
          <w:color w:val="auto"/>
        </w:rPr>
      </w:pPr>
      <w:r>
        <w:rPr>
          <w:rFonts w:ascii="Courier New" w:cs="Courier New" w:eastAsia="Courier New" w:hAnsi="Courier New"/>
          <w:sz w:val="14"/>
          <w:szCs w:val="14"/>
          <w:color w:val="auto"/>
        </w:rPr>
        <w:t>Because audience ratings in the local market are crucial to a station's financial success, the Company endeavors to develop strong listener/viewer loyalty. The Company believes that the diversification of formats on its radio stations helps the Company to insulate itself from the effects of changes in musical tastes of the public on any particular format.</w:t>
      </w:r>
    </w:p>
    <w:p>
      <w:pPr>
        <w:spacing w:after="0" w:line="61"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The number of advertisements that can be broadcast without jeopardizing listening/viewing levels (and the resulting ratings) is limited in part by the format of a particular radio station and, in the case of television stations, by restrictions imposed by the terms of certain network affiliation and syndication agreements. The Company's stations strive to maximize revenue by constantly managing the number of commercials available for sale and adjusting prices based upon local market conditions. In the broadcasting industry, stations often utilize trade (or barter) agreements to generate advertising time sales in exchange for goods or services used or useful in the operation of the stations, instead of for cash. The Company minimizes its use of trade agreements and historically has sold over 95% of its advertising time for cash.</w:t>
      </w:r>
    </w:p>
    <w:p>
      <w:pPr>
        <w:spacing w:after="0" w:line="78" w:lineRule="exact"/>
        <w:rPr>
          <w:sz w:val="20"/>
          <w:szCs w:val="20"/>
          <w:color w:val="auto"/>
        </w:rPr>
      </w:pPr>
    </w:p>
    <w:p>
      <w:pPr>
        <w:jc w:val="both"/>
        <w:ind w:right="3499" w:firstLine="525"/>
        <w:spacing w:after="0" w:line="273" w:lineRule="auto"/>
        <w:rPr>
          <w:sz w:val="20"/>
          <w:szCs w:val="20"/>
          <w:color w:val="auto"/>
        </w:rPr>
      </w:pPr>
      <w:r>
        <w:rPr>
          <w:rFonts w:ascii="Courier New" w:cs="Courier New" w:eastAsia="Courier New" w:hAnsi="Courier New"/>
          <w:sz w:val="15"/>
          <w:szCs w:val="15"/>
          <w:color w:val="auto"/>
        </w:rPr>
        <w:t>Most advertising contracts are short-term, and generally run only for a few weeks. Most of the Company's revenue is generated from local advertising, which is sold primarily by each station's sales staff. In 1998, approximately 82% of the Company's gross revenue was from local</w:t>
      </w: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6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advertising. To generate national advertising sales, the Company engages an independent advertising sales representative that specializes in national sales for each of its stations. See Item 1. Business - Advertising Sales.</w:t>
      </w:r>
    </w:p>
    <w:p>
      <w:pPr>
        <w:spacing w:after="0" w:line="57" w:lineRule="exact"/>
        <w:rPr>
          <w:sz w:val="20"/>
          <w:szCs w:val="20"/>
          <w:color w:val="auto"/>
        </w:rPr>
      </w:pPr>
    </w:p>
    <w:p>
      <w:pPr>
        <w:ind w:right="3759" w:firstLine="525"/>
        <w:spacing w:after="0" w:line="290" w:lineRule="auto"/>
        <w:rPr>
          <w:sz w:val="20"/>
          <w:szCs w:val="20"/>
          <w:color w:val="auto"/>
        </w:rPr>
      </w:pPr>
      <w:r>
        <w:rPr>
          <w:rFonts w:ascii="Courier New" w:cs="Courier New" w:eastAsia="Courier New" w:hAnsi="Courier New"/>
          <w:sz w:val="15"/>
          <w:szCs w:val="15"/>
          <w:color w:val="auto"/>
        </w:rPr>
        <w:t>The Company's revenue varies throughout the year. Advertising expenditures, the Company's primary source of revenue, generally have been lowest during the winter months comprising the first quarter.</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1998 COMPARED TO YEAR ENDED DECEMBER 31, 1997</w:t>
      </w:r>
    </w:p>
    <w:p>
      <w:pPr>
        <w:spacing w:after="0" w:line="166"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For the year ended December 31, 1998, the Company's net operating revenue was $75,871,000 compared with $66,258,000 for the year ended December 31, 1997, an increase of $9,613,000 or 15%. Approximately $5,658,000 or 59% of the increase was attributable to stations owned and operated by the Company for at least two years, representing a 9% increase in comparable station/comparable period net operating revenue. The overall increase in comparable station/comparable period revenue was primarily the result of increased advertising rates at a majority of the Company's stations. Improvements were noted in most of the Company's markets on a comparable station/comparable period basis. In the Company's Norfolk, Virginia market, there was a 14% ($832,000) increase in net revenue over 1997 reported levels, and in the Company's Champaign, Illinois market, there was an 11% ($369,000) increase in net revenue over 1997 reported levels, a reversal of the decreases in each of these two markets in 1997. The balance of the increase in net operating revenue of approximately $3,955,000 was attributable to revenue generated by stations which were not owned or operated by the Company for the entire comparable period in 1997.</w:t>
      </w:r>
    </w:p>
    <w:p>
      <w:pPr>
        <w:spacing w:after="0" w:line="9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Station operating expense (i.e., programming, technical, selling, and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station general and administrative expenses) increased by $4,748,000 or 11%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$48,544,000 for the year ended December 31, 1998, compared with $43,796,000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ended December 31, 1997. Of the total increase, approximately</w:t>
      </w:r>
    </w:p>
    <w:p>
      <w:pPr>
        <w:spacing w:after="0" w:line="237" w:lineRule="auto"/>
        <w:rPr>
          <w:sz w:val="20"/>
          <w:szCs w:val="20"/>
          <w:color w:val="auto"/>
        </w:rPr>
      </w:pPr>
      <w:r>
        <w:rPr>
          <w:rFonts w:ascii="Courier New" w:cs="Courier New" w:eastAsia="Courier New" w:hAnsi="Courier New"/>
          <w:sz w:val="15"/>
          <w:szCs w:val="15"/>
          <w:color w:val="auto"/>
        </w:rPr>
        <w:t>$2,844,000 or 60% was the result of the impact of the operation of stations</w:t>
      </w:r>
    </w:p>
    <w:p>
      <w:pPr>
        <w:spacing w:after="0"/>
        <w:rPr>
          <w:sz w:val="20"/>
          <w:szCs w:val="20"/>
          <w:color w:val="auto"/>
        </w:rPr>
      </w:pPr>
      <w:r>
        <w:rPr>
          <w:rFonts w:ascii="Courier New" w:cs="Courier New" w:eastAsia="Courier New" w:hAnsi="Courier New"/>
          <w:sz w:val="14"/>
          <w:szCs w:val="14"/>
          <w:color w:val="auto"/>
        </w:rPr>
        <w:t>which were not owned or operated by the Company for the entire comparable period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1996. The remaining balance of the increase in station operating expense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$1,904,000 represents a total increase in station operating expense of 4.5%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December 31, 1998 compared to the year ended December 31, 1997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comparable station/comparable period basis.</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Operating profit for the year ended December 31, 1998 was $16,410,000</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$12,637,000 for the year ended December 31, 1997, an increase of</w:t>
      </w:r>
    </w:p>
    <w:p>
      <w:pPr>
        <w:spacing w:after="0"/>
        <w:rPr>
          <w:sz w:val="20"/>
          <w:szCs w:val="20"/>
          <w:color w:val="auto"/>
        </w:rPr>
      </w:pPr>
      <w:r>
        <w:rPr>
          <w:rFonts w:ascii="Courier New" w:cs="Courier New" w:eastAsia="Courier New" w:hAnsi="Courier New"/>
          <w:sz w:val="14"/>
          <w:szCs w:val="14"/>
          <w:color w:val="auto"/>
        </w:rPr>
        <w:t>$3,773,000 or 30%. The improvement was the result of the $9,613,000 increase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revenue, offset by the $4,748,000 increase in station operating</w:t>
      </w:r>
    </w:p>
    <w:p>
      <w:pPr>
        <w:spacing w:after="0" w:line="237" w:lineRule="auto"/>
        <w:rPr>
          <w:sz w:val="20"/>
          <w:szCs w:val="20"/>
          <w:color w:val="auto"/>
        </w:rPr>
      </w:pPr>
      <w:r>
        <w:rPr>
          <w:rFonts w:ascii="Courier New" w:cs="Courier New" w:eastAsia="Courier New" w:hAnsi="Courier New"/>
          <w:sz w:val="15"/>
          <w:szCs w:val="15"/>
          <w:color w:val="auto"/>
        </w:rPr>
        <w:t>expense, a $548,000 or 9% increase in depreciation and amortization, and a</w:t>
      </w:r>
    </w:p>
    <w:p>
      <w:pPr>
        <w:spacing w:after="0" w:line="238" w:lineRule="auto"/>
        <w:rPr>
          <w:sz w:val="20"/>
          <w:szCs w:val="20"/>
          <w:color w:val="auto"/>
        </w:rPr>
      </w:pPr>
      <w:r>
        <w:rPr>
          <w:rFonts w:ascii="Courier New" w:cs="Courier New" w:eastAsia="Courier New" w:hAnsi="Courier New"/>
          <w:sz w:val="15"/>
          <w:szCs w:val="15"/>
          <w:color w:val="auto"/>
        </w:rPr>
        <w:t>$544,000 or 14% increase in corporate general and administrative charges. The</w:t>
      </w:r>
    </w:p>
    <w:p>
      <w:pPr>
        <w:spacing w:after="0"/>
        <w:rPr>
          <w:sz w:val="20"/>
          <w:szCs w:val="20"/>
          <w:color w:val="auto"/>
        </w:rPr>
      </w:pPr>
      <w:r>
        <w:rPr>
          <w:rFonts w:ascii="Courier New" w:cs="Courier New" w:eastAsia="Courier New" w:hAnsi="Courier New"/>
          <w:sz w:val="14"/>
          <w:szCs w:val="14"/>
          <w:color w:val="auto"/>
        </w:rPr>
        <w:t>increase in depreciation and amortization charges was principally the result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acquisitions. The increase in corporate general and administrative</w:t>
      </w:r>
    </w:p>
    <w:p>
      <w:pPr>
        <w:spacing w:after="0" w:line="237" w:lineRule="auto"/>
        <w:rPr>
          <w:sz w:val="20"/>
          <w:szCs w:val="20"/>
          <w:color w:val="auto"/>
        </w:rPr>
      </w:pPr>
      <w:r>
        <w:rPr>
          <w:rFonts w:ascii="Courier New" w:cs="Courier New" w:eastAsia="Courier New" w:hAnsi="Courier New"/>
          <w:sz w:val="15"/>
          <w:szCs w:val="15"/>
          <w:color w:val="auto"/>
        </w:rPr>
        <w:t>charges was primarily attributable to an increase in compensation charges of</w:t>
      </w:r>
    </w:p>
    <w:p>
      <w:pPr>
        <w:spacing w:after="0" w:line="238" w:lineRule="auto"/>
        <w:rPr>
          <w:sz w:val="20"/>
          <w:szCs w:val="20"/>
          <w:color w:val="auto"/>
        </w:rPr>
      </w:pPr>
      <w:r>
        <w:rPr>
          <w:rFonts w:ascii="Courier New" w:cs="Courier New" w:eastAsia="Courier New" w:hAnsi="Courier New"/>
          <w:sz w:val="15"/>
          <w:szCs w:val="15"/>
          <w:color w:val="auto"/>
        </w:rPr>
        <w:t>$140,000 relating to an accrued bonus to the Company's principal stockholder,</w:t>
      </w:r>
    </w:p>
    <w:p>
      <w:pPr>
        <w:spacing w:after="0"/>
        <w:rPr>
          <w:sz w:val="20"/>
          <w:szCs w:val="20"/>
          <w:color w:val="auto"/>
        </w:rPr>
      </w:pPr>
      <w:r>
        <w:rPr>
          <w:rFonts w:ascii="Courier New" w:cs="Courier New" w:eastAsia="Courier New" w:hAnsi="Courier New"/>
          <w:sz w:val="14"/>
          <w:szCs w:val="14"/>
          <w:color w:val="auto"/>
        </w:rPr>
        <w:t>approximately $140,000 pertaining to a discretionary contribution to the 401(k)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of the Company, and approximately $65,000 in non-recurring employee benefit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matters. The remaining increase in corporate general and administrative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approximately $199,000 represents additional costs due to the growth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as a result of the Company's recent acquisitions or an increase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approximately 5% in ordinary recurring expenses.</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Company generated net income in the amount of approximately $6,351,000</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($0.50 per share) during the year ended December 31, 1998 compared with</w:t>
      </w:r>
    </w:p>
    <w:p>
      <w:pPr>
        <w:spacing w:after="0"/>
        <w:rPr>
          <w:sz w:val="20"/>
          <w:szCs w:val="20"/>
          <w:color w:val="auto"/>
        </w:rPr>
      </w:pPr>
      <w:r>
        <w:rPr>
          <w:rFonts w:ascii="Courier New" w:cs="Courier New" w:eastAsia="Courier New" w:hAnsi="Courier New"/>
          <w:sz w:val="14"/>
          <w:szCs w:val="14"/>
          <w:color w:val="auto"/>
        </w:rPr>
        <w:t>$4,492,000 ($0.36 per share) for the year ended December 31, 1997, an increase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approximately $1,859,000 or 41%. The increase in net income was the result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$3,773,000 improvement in operating profit and a $160,000 decrease in</w:t>
      </w:r>
    </w:p>
    <w:p>
      <w:pPr>
        <w:spacing w:after="0"/>
        <w:rPr>
          <w:sz w:val="20"/>
          <w:szCs w:val="20"/>
          <w:color w:val="auto"/>
        </w:rPr>
      </w:pPr>
      <w:r>
        <w:rPr>
          <w:rFonts w:ascii="Courier New" w:cs="Courier New" w:eastAsia="Courier New" w:hAnsi="Courier New"/>
          <w:sz w:val="15"/>
          <w:szCs w:val="15"/>
          <w:color w:val="auto"/>
        </w:rPr>
        <w:t>interest expense, offset by a $554,000 increase in other expense and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6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right="3679"/>
        <w:spacing w:after="0" w:line="264" w:lineRule="auto"/>
        <w:rPr>
          <w:sz w:val="20"/>
          <w:szCs w:val="20"/>
          <w:color w:val="auto"/>
        </w:rPr>
      </w:pPr>
      <w:r>
        <w:rPr>
          <w:rFonts w:ascii="Courier New" w:cs="Courier New" w:eastAsia="Courier New" w:hAnsi="Courier New"/>
          <w:sz w:val="15"/>
          <w:szCs w:val="15"/>
          <w:color w:val="auto"/>
        </w:rPr>
        <w:t>$1,520,000 increase in income taxes directly associated with the improved operating performance of the Company. The decrease in interest expense was primarily attributable to decreased interest rates. The increase in other expense was principally the result of the Company's equity in the operating results of an investment in Reykjavik, Iceland.</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1997 COMPARED TO YEAR ENDED DECEMBER 31, 1996</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For the year ended December 31, 1997, the Company's net operating revenue</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$66,258,000 compared with $56,240,000 for the year ended December 31,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increase of $10,018,000 or 18%. Approximately $3,390,000 or 34% of the</w:t>
      </w:r>
    </w:p>
    <w:p>
      <w:pPr>
        <w:spacing w:after="0"/>
        <w:rPr>
          <w:sz w:val="20"/>
          <w:szCs w:val="20"/>
          <w:color w:val="auto"/>
        </w:rPr>
      </w:pPr>
      <w:r>
        <w:rPr>
          <w:rFonts w:ascii="Courier New" w:cs="Courier New" w:eastAsia="Courier New" w:hAnsi="Courier New"/>
          <w:sz w:val="14"/>
          <w:szCs w:val="14"/>
          <w:color w:val="auto"/>
        </w:rPr>
        <w:t>increase was attributable to stations owned and operated by the Company for 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least two years, representing a 6.5% increase in comparable station/comparable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net operating revenue. The overall increase in comparable</w:t>
      </w:r>
    </w:p>
    <w:p>
      <w:pPr>
        <w:spacing w:after="0" w:line="237" w:lineRule="auto"/>
        <w:rPr>
          <w:sz w:val="20"/>
          <w:szCs w:val="20"/>
          <w:color w:val="auto"/>
        </w:rPr>
      </w:pPr>
      <w:r>
        <w:rPr>
          <w:rFonts w:ascii="Courier New" w:cs="Courier New" w:eastAsia="Courier New" w:hAnsi="Courier New"/>
          <w:sz w:val="15"/>
          <w:szCs w:val="15"/>
          <w:color w:val="auto"/>
        </w:rPr>
        <w:t>station/comparable period revenue was primarily the result of increased</w:t>
      </w:r>
    </w:p>
    <w:p>
      <w:pPr>
        <w:spacing w:after="0" w:line="238" w:lineRule="auto"/>
        <w:rPr>
          <w:sz w:val="20"/>
          <w:szCs w:val="20"/>
          <w:color w:val="auto"/>
        </w:rPr>
      </w:pPr>
      <w:r>
        <w:rPr>
          <w:rFonts w:ascii="Courier New" w:cs="Courier New" w:eastAsia="Courier New" w:hAnsi="Courier New"/>
          <w:sz w:val="15"/>
          <w:szCs w:val="15"/>
          <w:color w:val="auto"/>
        </w:rPr>
        <w:t>advertising rates at a majority of the Company's stations. In the Company's</w:t>
      </w:r>
    </w:p>
    <w:p>
      <w:pPr>
        <w:spacing w:after="0"/>
        <w:rPr>
          <w:sz w:val="20"/>
          <w:szCs w:val="20"/>
          <w:color w:val="auto"/>
        </w:rPr>
      </w:pPr>
      <w:r>
        <w:rPr>
          <w:rFonts w:ascii="Courier New" w:cs="Courier New" w:eastAsia="Courier New" w:hAnsi="Courier New"/>
          <w:sz w:val="14"/>
          <w:szCs w:val="14"/>
          <w:color w:val="auto"/>
        </w:rPr>
        <w:t>Columbus, Ohio market there was a 16% ($1,419,000) increase in net revenue over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reported levels, a reversal of the decreases in the market in 1996.</w:t>
      </w:r>
    </w:p>
    <w:p>
      <w:pPr>
        <w:spacing w:after="0" w:line="237" w:lineRule="auto"/>
        <w:rPr>
          <w:sz w:val="20"/>
          <w:szCs w:val="20"/>
          <w:color w:val="auto"/>
        </w:rPr>
      </w:pPr>
      <w:r>
        <w:rPr>
          <w:rFonts w:ascii="Courier New" w:cs="Courier New" w:eastAsia="Courier New" w:hAnsi="Courier New"/>
          <w:sz w:val="15"/>
          <w:szCs w:val="15"/>
          <w:color w:val="auto"/>
        </w:rPr>
        <w:t>Improvements were noted in most of the Company's markets on a comparable</w:t>
      </w:r>
    </w:p>
    <w:p>
      <w:pPr>
        <w:spacing w:after="0"/>
        <w:rPr>
          <w:sz w:val="20"/>
          <w:szCs w:val="20"/>
          <w:color w:val="auto"/>
        </w:rPr>
      </w:pPr>
      <w:r>
        <w:rPr>
          <w:rFonts w:ascii="Courier New" w:cs="Courier New" w:eastAsia="Courier New" w:hAnsi="Courier New"/>
          <w:sz w:val="14"/>
          <w:szCs w:val="14"/>
          <w:color w:val="auto"/>
        </w:rPr>
        <w:t>station/comparable period basis. The Company did, however, experience a decline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Norfolk, Virginia market, where there was a 12% ($805,000) decrease in</w:t>
      </w:r>
    </w:p>
    <w:p>
      <w:pPr>
        <w:spacing w:after="0" w:line="237" w:lineRule="auto"/>
        <w:rPr>
          <w:sz w:val="20"/>
          <w:szCs w:val="20"/>
          <w:color w:val="auto"/>
        </w:rPr>
      </w:pPr>
      <w:r>
        <w:rPr>
          <w:rFonts w:ascii="Courier New" w:cs="Courier New" w:eastAsia="Courier New" w:hAnsi="Courier New"/>
          <w:sz w:val="15"/>
          <w:szCs w:val="15"/>
          <w:color w:val="auto"/>
        </w:rPr>
        <w:t>net revenue, and in the Champaign, Illinois market where there was a 6%</w:t>
      </w:r>
    </w:p>
    <w:p>
      <w:pPr>
        <w:spacing w:after="0"/>
        <w:rPr>
          <w:sz w:val="20"/>
          <w:szCs w:val="20"/>
          <w:color w:val="auto"/>
        </w:rPr>
      </w:pPr>
      <w:r>
        <w:rPr>
          <w:rFonts w:ascii="Courier New" w:cs="Courier New" w:eastAsia="Courier New" w:hAnsi="Courier New"/>
          <w:sz w:val="14"/>
          <w:szCs w:val="14"/>
          <w:color w:val="auto"/>
        </w:rPr>
        <w:t>($209,000) decrease in net revenue. The balance of the increase in net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of approximately $6,628,000 was attributable to revenue generated by</w:t>
      </w:r>
    </w:p>
    <w:p>
      <w:pPr>
        <w:spacing w:after="0" w:line="237" w:lineRule="auto"/>
        <w:rPr>
          <w:sz w:val="20"/>
          <w:szCs w:val="20"/>
          <w:color w:val="auto"/>
        </w:rPr>
      </w:pPr>
      <w:r>
        <w:rPr>
          <w:rFonts w:ascii="Courier New" w:cs="Courier New" w:eastAsia="Courier New" w:hAnsi="Courier New"/>
          <w:sz w:val="15"/>
          <w:szCs w:val="15"/>
          <w:color w:val="auto"/>
        </w:rPr>
        <w:t>stations which were not owned or operated by the Company for the entire</w:t>
      </w:r>
    </w:p>
    <w:p>
      <w:pPr>
        <w:spacing w:after="0"/>
        <w:rPr>
          <w:sz w:val="20"/>
          <w:szCs w:val="20"/>
          <w:color w:val="auto"/>
        </w:rPr>
      </w:pPr>
      <w:r>
        <w:rPr>
          <w:rFonts w:ascii="Courier New" w:cs="Courier New" w:eastAsia="Courier New" w:hAnsi="Courier New"/>
          <w:sz w:val="15"/>
          <w:szCs w:val="15"/>
          <w:color w:val="auto"/>
        </w:rPr>
        <w:t>comparable period in 1996.</w:t>
      </w:r>
    </w:p>
    <w:p>
      <w:pPr>
        <w:spacing w:after="0" w:line="140"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The decrease in revenue in the Norfolk and Champaign markets was primarily the result of aggressive pricing efforts by certain competing stations within the respective markets. The Company believes the competitive pressure which negatively impacted its revenue growth in these markets to be temporary in nature, and expects 1998 revenue to approximate the 1997 levels and does not anticipate that such effects on revenue will persist beyond 1998.</w:t>
      </w:r>
    </w:p>
    <w:p>
      <w:pPr>
        <w:spacing w:after="0" w:line="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Station operating expense (i.e., programming, technical, selling, and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station general and administrative expenses) increased by $7,167,000 or 20%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$43,796,000 for the year ended December 31, 1997, compared with $36,629,000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ended December 31, 1996. Of the total increase, approximately</w:t>
      </w:r>
    </w:p>
    <w:p>
      <w:pPr>
        <w:spacing w:after="0" w:line="237" w:lineRule="auto"/>
        <w:rPr>
          <w:sz w:val="20"/>
          <w:szCs w:val="20"/>
          <w:color w:val="auto"/>
        </w:rPr>
      </w:pPr>
      <w:r>
        <w:rPr>
          <w:rFonts w:ascii="Courier New" w:cs="Courier New" w:eastAsia="Courier New" w:hAnsi="Courier New"/>
          <w:sz w:val="15"/>
          <w:szCs w:val="15"/>
          <w:color w:val="auto"/>
        </w:rPr>
        <w:t>$5,618,000 or 78% was the result of the impact of the operation of stations</w:t>
      </w:r>
    </w:p>
    <w:p>
      <w:pPr>
        <w:spacing w:after="0"/>
        <w:rPr>
          <w:sz w:val="20"/>
          <w:szCs w:val="20"/>
          <w:color w:val="auto"/>
        </w:rPr>
      </w:pPr>
      <w:r>
        <w:rPr>
          <w:rFonts w:ascii="Courier New" w:cs="Courier New" w:eastAsia="Courier New" w:hAnsi="Courier New"/>
          <w:sz w:val="14"/>
          <w:szCs w:val="14"/>
          <w:color w:val="auto"/>
        </w:rPr>
        <w:t>which were not owned or operated by the Company for the entire comparable period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1996. The remaining balance of the increase in station operating expense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$1,549,000 represents a total increase in station operating expense of 5% for</w:t>
      </w:r>
    </w:p>
    <w:p>
      <w:pPr>
        <w:spacing w:after="0"/>
        <w:rPr>
          <w:sz w:val="20"/>
          <w:szCs w:val="20"/>
          <w:color w:val="auto"/>
        </w:rPr>
      </w:pPr>
      <w:r>
        <w:rPr>
          <w:rFonts w:ascii="Courier New" w:cs="Courier New" w:eastAsia="Courier New" w:hAnsi="Courier New"/>
          <w:sz w:val="14"/>
          <w:szCs w:val="14"/>
          <w:color w:val="auto"/>
        </w:rPr>
        <w:t>the year ended December 31, 1997 compared to the year ended December 31, 1996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comparable station/comparable period basis.</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Operating profit for the year ended December 31, 1997 was $12,637,000</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$10,804,000 for the year ended December 31, 1996, an increase of</w:t>
      </w:r>
    </w:p>
    <w:p>
      <w:pPr>
        <w:spacing w:after="0"/>
        <w:rPr>
          <w:sz w:val="20"/>
          <w:szCs w:val="20"/>
          <w:color w:val="auto"/>
        </w:rPr>
      </w:pPr>
      <w:r>
        <w:rPr>
          <w:rFonts w:ascii="Courier New" w:cs="Courier New" w:eastAsia="Courier New" w:hAnsi="Courier New"/>
          <w:sz w:val="14"/>
          <w:szCs w:val="14"/>
          <w:color w:val="auto"/>
        </w:rPr>
        <w:t>$1,833,000 or 17%. The improvement was primarily the result of the $10,018,000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net operating revenue, offset by the $7,167,000 increase in station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 a $364,000 or 6.6% increase in depreciation and amortization,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 $654,000 or 19.8% increase in corporate general and administrative</w:t>
      </w:r>
    </w:p>
    <w:p>
      <w:pPr>
        <w:spacing w:after="0"/>
        <w:rPr>
          <w:sz w:val="20"/>
          <w:szCs w:val="20"/>
          <w:color w:val="auto"/>
        </w:rPr>
      </w:pPr>
      <w:r>
        <w:rPr>
          <w:rFonts w:ascii="Courier New" w:cs="Courier New" w:eastAsia="Courier New" w:hAnsi="Courier New"/>
          <w:sz w:val="14"/>
          <w:szCs w:val="14"/>
          <w:color w:val="auto"/>
        </w:rPr>
        <w:t>charges. The increase in depreciation and amortization charges was principally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result of the recent acquisitions. The increase in corporate general and</w:t>
      </w:r>
    </w:p>
    <w:p>
      <w:pPr>
        <w:spacing w:after="0" w:line="237" w:lineRule="auto"/>
        <w:rPr>
          <w:sz w:val="20"/>
          <w:szCs w:val="20"/>
          <w:color w:val="auto"/>
        </w:rPr>
      </w:pPr>
      <w:r>
        <w:rPr>
          <w:rFonts w:ascii="Courier New" w:cs="Courier New" w:eastAsia="Courier New" w:hAnsi="Courier New"/>
          <w:sz w:val="15"/>
          <w:szCs w:val="15"/>
          <w:color w:val="auto"/>
        </w:rPr>
        <w:t>administrative charges was primarily attributable to deferred compensation</w:t>
      </w:r>
    </w:p>
    <w:p>
      <w:pPr>
        <w:spacing w:after="0" w:line="238" w:lineRule="auto"/>
        <w:rPr>
          <w:sz w:val="20"/>
          <w:szCs w:val="20"/>
          <w:color w:val="auto"/>
        </w:rPr>
      </w:pPr>
      <w:r>
        <w:rPr>
          <w:rFonts w:ascii="Courier New" w:cs="Courier New" w:eastAsia="Courier New" w:hAnsi="Courier New"/>
          <w:sz w:val="15"/>
          <w:szCs w:val="15"/>
          <w:color w:val="auto"/>
        </w:rPr>
        <w:t>charges of $210,000 relating to an accrued bonus to the Company's principal</w:t>
      </w:r>
    </w:p>
    <w:p>
      <w:pPr>
        <w:spacing w:after="0"/>
        <w:rPr>
          <w:sz w:val="20"/>
          <w:szCs w:val="20"/>
          <w:color w:val="auto"/>
        </w:rPr>
      </w:pPr>
      <w:r>
        <w:rPr>
          <w:rFonts w:ascii="Courier New" w:cs="Courier New" w:eastAsia="Courier New" w:hAnsi="Courier New"/>
          <w:sz w:val="14"/>
          <w:szCs w:val="14"/>
          <w:color w:val="auto"/>
        </w:rPr>
        <w:t>stockholder and approximately $50,000 pertaining to option grants primarily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local station management. The remaining increase in corporate general and</w:t>
      </w:r>
    </w:p>
    <w:p>
      <w:pPr>
        <w:spacing w:after="0" w:line="237" w:lineRule="auto"/>
        <w:rPr>
          <w:sz w:val="20"/>
          <w:szCs w:val="20"/>
          <w:color w:val="auto"/>
        </w:rPr>
      </w:pPr>
      <w:r>
        <w:rPr>
          <w:rFonts w:ascii="Courier New" w:cs="Courier New" w:eastAsia="Courier New" w:hAnsi="Courier New"/>
          <w:sz w:val="15"/>
          <w:szCs w:val="15"/>
          <w:color w:val="auto"/>
        </w:rPr>
        <w:t>administrative expenses of approximately $394,000 represents additional costs</w:t>
      </w:r>
    </w:p>
    <w:p>
      <w:pPr>
        <w:spacing w:after="0" w:line="238" w:lineRule="auto"/>
        <w:rPr>
          <w:sz w:val="20"/>
          <w:szCs w:val="20"/>
          <w:color w:val="auto"/>
        </w:rPr>
      </w:pPr>
      <w:r>
        <w:rPr>
          <w:rFonts w:ascii="Courier New" w:cs="Courier New" w:eastAsia="Courier New" w:hAnsi="Courier New"/>
          <w:sz w:val="15"/>
          <w:szCs w:val="15"/>
          <w:color w:val="auto"/>
        </w:rPr>
        <w:t>due to the growth of the Company as a result of the Company's recent</w:t>
      </w:r>
    </w:p>
    <w:p>
      <w:pPr>
        <w:spacing w:after="0"/>
        <w:rPr>
          <w:sz w:val="20"/>
          <w:szCs w:val="20"/>
          <w:color w:val="auto"/>
        </w:rPr>
      </w:pPr>
      <w:r>
        <w:rPr>
          <w:rFonts w:ascii="Courier New" w:cs="Courier New" w:eastAsia="Courier New" w:hAnsi="Courier New"/>
          <w:sz w:val="14"/>
          <w:szCs w:val="14"/>
          <w:color w:val="auto"/>
        </w:rPr>
        <w:t>acquisitions or an increase of approximately 12% in ordinary recurring expenses.</w:t>
      </w:r>
    </w:p>
    <w:p>
      <w:pPr>
        <w:spacing w:after="0" w:line="32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6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Company generated net income in the amount of approximately $4,492,000</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($0.36 per share) during the year ended December 31, 1997 compared with</w:t>
      </w:r>
    </w:p>
    <w:p>
      <w:pPr>
        <w:spacing w:after="0"/>
        <w:rPr>
          <w:sz w:val="20"/>
          <w:szCs w:val="20"/>
          <w:color w:val="auto"/>
        </w:rPr>
      </w:pPr>
      <w:r>
        <w:rPr>
          <w:rFonts w:ascii="Courier New" w:cs="Courier New" w:eastAsia="Courier New" w:hAnsi="Courier New"/>
          <w:sz w:val="14"/>
          <w:szCs w:val="14"/>
          <w:color w:val="auto"/>
        </w:rPr>
        <w:t>$3,935,000 ($0.31 per share) for the year ended December 31, 1996, an increase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approximately $557,000 or 14%. The increase in net income was principally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the $1,833,000 improvement in operating profit, offset by a $955,000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interest costs resulting primarily from an increase in borrowed</w:t>
      </w:r>
    </w:p>
    <w:p>
      <w:pPr>
        <w:spacing w:after="0" w:line="237" w:lineRule="auto"/>
        <w:rPr>
          <w:sz w:val="20"/>
          <w:szCs w:val="20"/>
          <w:color w:val="auto"/>
        </w:rPr>
      </w:pPr>
      <w:r>
        <w:rPr>
          <w:rFonts w:ascii="Courier New" w:cs="Courier New" w:eastAsia="Courier New" w:hAnsi="Courier New"/>
          <w:sz w:val="15"/>
          <w:szCs w:val="15"/>
          <w:color w:val="auto"/>
        </w:rPr>
        <w:t>funds to finance the Company's 1997 acquisitions and a $322,000 increase in</w:t>
      </w:r>
    </w:p>
    <w:p>
      <w:pPr>
        <w:spacing w:after="0"/>
        <w:rPr>
          <w:sz w:val="20"/>
          <w:szCs w:val="20"/>
          <w:color w:val="auto"/>
        </w:rPr>
      </w:pPr>
      <w:r>
        <w:rPr>
          <w:rFonts w:ascii="Courier New" w:cs="Courier New" w:eastAsia="Courier New" w:hAnsi="Courier New"/>
          <w:sz w:val="14"/>
          <w:szCs w:val="14"/>
          <w:color w:val="auto"/>
        </w:rPr>
        <w:t>income taxes directly associated with the improved operating performance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The Company's policy is generally to repay its long-term debt with excess cash on hand to reduce its financing costs. As of December 31, 1998, the Company had $70,906,000 of long-term debt (including the current portion thereof) outstanding and approximately $80,000,000 of unused borrowing capacity under the Credit Agreement (as defined below).</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On December 30, 1998 the Company amended its credit agreement (the "Credit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BankBoston, N.A.; Fleet Bank, N.A.; Summit Bank; The Bank of</w:t>
      </w:r>
    </w:p>
    <w:p>
      <w:pPr>
        <w:spacing w:after="0" w:line="237" w:lineRule="auto"/>
        <w:rPr>
          <w:sz w:val="20"/>
          <w:szCs w:val="20"/>
          <w:color w:val="auto"/>
        </w:rPr>
      </w:pPr>
      <w:r>
        <w:rPr>
          <w:rFonts w:ascii="Courier New" w:cs="Courier New" w:eastAsia="Courier New" w:hAnsi="Courier New"/>
          <w:sz w:val="15"/>
          <w:szCs w:val="15"/>
          <w:color w:val="auto"/>
        </w:rPr>
        <w:t>New York; Union Bank of California, N.A.; Bank One Indiana, N.A.; Bank of</w:t>
      </w:r>
    </w:p>
    <w:p>
      <w:pPr>
        <w:spacing w:after="0"/>
        <w:rPr>
          <w:sz w:val="20"/>
          <w:szCs w:val="20"/>
          <w:color w:val="auto"/>
        </w:rPr>
      </w:pPr>
      <w:r>
        <w:rPr>
          <w:rFonts w:ascii="Courier New" w:cs="Courier New" w:eastAsia="Courier New" w:hAnsi="Courier New"/>
          <w:sz w:val="14"/>
          <w:szCs w:val="14"/>
          <w:color w:val="auto"/>
        </w:rPr>
        <w:t>Scotland; Bank of Montreal; First National Bank of Maryland; Rabobank Nederland;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Michigan National Bank (collectively, the "Lenders"), to modify the</w:t>
      </w:r>
    </w:p>
    <w:p>
      <w:pPr>
        <w:spacing w:after="0" w:line="237" w:lineRule="auto"/>
        <w:rPr>
          <w:sz w:val="20"/>
          <w:szCs w:val="20"/>
          <w:color w:val="auto"/>
        </w:rPr>
      </w:pPr>
      <w:r>
        <w:rPr>
          <w:rFonts w:ascii="Courier New" w:cs="Courier New" w:eastAsia="Courier New" w:hAnsi="Courier New"/>
          <w:sz w:val="15"/>
          <w:szCs w:val="15"/>
          <w:color w:val="auto"/>
        </w:rPr>
        <w:t>Company's financing facilities with three facilities (the "Facilities"): a</w:t>
      </w:r>
    </w:p>
    <w:p>
      <w:pPr>
        <w:spacing w:after="0" w:line="238" w:lineRule="auto"/>
        <w:rPr>
          <w:sz w:val="20"/>
          <w:szCs w:val="20"/>
          <w:color w:val="auto"/>
        </w:rPr>
      </w:pPr>
      <w:r>
        <w:rPr>
          <w:rFonts w:ascii="Courier New" w:cs="Courier New" w:eastAsia="Courier New" w:hAnsi="Courier New"/>
          <w:sz w:val="15"/>
          <w:szCs w:val="15"/>
          <w:color w:val="auto"/>
        </w:rPr>
        <w:t>$70,000,000 senior secured term loan (the "Term Loan"), a $60,000,000 senior</w:t>
      </w:r>
    </w:p>
    <w:p>
      <w:pPr>
        <w:spacing w:after="0" w:line="237" w:lineRule="auto"/>
        <w:rPr>
          <w:sz w:val="20"/>
          <w:szCs w:val="20"/>
          <w:color w:val="auto"/>
        </w:rPr>
      </w:pPr>
      <w:r>
        <w:rPr>
          <w:rFonts w:ascii="Courier New" w:cs="Courier New" w:eastAsia="Courier New" w:hAnsi="Courier New"/>
          <w:sz w:val="15"/>
          <w:szCs w:val="15"/>
          <w:color w:val="auto"/>
        </w:rPr>
        <w:t>secured acquisition loan facility (the "Acquisition Facility"),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$20,000,000 senior secured revolving credit facility (the "Revolving Facility").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Facilities mature June 30, 2006. The Company's indebtedness under the</w:t>
      </w:r>
    </w:p>
    <w:p>
      <w:pPr>
        <w:spacing w:after="0"/>
        <w:rPr>
          <w:sz w:val="20"/>
          <w:szCs w:val="20"/>
          <w:color w:val="auto"/>
        </w:rPr>
      </w:pPr>
      <w:r>
        <w:rPr>
          <w:rFonts w:ascii="Courier New" w:cs="Courier New" w:eastAsia="Courier New" w:hAnsi="Courier New"/>
          <w:sz w:val="14"/>
          <w:szCs w:val="14"/>
          <w:color w:val="auto"/>
        </w:rPr>
        <w:t>Facilities is secured by a first priority lien on substantially all the assets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and its subsidiaries, by a pledge of its subsidiaries' stock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a guarantee of its subsidiaries.</w:t>
      </w:r>
    </w:p>
    <w:p>
      <w:pPr>
        <w:spacing w:after="0" w:line="140"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The Term Loan was used to amend the Company's existing credit agreement, pay related transaction expenses and fund the acquisitions in January, 1999. The Acquisition Facility may be used for permitted acquisitions. The Revolving Facility may be used for general corporate purposes, including working capital, capital expenditures, permitted acquisitions (to the extent that the Acquisition Facility has been fully utilized and limited to $10,000,000) and permitted stock buybacks. On December 30, 2000, the Acquisition Facility will convert to a five and a half year term loan. The outstanding amount of the Term Loan is required to be reduced quarterly in amounts ranging from 2.5% to 7.5% of the initial commitment commencing on March 31, 2001. The outstanding amount of the Acquisition Facility is required to be reduced quarterly in amounts ranging from 2.5% to 7.5% commencing on March 31, 2001. Any outstanding amount under the Revolving Facility will be due on the maturity date of June 30, 2006. In addition, the Facilities may be further reduced by specified percentages of Excess Cash Flow (as defined in the Credit Agreement) based on leverage ratios.</w:t>
      </w:r>
    </w:p>
    <w:p>
      <w:pPr>
        <w:spacing w:after="0" w:line="84" w:lineRule="exact"/>
        <w:rPr>
          <w:sz w:val="20"/>
          <w:szCs w:val="20"/>
          <w:color w:val="auto"/>
        </w:rPr>
      </w:pPr>
    </w:p>
    <w:p>
      <w:pPr>
        <w:ind w:right="3319" w:firstLine="525"/>
        <w:spacing w:after="0" w:line="280" w:lineRule="auto"/>
        <w:rPr>
          <w:sz w:val="20"/>
          <w:szCs w:val="20"/>
          <w:color w:val="auto"/>
        </w:rPr>
      </w:pPr>
      <w:r>
        <w:rPr>
          <w:rFonts w:ascii="Courier New" w:cs="Courier New" w:eastAsia="Courier New" w:hAnsi="Courier New"/>
          <w:sz w:val="14"/>
          <w:szCs w:val="14"/>
          <w:color w:val="auto"/>
        </w:rPr>
        <w:t>Interest rates under the Facilities are payable, at the Company's option, at alternatives equal to LIBOR plus 1.0% to 1.75% or the Agent bank's base rate plus 0% to .75%. The spread over LIBOR and the prime rate vary from time to time, depending upon the Company's financial leverage. The Company also pays quarterly commitment fees equal of 0.375% to 0.5% per annum on the aggregate unused portion of the Acquisition and Revolving Facilities.</w:t>
      </w:r>
    </w:p>
    <w:p>
      <w:pPr>
        <w:spacing w:after="0" w:line="6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The Credit Agreement contains a number of financial covenants which, among other things, require the Company to maintain specified financial ratios and impose certain limitations on the Company with respect to investments, additional indebtedness, dividends, distributions, guarantees, liens and encumbrances.</w:t>
      </w:r>
    </w:p>
    <w:p>
      <w:pPr>
        <w:spacing w:after="0" w:line="75"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At December 31, 1998, the Company had an interest rate swap agreement with a total notional amount of $32,000,000 that it uses to convert the variable Eurodollar interest rate of a</w:t>
      </w:r>
    </w:p>
    <w:p>
      <w:pPr>
        <w:spacing w:after="0" w:line="3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6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right="3319"/>
        <w:spacing w:after="0" w:line="266" w:lineRule="auto"/>
        <w:rPr>
          <w:sz w:val="20"/>
          <w:szCs w:val="20"/>
          <w:color w:val="auto"/>
        </w:rPr>
      </w:pPr>
      <w:r>
        <w:rPr>
          <w:rFonts w:ascii="Courier New" w:cs="Courier New" w:eastAsia="Courier New" w:hAnsi="Courier New"/>
          <w:sz w:val="14"/>
          <w:szCs w:val="14"/>
          <w:color w:val="auto"/>
        </w:rPr>
        <w:t>portion of its bank borrowings to a fixed interest rate. The swap agreement was entered into to reduce the risk to the Company of rising interest rates. In accordance with the terms of the swap agreement, dated November 21, 1995, the Company pays 6.15% calculated on a $32,000,000 notional amount. The Company receives LIBOR (5.25125% at December 31, 1998) calculated on a notional amount of $32,000,000. Net receipts or payments under the agreement are recognized as an adjustment to interest expense. The swap agreement expires in December 1999. As the LIBOR increases, interest payments received and the market value of the swap position increase. Approximately $153,000 in additional interest expense was recognized as a result of the interest rate swap agreement for the year ended December 31, 1998 and an aggregate amount of $507,000 in additional interest expense has been recognized since the inception of the agreement.</w:t>
      </w:r>
    </w:p>
    <w:p>
      <w:pPr>
        <w:spacing w:after="0" w:line="77"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During the years ended December 31, 1998, 1997 and 1996, the Company had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flows from operating activities of $12,927,000, $11,659,000, and</w:t>
      </w:r>
    </w:p>
    <w:p>
      <w:pPr>
        <w:spacing w:after="0" w:line="237" w:lineRule="auto"/>
        <w:rPr>
          <w:sz w:val="20"/>
          <w:szCs w:val="20"/>
          <w:color w:val="auto"/>
        </w:rPr>
      </w:pPr>
      <w:r>
        <w:rPr>
          <w:rFonts w:ascii="Courier New" w:cs="Courier New" w:eastAsia="Courier New" w:hAnsi="Courier New"/>
          <w:sz w:val="15"/>
          <w:szCs w:val="15"/>
          <w:color w:val="auto"/>
        </w:rPr>
        <w:t>$7,679,000, respectively. The Company believes that cash flow from operations</w:t>
      </w:r>
    </w:p>
    <w:p>
      <w:pPr>
        <w:spacing w:after="0"/>
        <w:rPr>
          <w:sz w:val="20"/>
          <w:szCs w:val="20"/>
          <w:color w:val="auto"/>
        </w:rPr>
      </w:pPr>
      <w:r>
        <w:rPr>
          <w:rFonts w:ascii="Courier New" w:cs="Courier New" w:eastAsia="Courier New" w:hAnsi="Courier New"/>
          <w:sz w:val="14"/>
          <w:szCs w:val="14"/>
          <w:color w:val="auto"/>
        </w:rPr>
        <w:t>will be sufficient to meet quarterly debt service requirements for interest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scheduled payments of principal under the Credit Agreement. If such cash flow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sufficient to meet such debt service requirements, the Company may be</w:t>
      </w:r>
    </w:p>
    <w:p>
      <w:pPr>
        <w:spacing w:after="0" w:line="237" w:lineRule="auto"/>
        <w:rPr>
          <w:sz w:val="20"/>
          <w:szCs w:val="20"/>
          <w:color w:val="auto"/>
        </w:rPr>
      </w:pPr>
      <w:r>
        <w:rPr>
          <w:rFonts w:ascii="Courier New" w:cs="Courier New" w:eastAsia="Courier New" w:hAnsi="Courier New"/>
          <w:sz w:val="15"/>
          <w:szCs w:val="15"/>
          <w:color w:val="auto"/>
        </w:rPr>
        <w:t>required to sell additional equity securities, refinance its obligations or</w:t>
      </w:r>
    </w:p>
    <w:p>
      <w:pPr>
        <w:spacing w:after="0" w:line="238" w:lineRule="auto"/>
        <w:rPr>
          <w:sz w:val="20"/>
          <w:szCs w:val="20"/>
          <w:color w:val="auto"/>
        </w:rPr>
      </w:pPr>
      <w:r>
        <w:rPr>
          <w:rFonts w:ascii="Courier New" w:cs="Courier New" w:eastAsia="Courier New" w:hAnsi="Courier New"/>
          <w:sz w:val="15"/>
          <w:szCs w:val="15"/>
          <w:color w:val="auto"/>
        </w:rPr>
        <w:t>dispose of one or more of its properties in order to make such scheduled</w:t>
      </w:r>
    </w:p>
    <w:p>
      <w:pPr>
        <w:spacing w:after="0"/>
        <w:rPr>
          <w:sz w:val="20"/>
          <w:szCs w:val="20"/>
          <w:color w:val="auto"/>
        </w:rPr>
      </w:pPr>
      <w:r>
        <w:rPr>
          <w:rFonts w:ascii="Courier New" w:cs="Courier New" w:eastAsia="Courier New" w:hAnsi="Courier New"/>
          <w:sz w:val="14"/>
          <w:szCs w:val="14"/>
          <w:color w:val="auto"/>
        </w:rPr>
        <w:t>payments. There can be no assurance that the Company would be able to effect 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transactions on favorable terms.</w:t>
      </w:r>
    </w:p>
    <w:p>
      <w:pPr>
        <w:spacing w:after="0" w:line="140"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On March 14, 1997, the Company acquired an FM radio station (KAZR-FM) serving the Des Moines, Iowa market for approximately $2,700,000. The Company began operating the radio station under the terms of a local market agreement on August 1, 1996, which remained in effect until the acquisition.</w:t>
      </w:r>
    </w:p>
    <w:p>
      <w:pPr>
        <w:spacing w:after="0" w:line="68"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On April 17, 1997, the Company acquired an FM radio station (KLTI-FM) serving the Des Moines, Iowa market for approximately $3,200,000. The Company began operating the radio station under the terms of a local market agreement on January 1, 1997, which remained in effect until the acquisition.</w:t>
      </w:r>
    </w:p>
    <w:p>
      <w:pPr>
        <w:spacing w:after="0" w:line="68" w:lineRule="exact"/>
        <w:rPr>
          <w:sz w:val="20"/>
          <w:szCs w:val="20"/>
          <w:color w:val="auto"/>
        </w:rPr>
      </w:pPr>
    </w:p>
    <w:p>
      <w:pPr>
        <w:jc w:val="both"/>
        <w:ind w:right="3679" w:firstLine="525"/>
        <w:spacing w:after="0" w:line="287" w:lineRule="auto"/>
        <w:rPr>
          <w:sz w:val="20"/>
          <w:szCs w:val="20"/>
          <w:color w:val="auto"/>
        </w:rPr>
      </w:pPr>
      <w:r>
        <w:rPr>
          <w:rFonts w:ascii="Courier New" w:cs="Courier New" w:eastAsia="Courier New" w:hAnsi="Courier New"/>
          <w:sz w:val="14"/>
          <w:szCs w:val="14"/>
          <w:color w:val="auto"/>
        </w:rPr>
        <w:t>On May 5, 1997, the Company acquired two AM and two FM radio stations (WTAX-AM, WDBR-FM, WVAX-AM, and WYXY-FM) serving the Springfield, Illinois market for approximately $6,000,000. The Company began operating the radio stations under the terms of a local market agreement on July 1, 1996, which remained in effect until the acquisition.</w:t>
      </w:r>
    </w:p>
    <w:p>
      <w:pPr>
        <w:spacing w:after="0" w:line="61" w:lineRule="exact"/>
        <w:rPr>
          <w:sz w:val="20"/>
          <w:szCs w:val="20"/>
          <w:color w:val="auto"/>
        </w:rPr>
      </w:pPr>
    </w:p>
    <w:p>
      <w:pPr>
        <w:ind w:right="3399" w:firstLine="525"/>
        <w:spacing w:after="0" w:line="381" w:lineRule="auto"/>
        <w:rPr>
          <w:sz w:val="20"/>
          <w:szCs w:val="20"/>
          <w:color w:val="auto"/>
        </w:rPr>
      </w:pPr>
      <w:r>
        <w:rPr>
          <w:rFonts w:ascii="Courier New" w:cs="Courier New" w:eastAsia="Courier New" w:hAnsi="Courier New"/>
          <w:sz w:val="14"/>
          <w:szCs w:val="14"/>
          <w:color w:val="auto"/>
        </w:rPr>
        <w:t>On May 9, 1997, the Company acquired two FM radio stations (WFMR-FM and WPNT-FM) serving the Milwaukee, Wisconsin market for approximately $5,000,000.</w:t>
      </w:r>
    </w:p>
    <w:p>
      <w:pPr>
        <w:spacing w:after="0" w:line="1" w:lineRule="exact"/>
        <w:rPr>
          <w:sz w:val="20"/>
          <w:szCs w:val="20"/>
          <w:color w:val="auto"/>
        </w:rPr>
      </w:pPr>
    </w:p>
    <w:p>
      <w:pPr>
        <w:ind w:right="3399" w:firstLine="525"/>
        <w:spacing w:after="0" w:line="298" w:lineRule="auto"/>
        <w:rPr>
          <w:sz w:val="20"/>
          <w:szCs w:val="20"/>
          <w:color w:val="auto"/>
        </w:rPr>
      </w:pPr>
      <w:r>
        <w:rPr>
          <w:rFonts w:ascii="Courier New" w:cs="Courier New" w:eastAsia="Courier New" w:hAnsi="Courier New"/>
          <w:sz w:val="14"/>
          <w:szCs w:val="14"/>
          <w:color w:val="auto"/>
        </w:rPr>
        <w:t>On November 18, 1997, the Company acquired an FM radio station (WQLL-FM) serving the Manchester, New Hampshire market for approximately $3,400,000. The Company began operating the radio station under the terms of a local market agreement on July 1, 1997, which remained in effect until the acquisition.</w:t>
      </w:r>
    </w:p>
    <w:p>
      <w:pPr>
        <w:spacing w:after="0" w:line="53"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On November 25,1997, the Company acquired a regional and state news and sports information network (The Illinois Radio Network) for approximately $1,750,000.</w:t>
      </w:r>
    </w:p>
    <w:p>
      <w:pPr>
        <w:spacing w:after="0" w:line="57" w:lineRule="exact"/>
        <w:rPr>
          <w:sz w:val="20"/>
          <w:szCs w:val="20"/>
          <w:color w:val="auto"/>
        </w:rPr>
      </w:pPr>
    </w:p>
    <w:p>
      <w:pPr>
        <w:ind w:right="4099" w:firstLine="525"/>
        <w:spacing w:after="0" w:line="344" w:lineRule="auto"/>
        <w:rPr>
          <w:sz w:val="20"/>
          <w:szCs w:val="20"/>
          <w:color w:val="auto"/>
        </w:rPr>
      </w:pPr>
      <w:r>
        <w:rPr>
          <w:rFonts w:ascii="Courier New" w:cs="Courier New" w:eastAsia="Courier New" w:hAnsi="Courier New"/>
          <w:sz w:val="15"/>
          <w:szCs w:val="15"/>
          <w:color w:val="auto"/>
        </w:rPr>
        <w:t>The 1997 acquisitions were financed through funds generated from operations and additional borrowings of $11,250,000.</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On March 30, 1998 the Company acquired a regional and state news and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sports information network (The Michigan Radio Network) for approximately</w:t>
      </w:r>
    </w:p>
    <w:p>
      <w:pPr>
        <w:spacing w:after="0" w:line="237" w:lineRule="auto"/>
        <w:rPr>
          <w:sz w:val="20"/>
          <w:szCs w:val="20"/>
          <w:color w:val="auto"/>
        </w:rPr>
      </w:pPr>
      <w:r>
        <w:rPr>
          <w:rFonts w:ascii="Courier New" w:cs="Courier New" w:eastAsia="Courier New" w:hAnsi="Courier New"/>
          <w:sz w:val="15"/>
          <w:szCs w:val="15"/>
          <w:color w:val="auto"/>
        </w:rPr>
        <w:t>$1,100,000 including, approximately $234,000 of the Company's class A common</w:t>
      </w:r>
    </w:p>
    <w:p>
      <w:pPr>
        <w:spacing w:after="0" w:line="238" w:lineRule="auto"/>
        <w:rPr>
          <w:sz w:val="20"/>
          <w:szCs w:val="20"/>
          <w:color w:val="auto"/>
        </w:rPr>
      </w:pPr>
      <w:r>
        <w:rPr>
          <w:rFonts w:ascii="Courier New" w:cs="Courier New" w:eastAsia="Courier New" w:hAnsi="Courier New"/>
          <w:sz w:val="15"/>
          <w:szCs w:val="15"/>
          <w:color w:val="auto"/>
        </w:rPr>
        <w:t>stock. The acquisition is subject to certain adjustments,, based on operating</w:t>
      </w:r>
    </w:p>
    <w:p>
      <w:pPr>
        <w:spacing w:after="0" w:line="237" w:lineRule="auto"/>
        <w:rPr>
          <w:sz w:val="20"/>
          <w:szCs w:val="20"/>
          <w:color w:val="auto"/>
        </w:rPr>
      </w:pPr>
      <w:r>
        <w:rPr>
          <w:rFonts w:ascii="Courier New" w:cs="Courier New" w:eastAsia="Courier New" w:hAnsi="Courier New"/>
          <w:sz w:val="15"/>
          <w:szCs w:val="15"/>
          <w:color w:val="auto"/>
        </w:rPr>
        <w:t>performance levels, that could result in an additional acquisition amount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$450,000 payable in shares of the Company's Class A Common Stock.</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6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On June 17, 1998 the Company acquired 50% of the outstanding stock of Finn Midill, ehf., an Icelandic corporation which owns six FM radio stations serving Reykjavik, Iceland, for approximately $1,100,000. The investment is accounted for using the equity method. Additionally, the Company loaned approximately $570,000 to Finn Midill, ehf. which accrues interest at 7.5% plus an inflationary index, and is to be repaid in June, 2001. As of December 31, 1998, the Company has loaned an additional $1,540,000 to Finn Midill, ehf. for working capital needs; this loan is non interest bearing.</w:t>
      </w:r>
    </w:p>
    <w:p>
      <w:pPr>
        <w:spacing w:after="0" w:line="86" w:lineRule="exact"/>
        <w:rPr>
          <w:sz w:val="20"/>
          <w:szCs w:val="20"/>
          <w:color w:val="auto"/>
        </w:rPr>
      </w:pPr>
    </w:p>
    <w:p>
      <w:pPr>
        <w:ind w:right="3759" w:firstLine="525"/>
        <w:spacing w:after="0" w:line="290" w:lineRule="auto"/>
        <w:rPr>
          <w:sz w:val="20"/>
          <w:szCs w:val="20"/>
          <w:color w:val="auto"/>
        </w:rPr>
      </w:pPr>
      <w:r>
        <w:rPr>
          <w:rFonts w:ascii="Courier New" w:cs="Courier New" w:eastAsia="Courier New" w:hAnsi="Courier New"/>
          <w:sz w:val="15"/>
          <w:szCs w:val="15"/>
          <w:color w:val="auto"/>
        </w:rPr>
        <w:t>On December 1, 1998, the Company acquired an AM and FM radio station (KGMI-AM and KISM-FM) serving the Bellingham, Washington market for approximately $8,000,000.</w:t>
      </w:r>
    </w:p>
    <w:p>
      <w:pPr>
        <w:spacing w:after="0" w:line="57" w:lineRule="exact"/>
        <w:rPr>
          <w:sz w:val="20"/>
          <w:szCs w:val="20"/>
          <w:color w:val="auto"/>
        </w:rPr>
      </w:pPr>
    </w:p>
    <w:p>
      <w:pPr>
        <w:ind w:right="3239" w:firstLine="525"/>
        <w:spacing w:after="0" w:line="381" w:lineRule="auto"/>
        <w:rPr>
          <w:sz w:val="20"/>
          <w:szCs w:val="20"/>
          <w:color w:val="auto"/>
        </w:rPr>
      </w:pPr>
      <w:r>
        <w:rPr>
          <w:rFonts w:ascii="Courier New" w:cs="Courier New" w:eastAsia="Courier New" w:hAnsi="Courier New"/>
          <w:sz w:val="14"/>
          <w:szCs w:val="14"/>
          <w:color w:val="auto"/>
        </w:rPr>
        <w:t>The 1998 acquisitions and investment were financed through funds generated from operations and additional borrowings of $12,287,000 under the Term Loan.</w:t>
      </w:r>
    </w:p>
    <w:p>
      <w:pPr>
        <w:spacing w:after="0" w:line="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On July 7, 1998, the Company entered into an agreement to purchase KAVU-TV (an ABC affiliate) and a low power Univision affiliate, serving the Victoria, Texas market for approximately $11,875,000, including approximately $2,000,000 of the Company's Class A common stock. The Company will also assume an existing Local Marketing Agreement for KVCT-TV (a Fox affiliate). The transaction is subject to the approval of the Federal Communications Commission and is expected to close during the second quarter of 1999.</w:t>
      </w:r>
    </w:p>
    <w:p>
      <w:pPr>
        <w:spacing w:after="0" w:line="82"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On September 21, 1998, the Company signed a letter of intent to purchase a regional and state farm information network (The Michigan Farm Radio Network) for approximately $1,750,000, including approximately $1,125,000 of the Company's Class A common stock. The Company closed on this transaction in January, 1999.</w:t>
      </w:r>
    </w:p>
    <w:p>
      <w:pPr>
        <w:spacing w:after="0" w:line="75"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On October 22, 1998, the Company entered into an agreement to purchase an AM and FM radio station (KAFE-FM and KPUG-AM) serving the Bellingham, Washington market for approximately $6,000,000. The Company closed on this transaction in January, 1999.</w:t>
      </w:r>
    </w:p>
    <w:p>
      <w:pPr>
        <w:spacing w:after="0" w:line="68"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On December 2, 1998, the Company entered into an agreement to purchase an AM radio station (KBFW-AM) serving the Bellingham, Washington market for approximately $1,000,000. The transaction is subject to the approval of the Federal Communications Commission and is expected to close during the second quarter of 1999.</w:t>
      </w:r>
    </w:p>
    <w:p>
      <w:pPr>
        <w:spacing w:after="0" w:line="75"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In February, 1999 the Company entered into an agreement to purchase WXVT TV (a CBS affiliate), serving the Greenville, Mississippi market for approximately $5,200,000, including approximately $600,000 of the Company's Class A common stock. The transaction is subject to the approval of the Federal Communications Commission and is expected to close during the third quarter of 1999.</w:t>
      </w:r>
    </w:p>
    <w:p>
      <w:pPr>
        <w:spacing w:after="0" w:line="81" w:lineRule="exact"/>
        <w:rPr>
          <w:sz w:val="20"/>
          <w:szCs w:val="20"/>
          <w:color w:val="auto"/>
        </w:rPr>
      </w:pPr>
    </w:p>
    <w:p>
      <w:pPr>
        <w:ind w:right="3499" w:firstLine="525"/>
        <w:spacing w:after="0" w:line="264" w:lineRule="auto"/>
        <w:rPr>
          <w:sz w:val="20"/>
          <w:szCs w:val="20"/>
          <w:color w:val="auto"/>
        </w:rPr>
      </w:pPr>
      <w:r>
        <w:rPr>
          <w:rFonts w:ascii="Courier New" w:cs="Courier New" w:eastAsia="Courier New" w:hAnsi="Courier New"/>
          <w:sz w:val="15"/>
          <w:szCs w:val="15"/>
          <w:color w:val="auto"/>
        </w:rPr>
        <w:t>The Company anticipates that the above and any future acquisitions of radio and television stations will be financed through funds generated from operations, borrowings under the Credit Agreement, additional debt or equity financing, or a combination thereof. However, there can be no assurances that any such financing will be available.</w:t>
      </w:r>
    </w:p>
    <w:p>
      <w:pPr>
        <w:spacing w:after="0" w:line="75"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The Company's capital expenditures for the year ended December 31, 1998 were approximately $3,003,000 ($2,758,000 in 1997). The Company anticipates capital expenditures in 1998 to be approximately $3,000,000, which it expects to finance through funds generated from operations or additional borrowings under the Credit Agreement.</w:t>
      </w:r>
    </w:p>
    <w:p>
      <w:pPr>
        <w:spacing w:after="0" w:line="2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6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 AND RISK MANAGEMENT POLICIES</w:t>
      </w:r>
    </w:p>
    <w:p>
      <w:pPr>
        <w:spacing w:after="0" w:line="166"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The Company's earnings are affected by changes in short-term interest rates as a result of its long-term debt arrangements. However, due to its purchase of an interest rate swap agreement, the effects of interest rate changes are limited. If market interest rates averaged 1% more in 1998 than they did during 1997, the Company's interest expense, after considering the effect of its interest rate swap agreement, would increase and income before taxes would decrease by $296,000. These amounts are determined by considering the impact of the hypothetical interest rates on the Company's borrowing cost, short-term investment balances, and interest rate swap agreements. This analysis does not consider the effects of the reduced level of overall economic activity that could exist in such an environment. Further, in the event of a change of such magnitude, management would likely take actions to further mitigate its exposure to the change. However, due to the uncertainty of the specific actions that would be taken and their possible effects, the sensitivity analysis assumes no changes in the Company's financial structure.</w:t>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YEAR 2000</w:t>
      </w:r>
    </w:p>
    <w:p>
      <w:pPr>
        <w:spacing w:after="0" w:line="166"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The Year 2000 Issue ("Y2K") is the result of computer programs being written using two digits rather than four to define the applicable year. Any of the Company's computer programs or hardware that have date-sensitive software or embedded chips may recognize a date using "00" as the year 1900 rather than the year 2000. This could result in a system failure or miscalculations causing disruptions of operations, including, among other things, a temporary inability to produce broadcast signals, process financial transactions, or engage in similar normal business activities.</w:t>
      </w:r>
    </w:p>
    <w:p>
      <w:pPr>
        <w:spacing w:after="0" w:line="86" w:lineRule="exact"/>
        <w:rPr>
          <w:sz w:val="20"/>
          <w:szCs w:val="20"/>
          <w:color w:val="auto"/>
        </w:rPr>
      </w:pPr>
    </w:p>
    <w:p>
      <w:pPr>
        <w:ind w:right="3399" w:firstLine="525"/>
        <w:spacing w:after="0" w:line="276" w:lineRule="auto"/>
        <w:rPr>
          <w:sz w:val="20"/>
          <w:szCs w:val="20"/>
          <w:color w:val="auto"/>
        </w:rPr>
      </w:pPr>
      <w:r>
        <w:rPr>
          <w:rFonts w:ascii="Courier New" w:cs="Courier New" w:eastAsia="Courier New" w:hAnsi="Courier New"/>
          <w:sz w:val="14"/>
          <w:szCs w:val="14"/>
          <w:color w:val="auto"/>
        </w:rPr>
        <w:t>Based on recent assessments, the Company has determined that it will be required to modify or replace portions of its software and certain hardware so that those systems will properly utilize dates beyond December 31, 1999. The Company presently believes that with modifications or replacements of existing software and certain hardware, Y2K can be mitigated. However, if such modifications and replacements are not made, or are not timely completed, Y2K could have a material impact on the operations of the Company.</w:t>
      </w:r>
    </w:p>
    <w:p>
      <w:pPr>
        <w:spacing w:after="0" w:line="69"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The Company's plan to resolve Y2K involves the following four phases: assessment, remediation, testing, and implementation. To date, the Company has substantially completed its assessment of all systems that could be significantly affected by Y2K. The assessment indicated that some significant financial and operational systems could be affected by Y2K, including: i) accounting and financial reporting systems, ii) broadcast studio equipment and software necessary to deliver programming, iii) certain computer hardware not capable of recognizing a four digit code for the applicable year, iv) certain traffic and billing software, and v) certain local area networks. The assessment phase will be completed in the first quarter of 1999. The Company is also assessing the potential external risks associated with Y2K, including Y2K compliance status of its significant external agents. To date the Company is not aware of any external agent with a Y2K issue that would materially impact the Company's result of operations, liquidity or capital resources. However, the Company has no means of ensuring that external agents will be Y2K compliant. The inability of external agents to complete their Y2K resolution process in a timely fashion could materially impact the Company. The effect of non-compliance by external agents is not determinable.</w:t>
      </w:r>
    </w:p>
    <w:p>
      <w:pPr>
        <w:spacing w:after="0" w:line="99" w:lineRule="exact"/>
        <w:rPr>
          <w:sz w:val="20"/>
          <w:szCs w:val="20"/>
          <w:color w:val="auto"/>
        </w:rPr>
      </w:pPr>
    </w:p>
    <w:p>
      <w:pPr>
        <w:ind w:right="3319" w:firstLine="525"/>
        <w:spacing w:after="0" w:line="280" w:lineRule="auto"/>
        <w:rPr>
          <w:sz w:val="20"/>
          <w:szCs w:val="20"/>
          <w:color w:val="auto"/>
        </w:rPr>
      </w:pPr>
      <w:r>
        <w:rPr>
          <w:rFonts w:ascii="Courier New" w:cs="Courier New" w:eastAsia="Courier New" w:hAnsi="Courier New"/>
          <w:sz w:val="14"/>
          <w:szCs w:val="14"/>
          <w:color w:val="auto"/>
        </w:rPr>
        <w:t>The Company's remediation phase is to replace or upgrade to Y2K compliant software and hardware if applicable for related systems based upon its findings during the assessment phase. The Company anticipates completing this phase no later than June 30, 1999. The Company's testing and implementation phases will run concurrently for certain systems. Completion of the testing phase for all significant systems is expected by September 30, 1999.</w:t>
      </w:r>
    </w:p>
    <w:p>
      <w:pPr>
        <w:spacing w:after="0" w:line="2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6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Company will utilize both internal and external resources to replace,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upgrade, test and implement the software and operating equipment for Y2K</w:t>
      </w:r>
    </w:p>
    <w:p>
      <w:pPr>
        <w:spacing w:after="0" w:line="237" w:lineRule="auto"/>
        <w:rPr>
          <w:sz w:val="20"/>
          <w:szCs w:val="20"/>
          <w:color w:val="auto"/>
        </w:rPr>
      </w:pPr>
      <w:r>
        <w:rPr>
          <w:rFonts w:ascii="Courier New" w:cs="Courier New" w:eastAsia="Courier New" w:hAnsi="Courier New"/>
          <w:sz w:val="15"/>
          <w:szCs w:val="15"/>
          <w:color w:val="auto"/>
        </w:rPr>
        <w:t>modifications. The total Y2K project cost is estimated at approximately</w:t>
      </w:r>
    </w:p>
    <w:p>
      <w:pPr>
        <w:spacing w:after="0" w:line="238" w:lineRule="auto"/>
        <w:rPr>
          <w:sz w:val="20"/>
          <w:szCs w:val="20"/>
          <w:color w:val="auto"/>
        </w:rPr>
      </w:pPr>
      <w:r>
        <w:rPr>
          <w:rFonts w:ascii="Courier New" w:cs="Courier New" w:eastAsia="Courier New" w:hAnsi="Courier New"/>
          <w:sz w:val="15"/>
          <w:szCs w:val="15"/>
          <w:color w:val="auto"/>
        </w:rPr>
        <w:t>$500,000, which includes the cost of new software and hardware, most of which</w:t>
      </w:r>
    </w:p>
    <w:p>
      <w:pPr>
        <w:spacing w:after="0" w:line="237" w:lineRule="auto"/>
        <w:rPr>
          <w:sz w:val="20"/>
          <w:szCs w:val="20"/>
          <w:color w:val="auto"/>
        </w:rPr>
      </w:pPr>
      <w:r>
        <w:rPr>
          <w:rFonts w:ascii="Courier New" w:cs="Courier New" w:eastAsia="Courier New" w:hAnsi="Courier New"/>
          <w:sz w:val="15"/>
          <w:szCs w:val="15"/>
          <w:color w:val="auto"/>
        </w:rPr>
        <w:t>will be capitalized. The project is estimated to be completed not later than</w:t>
      </w:r>
    </w:p>
    <w:p>
      <w:pPr>
        <w:spacing w:after="0" w:line="238" w:lineRule="auto"/>
        <w:rPr>
          <w:sz w:val="20"/>
          <w:szCs w:val="20"/>
          <w:color w:val="auto"/>
        </w:rPr>
      </w:pPr>
      <w:r>
        <w:rPr>
          <w:rFonts w:ascii="Courier New" w:cs="Courier New" w:eastAsia="Courier New" w:hAnsi="Courier New"/>
          <w:sz w:val="15"/>
          <w:szCs w:val="15"/>
          <w:color w:val="auto"/>
        </w:rPr>
        <w:t>September 30, 1999, which is prior to any anticipated impact on its operating</w:t>
      </w:r>
    </w:p>
    <w:p>
      <w:pPr>
        <w:spacing w:after="0"/>
        <w:rPr>
          <w:sz w:val="20"/>
          <w:szCs w:val="20"/>
          <w:color w:val="auto"/>
        </w:rPr>
      </w:pPr>
      <w:r>
        <w:rPr>
          <w:rFonts w:ascii="Courier New" w:cs="Courier New" w:eastAsia="Courier New" w:hAnsi="Courier New"/>
          <w:sz w:val="14"/>
          <w:szCs w:val="14"/>
          <w:color w:val="auto"/>
        </w:rPr>
        <w:t>systems. The Company believes that with modifications to existing software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conversions to new software, Y2K will not pose significant operational problems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its computer systems. However, if such modifications and conversions are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or are not completed timely, Y2K could have a material impact on the</w:t>
      </w:r>
    </w:p>
    <w:p>
      <w:pPr>
        <w:spacing w:after="0"/>
        <w:rPr>
          <w:sz w:val="20"/>
          <w:szCs w:val="20"/>
          <w:color w:val="auto"/>
        </w:rPr>
      </w:pPr>
      <w:r>
        <w:rPr>
          <w:rFonts w:ascii="Courier New" w:cs="Courier New" w:eastAsia="Courier New" w:hAnsi="Courier New"/>
          <w:sz w:val="15"/>
          <w:szCs w:val="15"/>
          <w:color w:val="auto"/>
        </w:rPr>
        <w:t>operations of the Company.</w:t>
      </w:r>
    </w:p>
    <w:p>
      <w:pPr>
        <w:spacing w:after="0" w:line="140"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The cost of the project and the date on which the Company believes it will complete the Year 2000 modifications are based on management's best estimates, which were derived utilizing numerous assumptions of future events, including the continued availability of certain resources and other factors. However, there can be no guarantee that these estimates will be achieved and actual results could differ materially from those anticipated. Specific factors that might cause such material differences include, but are not limited to, the availability and cost of personnel trained in this area, the ability to locate and correct all relevant computer codes, and similar uncertainties.</w:t>
      </w:r>
    </w:p>
    <w:p>
      <w:pPr>
        <w:spacing w:after="0" w:line="76"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Management of the Company believes it has an effective program in place to resolve the Y2K issue in a timely manner. As noted above, the Company has not yet completed all necessary phases of the Y2K program. In the event that the Company does not complete any additional phases, the Company could experience disruptions in its operations, including among other things a temporary inability to process financial transactions, deliver broadcast programming, or engage in normal operational and business activities. In addition, disruptions in the economy generally resulting from Y2K issues could also materially adversely affect the Company. The Company could be subject to litigation for computer systems failure, equipment shutdown or failure to properly date business records. The amount of potential liability and lost revenue cannot be reasonably estimated at this time.</w:t>
      </w:r>
    </w:p>
    <w:p>
      <w:pPr>
        <w:spacing w:after="0" w:line="88"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The Company has contingency plans for certain critical applications and is working on such plans for others. These contingency plans involve, among other actions manual work arounds and adjusting staffing strategies.</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66"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The impact of inflation on the Company's operations has not been significant to date. There can be no assurance that a high rate of inflation in the future would not have an adverse effect on the Company's operations.</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66" w:lineRule="exact"/>
        <w:rPr>
          <w:sz w:val="20"/>
          <w:szCs w:val="20"/>
          <w:color w:val="auto"/>
        </w:rPr>
      </w:pPr>
    </w:p>
    <w:p>
      <w:pPr>
        <w:ind w:right="3239" w:firstLine="525"/>
        <w:spacing w:after="0" w:line="246" w:lineRule="auto"/>
        <w:rPr>
          <w:sz w:val="20"/>
          <w:szCs w:val="20"/>
          <w:color w:val="auto"/>
        </w:rPr>
      </w:pPr>
      <w:r>
        <w:rPr>
          <w:rFonts w:ascii="Courier New" w:cs="Courier New" w:eastAsia="Courier New" w:hAnsi="Courier New"/>
          <w:sz w:val="15"/>
          <w:szCs w:val="15"/>
          <w:color w:val="auto"/>
        </w:rPr>
        <w:t>Statements contained in this Form 10-K that are not historical facts are forward-looking statements that are made pursuant to the safe harbor provisions of the Private Securities Litigation Reform Act of 1995. In addition, when used in this Form 10-K words such as "believes," "anticipates," "expects," and similar expressions are intended to identify forward looking statements. The Company cautions that a number of important factors could cause the Company's actual results for 1999 and beyond to differ materially from those expressed in any forward looking statements made by or on behalf of the Company. Forward looking statements involve a number of risks and uncertainties including, but not limited to, the Company's financial leverage and debt service requirements, dependence on key personnel, dependence on key stations, U.S. and local economic conditions, the successful integration of acquired stations, and regulatory matters. The</w:t>
      </w:r>
    </w:p>
    <w:p>
      <w:pPr>
        <w:spacing w:after="0" w:line="200" w:lineRule="exact"/>
        <w:rPr>
          <w:sz w:val="20"/>
          <w:szCs w:val="20"/>
          <w:color w:val="auto"/>
        </w:rPr>
      </w:pPr>
    </w:p>
    <w:p>
      <w:pPr>
        <w:spacing w:after="0" w:line="3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6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Company cannot assure that it will be able to anticipate or respond timely to changes in any of the factors listed above, which could adversely affect the operating results in one or more fiscal quarters. Results of operations in any past period should not be considered, in and of itself, indicative of the results to be expected for future periods. Fluctuations in operating results may also result in fluctuations in the price of the Company's stock. See "Business - Forward Looking Statements: Risk Factors".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66"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Information appearing under the caption "Market Risk and Risk Management Policies" in Item 7 is hereby incorporated by reference.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6"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The financial statements attached hereto are filed as part of this annual report.</w:t>
      </w:r>
    </w:p>
    <w:p>
      <w:pPr>
        <w:spacing w:after="0" w:line="186" w:lineRule="exact"/>
        <w:rPr>
          <w:sz w:val="20"/>
          <w:szCs w:val="20"/>
          <w:color w:val="auto"/>
        </w:rPr>
      </w:pPr>
    </w:p>
    <w:p>
      <w:pPr>
        <w:ind w:left="700" w:right="4019" w:hanging="699"/>
        <w:spacing w:after="0" w:line="34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66" w:lineRule="exact"/>
        <w:rPr>
          <w:sz w:val="20"/>
          <w:szCs w:val="20"/>
          <w:color w:val="auto"/>
        </w:rPr>
      </w:pPr>
    </w:p>
    <w:p>
      <w:pPr>
        <w:ind w:right="3319" w:firstLine="700"/>
        <w:spacing w:after="0" w:line="264" w:lineRule="auto"/>
        <w:rPr>
          <w:sz w:val="20"/>
          <w:szCs w:val="20"/>
          <w:color w:val="auto"/>
        </w:rPr>
      </w:pPr>
      <w:r>
        <w:rPr>
          <w:rFonts w:ascii="Courier New" w:cs="Courier New" w:eastAsia="Courier New" w:hAnsi="Courier New"/>
          <w:sz w:val="15"/>
          <w:szCs w:val="15"/>
          <w:color w:val="auto"/>
        </w:rPr>
        <w:t>"Election of Directors" and "Compensation of Directors and Officers - Section 16(a) Beneficial Ownership Reporting Compliance" in the Company's Proxy Statement for the 1999 Annual Meeting of Stockholders to be filed with the Securities and Exchange Commission on or before April 30, 1999 are hereby incorporated by reference herein.</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66" w:lineRule="exact"/>
        <w:rPr>
          <w:sz w:val="20"/>
          <w:szCs w:val="20"/>
          <w:color w:val="auto"/>
        </w:rPr>
      </w:pPr>
    </w:p>
    <w:p>
      <w:pPr>
        <w:ind w:right="3399" w:firstLine="700"/>
        <w:spacing w:after="0" w:line="258" w:lineRule="auto"/>
        <w:rPr>
          <w:sz w:val="20"/>
          <w:szCs w:val="20"/>
          <w:color w:val="auto"/>
        </w:rPr>
      </w:pPr>
      <w:r>
        <w:rPr>
          <w:rFonts w:ascii="Courier New" w:cs="Courier New" w:eastAsia="Courier New" w:hAnsi="Courier New"/>
          <w:sz w:val="15"/>
          <w:szCs w:val="15"/>
          <w:color w:val="auto"/>
        </w:rPr>
        <w:t>"Compensation of Directors and Officers" in the Company's Proxy Statement for the 1999 Annual Meeting of Stockholders to be filed with the Securities and Exchange Commission on or before April 30, 1998 is hereby incorporated by reference herein. Such incorporation by reference shall not be deemed to specifically incorporate by reference the information referred to in Item 402(a)(8) of Regulation S-K.</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66" w:lineRule="exact"/>
        <w:rPr>
          <w:sz w:val="20"/>
          <w:szCs w:val="20"/>
          <w:color w:val="auto"/>
        </w:rPr>
      </w:pPr>
    </w:p>
    <w:p>
      <w:pPr>
        <w:ind w:right="3239" w:firstLine="700"/>
        <w:spacing w:after="0" w:line="273" w:lineRule="auto"/>
        <w:rPr>
          <w:sz w:val="20"/>
          <w:szCs w:val="20"/>
          <w:color w:val="auto"/>
        </w:rPr>
      </w:pPr>
      <w:r>
        <w:rPr>
          <w:rFonts w:ascii="Courier New" w:cs="Courier New" w:eastAsia="Courier New" w:hAnsi="Courier New"/>
          <w:sz w:val="15"/>
          <w:szCs w:val="15"/>
          <w:color w:val="auto"/>
        </w:rPr>
        <w:t>"Security Ownership of Certain Beneficial Owners and Management" in the Company's Proxy Statement for the 1999 Annual Meeting of Stockholders to be filed with the Securities and Exchange Commission on or before April 30, 1999 is hereby incorporated by reference herein.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6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ind w:right="3499" w:firstLine="787"/>
        <w:spacing w:after="0" w:line="273" w:lineRule="auto"/>
        <w:rPr>
          <w:sz w:val="20"/>
          <w:szCs w:val="20"/>
          <w:color w:val="auto"/>
        </w:rPr>
      </w:pPr>
      <w:r>
        <w:rPr>
          <w:rFonts w:ascii="Courier New" w:cs="Courier New" w:eastAsia="Courier New" w:hAnsi="Courier New"/>
          <w:sz w:val="15"/>
          <w:szCs w:val="15"/>
          <w:color w:val="auto"/>
        </w:rPr>
        <w:t>"Certain Transactions" in the Company's Proxy Statement for the 1999 Annual Meeting of Stockholders to be filed with the Securities and Exchange Commission on or before April 30, 1999 is hereby incorporated by reference herein.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80" w:type="dxa"/>
            <w:vAlign w:val="bottom"/>
          </w:tcPr>
          <w:p>
            <w:pPr>
              <w:ind w:left="920"/>
              <w:spacing w:after="0"/>
              <w:rPr>
                <w:sz w:val="20"/>
                <w:szCs w:val="20"/>
                <w:color w:val="auto"/>
              </w:rPr>
            </w:pPr>
            <w:r>
              <w:rPr>
                <w:rFonts w:ascii="Courier New" w:cs="Courier New" w:eastAsia="Courier New" w:hAnsi="Courier New"/>
                <w:sz w:val="15"/>
                <w:szCs w:val="15"/>
                <w:color w:val="auto"/>
              </w:rPr>
              <w:t>PART IV</w:t>
            </w:r>
          </w:p>
        </w:tc>
      </w:tr>
      <w:tr>
        <w:trPr>
          <w:trHeight w:val="336"/>
        </w:trPr>
        <w:tc>
          <w:tcPr>
            <w:tcW w:w="7000" w:type="dxa"/>
            <w:vAlign w:val="bottom"/>
            <w:gridSpan w:val="4"/>
          </w:tcPr>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1.</w:t>
            </w: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FINANCIAL STATEMENTS</w:t>
            </w:r>
          </w:p>
        </w:tc>
      </w:tr>
      <w:tr>
        <w:trPr>
          <w:trHeight w:val="259"/>
        </w:trPr>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The financial statements attached hereto pursuant to Item 8</w:t>
            </w:r>
          </w:p>
        </w:tc>
      </w:tr>
      <w:tr>
        <w:trPr>
          <w:trHeight w:val="245"/>
        </w:trPr>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hereof are filed as part of this annual report.</w:t>
            </w:r>
          </w:p>
        </w:tc>
      </w:tr>
      <w:tr>
        <w:trPr>
          <w:trHeight w:val="336"/>
        </w:trPr>
        <w:tc>
          <w:tcPr>
            <w:tcW w:w="800" w:type="dxa"/>
            <w:vAlign w:val="bottom"/>
          </w:tcPr>
          <w:p>
            <w:pPr>
              <w:spacing w:after="0"/>
              <w:rPr>
                <w:sz w:val="24"/>
                <w:szCs w:val="24"/>
                <w:color w:val="auto"/>
              </w:rPr>
            </w:pPr>
          </w:p>
        </w:tc>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2.</w:t>
            </w: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FINANCIAL STATEMENT SCHEDULES</w:t>
            </w:r>
          </w:p>
        </w:tc>
      </w:tr>
      <w:tr>
        <w:trPr>
          <w:trHeight w:val="336"/>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II</w:t>
            </w:r>
          </w:p>
        </w:tc>
        <w:tc>
          <w:tcPr>
            <w:tcW w:w="4680" w:type="dxa"/>
            <w:vAlign w:val="bottom"/>
          </w:tcPr>
          <w:p>
            <w:pPr>
              <w:ind w:left="60"/>
              <w:spacing w:after="0"/>
              <w:rPr>
                <w:sz w:val="20"/>
                <w:szCs w:val="20"/>
                <w:color w:val="auto"/>
              </w:rPr>
            </w:pPr>
            <w:r>
              <w:rPr>
                <w:rFonts w:ascii="Courier New" w:cs="Courier New" w:eastAsia="Courier New" w:hAnsi="Courier New"/>
                <w:sz w:val="15"/>
                <w:szCs w:val="15"/>
                <w:color w:val="auto"/>
              </w:rPr>
              <w:t>-Valuation and Qualifying Accounts</w:t>
            </w:r>
          </w:p>
        </w:tc>
      </w:tr>
      <w:tr>
        <w:trPr>
          <w:trHeight w:val="259"/>
        </w:trPr>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All other schedules for which provision are made in the</w:t>
            </w:r>
          </w:p>
        </w:tc>
      </w:tr>
      <w:tr>
        <w:trPr>
          <w:trHeight w:val="168"/>
        </w:trPr>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7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applicable accounting regulations of the Securities and</w:t>
            </w:r>
          </w:p>
        </w:tc>
      </w:tr>
      <w:tr>
        <w:trPr>
          <w:trHeight w:val="168"/>
        </w:trPr>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7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Exchange Commission are not required under the related</w:t>
            </w:r>
          </w:p>
        </w:tc>
      </w:tr>
      <w:tr>
        <w:trPr>
          <w:trHeight w:val="168"/>
        </w:trPr>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7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instructions or are inapplicable and therefore have been</w:t>
            </w:r>
          </w:p>
        </w:tc>
      </w:tr>
      <w:tr>
        <w:trPr>
          <w:trHeight w:val="245"/>
        </w:trPr>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w w:val="99"/>
              </w:rPr>
              <w:t>omitted.</w:t>
            </w:r>
          </w:p>
        </w:tc>
        <w:tc>
          <w:tcPr>
            <w:tcW w:w="4680" w:type="dxa"/>
            <w:vAlign w:val="bottom"/>
          </w:tcPr>
          <w:p>
            <w:pPr>
              <w:spacing w:after="0"/>
              <w:rPr>
                <w:sz w:val="21"/>
                <w:szCs w:val="21"/>
                <w:color w:val="auto"/>
              </w:rPr>
            </w:pPr>
          </w:p>
        </w:tc>
      </w:tr>
      <w:tr>
        <w:trPr>
          <w:trHeight w:val="336"/>
        </w:trPr>
        <w:tc>
          <w:tcPr>
            <w:tcW w:w="800" w:type="dxa"/>
            <w:vAlign w:val="bottom"/>
          </w:tcPr>
          <w:p>
            <w:pPr>
              <w:spacing w:after="0"/>
              <w:rPr>
                <w:sz w:val="24"/>
                <w:szCs w:val="24"/>
                <w:color w:val="auto"/>
              </w:rPr>
            </w:pPr>
          </w:p>
        </w:tc>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3.</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w w:val="99"/>
              </w:rPr>
              <w:t>EXHIBITS</w:t>
            </w:r>
          </w:p>
        </w:tc>
        <w:tc>
          <w:tcPr>
            <w:tcW w:w="4680" w:type="dxa"/>
            <w:vAlign w:val="bottom"/>
          </w:tcPr>
          <w:p>
            <w:pPr>
              <w:spacing w:after="0"/>
              <w:rPr>
                <w:sz w:val="24"/>
                <w:szCs w:val="24"/>
                <w:color w:val="auto"/>
              </w:rPr>
            </w:pPr>
          </w:p>
        </w:tc>
      </w:tr>
      <w:tr>
        <w:trPr>
          <w:trHeight w:val="259"/>
        </w:trPr>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Exhibit No.</w:t>
            </w: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Description</w:t>
            </w:r>
          </w:p>
        </w:tc>
      </w:tr>
      <w:tr>
        <w:trPr>
          <w:trHeight w:val="245"/>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5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480" w:type="dxa"/>
            <w:vAlign w:val="bottom"/>
          </w:tcPr>
          <w:p>
            <w:pPr>
              <w:spacing w:after="0"/>
              <w:rPr>
                <w:sz w:val="24"/>
                <w:szCs w:val="24"/>
                <w:color w:val="auto"/>
              </w:rPr>
            </w:pP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Amended and Restated Certificate of Incorporation (3(a))*</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480" w:type="dxa"/>
            <w:vAlign w:val="bottom"/>
          </w:tcPr>
          <w:p>
            <w:pPr>
              <w:spacing w:after="0"/>
              <w:rPr>
                <w:sz w:val="24"/>
                <w:szCs w:val="24"/>
                <w:color w:val="auto"/>
              </w:rPr>
            </w:pP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By-laws, as amended (3(b))**</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480" w:type="dxa"/>
            <w:vAlign w:val="bottom"/>
          </w:tcPr>
          <w:p>
            <w:pPr>
              <w:spacing w:after="0"/>
              <w:rPr>
                <w:sz w:val="24"/>
                <w:szCs w:val="24"/>
                <w:color w:val="auto"/>
              </w:rPr>
            </w:pP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Plan of Reorganization (2)*</w:t>
            </w: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480" w:type="dxa"/>
            <w:vAlign w:val="bottom"/>
          </w:tcPr>
          <w:p>
            <w:pPr>
              <w:spacing w:after="0"/>
              <w:rPr>
                <w:sz w:val="22"/>
                <w:szCs w:val="22"/>
                <w:color w:val="auto"/>
              </w:rPr>
            </w:pP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Second Amended and Restated Credit Agreement dated as of</w:t>
            </w:r>
          </w:p>
        </w:tc>
      </w:tr>
      <w:tr>
        <w:trPr>
          <w:trHeight w:val="168"/>
        </w:trPr>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7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December 30, 1998 between the Company and BankBoston, as Agent</w:t>
            </w:r>
          </w:p>
        </w:tc>
      </w:tr>
      <w:tr>
        <w:trPr>
          <w:trHeight w:val="245"/>
        </w:trPr>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for the lenders</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Plans and Arrangements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Employment Agreement</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of Edward K. Christian dated April 8,</w:t>
            </w:r>
          </w:p>
        </w:tc>
      </w:tr>
      <w:tr>
        <w:trPr>
          <w:trHeight w:val="245"/>
        </w:trPr>
        <w:tc>
          <w:tcPr>
            <w:tcW w:w="1140" w:type="dxa"/>
            <w:vAlign w:val="bottom"/>
          </w:tcPr>
          <w:p>
            <w:pPr>
              <w:spacing w:after="0"/>
              <w:rPr>
                <w:sz w:val="21"/>
                <w:szCs w:val="21"/>
                <w:color w:val="auto"/>
              </w:rPr>
            </w:pP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1997 ****</w:t>
            </w:r>
          </w:p>
        </w:tc>
        <w:tc>
          <w:tcPr>
            <w:tcW w:w="3620" w:type="dxa"/>
            <w:vAlign w:val="bottom"/>
          </w:tcPr>
          <w:p>
            <w:pPr>
              <w:spacing w:after="0"/>
              <w:rPr>
                <w:sz w:val="21"/>
                <w:szCs w:val="21"/>
                <w:color w:val="auto"/>
              </w:rPr>
            </w:pPr>
          </w:p>
        </w:tc>
      </w:tr>
      <w:tr>
        <w:trPr>
          <w:trHeight w:val="25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5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Amendment to Employment Agreement of Edward K. Christian dated</w:t>
            </w:r>
          </w:p>
        </w:tc>
      </w:tr>
      <w:tr>
        <w:trPr>
          <w:trHeight w:val="245"/>
        </w:trPr>
        <w:tc>
          <w:tcPr>
            <w:tcW w:w="1140" w:type="dxa"/>
            <w:vAlign w:val="bottom"/>
          </w:tcPr>
          <w:p>
            <w:pPr>
              <w:spacing w:after="0"/>
              <w:rPr>
                <w:sz w:val="21"/>
                <w:szCs w:val="21"/>
                <w:color w:val="auto"/>
              </w:rPr>
            </w:pP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December 8, 1998</w:t>
            </w:r>
          </w:p>
        </w:tc>
        <w:tc>
          <w:tcPr>
            <w:tcW w:w="3620" w:type="dxa"/>
            <w:vAlign w:val="bottom"/>
          </w:tcPr>
          <w:p>
            <w:pPr>
              <w:spacing w:after="0"/>
              <w:rPr>
                <w:sz w:val="21"/>
                <w:szCs w:val="21"/>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Saga Communications,</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w w:val="96"/>
              </w:rPr>
              <w:t>Inc. 1992 Stock Option, as amended ******</w:t>
            </w:r>
          </w:p>
        </w:tc>
      </w:tr>
      <w:tr>
        <w:trPr>
          <w:trHeight w:val="25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Summary of Executive</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Insured Medical Reimbursement Plan</w:t>
            </w:r>
          </w:p>
        </w:tc>
      </w:tr>
      <w:tr>
        <w:trPr>
          <w:trHeight w:val="245"/>
        </w:trPr>
        <w:tc>
          <w:tcPr>
            <w:tcW w:w="1140" w:type="dxa"/>
            <w:vAlign w:val="bottom"/>
          </w:tcPr>
          <w:p>
            <w:pPr>
              <w:spacing w:after="0"/>
              <w:rPr>
                <w:sz w:val="21"/>
                <w:szCs w:val="21"/>
                <w:color w:val="auto"/>
              </w:rPr>
            </w:pP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3620" w:type="dxa"/>
            <w:vAlign w:val="bottom"/>
          </w:tcPr>
          <w:p>
            <w:pPr>
              <w:spacing w:after="0"/>
              <w:rPr>
                <w:sz w:val="21"/>
                <w:szCs w:val="21"/>
                <w:color w:val="auto"/>
              </w:rPr>
            </w:pPr>
          </w:p>
        </w:tc>
      </w:tr>
      <w:tr>
        <w:trPr>
          <w:trHeight w:val="25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Saga Communications,</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Inc. 1997 Non-Employee Director Stock</w:t>
            </w:r>
          </w:p>
        </w:tc>
      </w:tr>
      <w:tr>
        <w:trPr>
          <w:trHeight w:val="245"/>
        </w:trPr>
        <w:tc>
          <w:tcPr>
            <w:tcW w:w="1140" w:type="dxa"/>
            <w:vAlign w:val="bottom"/>
          </w:tcPr>
          <w:p>
            <w:pPr>
              <w:spacing w:after="0"/>
              <w:rPr>
                <w:sz w:val="21"/>
                <w:szCs w:val="21"/>
                <w:color w:val="auto"/>
              </w:rPr>
            </w:pP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Option Plan *****</w:t>
            </w:r>
          </w:p>
        </w:tc>
        <w:tc>
          <w:tcPr>
            <w:tcW w:w="3620" w:type="dxa"/>
            <w:vAlign w:val="bottom"/>
          </w:tcPr>
          <w:p>
            <w:pPr>
              <w:spacing w:after="0"/>
              <w:rPr>
                <w:sz w:val="21"/>
                <w:szCs w:val="2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Material Agreements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jc w:val="both"/>
        <w:ind w:left="1580" w:right="3239" w:hanging="1579"/>
        <w:spacing w:after="0" w:line="344" w:lineRule="auto"/>
        <w:tabs>
          <w:tab w:leader="none" w:pos="1560" w:val="left"/>
        </w:tabs>
        <w:rPr>
          <w:sz w:val="20"/>
          <w:szCs w:val="20"/>
          <w:color w:val="auto"/>
        </w:rPr>
      </w:pPr>
      <w:r>
        <w:rPr>
          <w:rFonts w:ascii="Courier New" w:cs="Courier New" w:eastAsia="Courier New" w:hAnsi="Courier New"/>
          <w:sz w:val="15"/>
          <w:szCs w:val="15"/>
          <w:color w:val="auto"/>
        </w:rPr>
        <w:t>10(e)(1)</w:t>
      </w:r>
      <w:r>
        <w:rPr>
          <w:sz w:val="20"/>
          <w:szCs w:val="20"/>
          <w:color w:val="auto"/>
        </w:rPr>
        <w:tab/>
      </w:r>
      <w:r>
        <w:rPr>
          <w:rFonts w:ascii="Courier New" w:cs="Courier New" w:eastAsia="Courier New" w:hAnsi="Courier New"/>
          <w:sz w:val="15"/>
          <w:szCs w:val="15"/>
          <w:color w:val="auto"/>
        </w:rPr>
        <w:t>Promissory Note of Edward K. Christian dated December 10, 1992 (10(l)(a))*</w:t>
      </w:r>
    </w:p>
    <w:p>
      <w:pPr>
        <w:spacing w:after="0" w:line="17" w:lineRule="exact"/>
        <w:rPr>
          <w:sz w:val="20"/>
          <w:szCs w:val="20"/>
          <w:color w:val="auto"/>
        </w:rPr>
      </w:pPr>
    </w:p>
    <w:p>
      <w:pPr>
        <w:ind w:left="1580" w:right="3679" w:hanging="1579"/>
        <w:spacing w:after="0" w:line="344" w:lineRule="auto"/>
        <w:tabs>
          <w:tab w:leader="none" w:pos="1560" w:val="left"/>
        </w:tabs>
        <w:rPr>
          <w:sz w:val="20"/>
          <w:szCs w:val="20"/>
          <w:color w:val="auto"/>
        </w:rPr>
      </w:pPr>
      <w:r>
        <w:rPr>
          <w:rFonts w:ascii="Courier New" w:cs="Courier New" w:eastAsia="Courier New" w:hAnsi="Courier New"/>
          <w:sz w:val="15"/>
          <w:szCs w:val="15"/>
          <w:color w:val="auto"/>
        </w:rPr>
        <w:t>10(e)(2)</w:t>
      </w:r>
      <w:r>
        <w:rPr>
          <w:sz w:val="20"/>
          <w:szCs w:val="20"/>
          <w:color w:val="auto"/>
        </w:rPr>
        <w:tab/>
      </w:r>
      <w:r>
        <w:rPr>
          <w:rFonts w:ascii="Courier New" w:cs="Courier New" w:eastAsia="Courier New" w:hAnsi="Courier New"/>
          <w:sz w:val="15"/>
          <w:szCs w:val="15"/>
          <w:color w:val="auto"/>
        </w:rPr>
        <w:t>Amendment to Promissory Note of Edward K. Christian dated December 8, 1998</w:t>
      </w:r>
    </w:p>
    <w:p>
      <w:pPr>
        <w:spacing w:after="0" w:line="3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6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ind w:left="1580" w:hanging="1570"/>
        <w:spacing w:after="0"/>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(22)*</w:t>
      </w:r>
    </w:p>
    <w:p>
      <w:pPr>
        <w:spacing w:after="0" w:line="166" w:lineRule="exact"/>
        <w:rPr>
          <w:sz w:val="20"/>
          <w:szCs w:val="20"/>
          <w:color w:val="auto"/>
        </w:rPr>
      </w:pPr>
    </w:p>
    <w:p>
      <w:pPr>
        <w:ind w:left="1580" w:hanging="1570"/>
        <w:spacing w:after="0"/>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Ernst &amp; Young LLP</w:t>
      </w:r>
    </w:p>
    <w:p>
      <w:pPr>
        <w:spacing w:after="0" w:line="1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1580" w:right="3239" w:hanging="1570"/>
        <w:spacing w:after="0" w:line="290" w:lineRule="auto"/>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indicated in parenthesis of the Company's Registration Statement on Form S-1 (File No. 33-47238) incorporated by reference herein.</w:t>
      </w:r>
    </w:p>
    <w:p>
      <w:pPr>
        <w:spacing w:after="0" w:line="57" w:lineRule="exact"/>
        <w:rPr>
          <w:sz w:val="20"/>
          <w:szCs w:val="20"/>
          <w:color w:val="auto"/>
        </w:rPr>
      </w:pPr>
    </w:p>
    <w:p>
      <w:pPr>
        <w:ind w:left="1580" w:right="3239" w:hanging="1570"/>
        <w:spacing w:after="0" w:line="290" w:lineRule="auto"/>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indicated in parenthesis of the Company's Form 10-K for the year ended December 31, 1992 incorporated by reference herein.</w:t>
      </w:r>
    </w:p>
    <w:p>
      <w:pPr>
        <w:spacing w:after="0" w:line="56" w:lineRule="exact"/>
        <w:rPr>
          <w:rFonts w:ascii="Courier New" w:cs="Courier New" w:eastAsia="Courier New" w:hAnsi="Courier New"/>
          <w:sz w:val="15"/>
          <w:szCs w:val="15"/>
          <w:color w:val="auto"/>
        </w:rPr>
      </w:pPr>
    </w:p>
    <w:p>
      <w:pPr>
        <w:ind w:left="1580" w:right="3239" w:hanging="1570"/>
        <w:spacing w:after="0" w:line="290" w:lineRule="auto"/>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indicated in parenthesis of the Company's Form 10-K for the year ended December 31, 1995 incorporated by reference herein.</w:t>
      </w:r>
    </w:p>
    <w:p>
      <w:pPr>
        <w:spacing w:after="0" w:line="56" w:lineRule="exact"/>
        <w:rPr>
          <w:rFonts w:ascii="Courier New" w:cs="Courier New" w:eastAsia="Courier New" w:hAnsi="Courier New"/>
          <w:sz w:val="15"/>
          <w:szCs w:val="15"/>
          <w:color w:val="auto"/>
        </w:rPr>
      </w:pPr>
    </w:p>
    <w:p>
      <w:pPr>
        <w:ind w:left="1580" w:right="3239" w:hanging="1570"/>
        <w:spacing w:after="0" w:line="290"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indicated in parenthesis of the Company's Form 10-Q for the quarter ended March 31, 1997 incorporated by reference herein.</w:t>
      </w:r>
    </w:p>
    <w:p>
      <w:pPr>
        <w:spacing w:after="0" w:line="56" w:lineRule="exact"/>
        <w:rPr>
          <w:rFonts w:ascii="Courier New" w:cs="Courier New" w:eastAsia="Courier New" w:hAnsi="Courier New"/>
          <w:sz w:val="15"/>
          <w:szCs w:val="15"/>
          <w:color w:val="auto"/>
        </w:rPr>
      </w:pPr>
    </w:p>
    <w:p>
      <w:pPr>
        <w:ind w:left="1580" w:right="3319" w:hanging="1570"/>
        <w:spacing w:after="0" w:line="290"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indicated in parenthesis of the Company's Form 10-Q for the quarter ended June 30, 1997 incorporated by reference herein.</w:t>
      </w:r>
    </w:p>
    <w:p>
      <w:pPr>
        <w:sectPr>
          <w:pgSz w:w="11900" w:h="16838" w:orient="portrait"/>
          <w:cols w:equalWidth="0" w:num="1">
            <w:col w:w="10239"/>
          </w:cols>
          <w:pgMar w:left="220" w:top="261" w:right="1440" w:bottom="1440" w:gutter="0" w:footer="0" w:header="0"/>
        </w:sectPr>
      </w:pP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Exhibit indicated in parenthesis of the Company's Form 10-K for the year ended December 31, 1997 incorporated by reference herein.</w:t>
      </w:r>
    </w:p>
    <w:p>
      <w:pPr>
        <w:spacing w:after="0" w:line="200" w:lineRule="exact"/>
        <w:rPr>
          <w:sz w:val="20"/>
          <w:szCs w:val="20"/>
          <w:color w:val="auto"/>
        </w:rPr>
      </w:pPr>
    </w:p>
    <w:p>
      <w:pPr>
        <w:sectPr>
          <w:pgSz w:w="11900" w:h="16838" w:orient="portrait"/>
          <w:cols w:equalWidth="0" w:num="2">
            <w:col w:w="860" w:space="720"/>
            <w:col w:w="8659"/>
          </w:cols>
          <w:pgMar w:left="220" w:top="261" w:right="1440" w:bottom="1440" w:gutter="0" w:footer="0" w:header="0"/>
          <w:type w:val="continuous"/>
        </w:sectPr>
      </w:pPr>
    </w:p>
    <w:p>
      <w:pPr>
        <w:spacing w:after="0" w:line="193" w:lineRule="exact"/>
        <w:rPr>
          <w:sz w:val="20"/>
          <w:szCs w:val="20"/>
          <w:color w:val="auto"/>
        </w:rPr>
      </w:pPr>
    </w:p>
    <w:p>
      <w:pPr>
        <w:ind w:left="1580" w:hanging="1570"/>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24"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61"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03" w:lineRule="exact"/>
        <w:rPr>
          <w:sz w:val="20"/>
          <w:szCs w:val="20"/>
          <w:color w:val="auto"/>
        </w:rPr>
      </w:pPr>
    </w:p>
    <w:p>
      <w:pPr>
        <w:ind w:right="3239" w:firstLine="787"/>
        <w:spacing w:after="0" w:line="320"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29, 1999.</w:t>
      </w:r>
    </w:p>
    <w:p>
      <w:pPr>
        <w:spacing w:after="0" w:line="20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SAGA COMMUNICATIONS, INC.</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By: /s/ Edward K. Christian</w:t>
      </w:r>
    </w:p>
    <w:p>
      <w:pPr>
        <w:spacing w:after="0" w:line="24"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Edward K. Christian</w:t>
      </w:r>
    </w:p>
    <w:p>
      <w:pPr>
        <w:ind w:left="4300"/>
        <w:spacing w:after="0"/>
        <w:rPr>
          <w:sz w:val="20"/>
          <w:szCs w:val="20"/>
          <w:color w:val="auto"/>
        </w:rPr>
      </w:pPr>
      <w:r>
        <w:rPr>
          <w:rFonts w:ascii="Courier New" w:cs="Courier New" w:eastAsia="Courier New" w:hAnsi="Courier New"/>
          <w:sz w:val="15"/>
          <w:szCs w:val="15"/>
          <w:color w:val="auto"/>
        </w:rPr>
        <w:t>President</w:t>
      </w:r>
    </w:p>
    <w:p>
      <w:pPr>
        <w:spacing w:after="0" w:line="140" w:lineRule="exact"/>
        <w:rPr>
          <w:sz w:val="20"/>
          <w:szCs w:val="20"/>
          <w:color w:val="auto"/>
        </w:rPr>
      </w:pPr>
    </w:p>
    <w:p>
      <w:pPr>
        <w:ind w:right="3239" w:firstLine="612"/>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March 29, 1999.</w:t>
      </w:r>
    </w:p>
    <w:p>
      <w:pPr>
        <w:spacing w:after="0" w:line="5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Signatures</w:t>
      </w:r>
    </w:p>
    <w:p>
      <w:pPr>
        <w:spacing w:after="0" w:line="24"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/s/ Edward K. Christian</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President, Chief Executive</w:t>
            </w:r>
          </w:p>
        </w:tc>
        <w:tc>
          <w:tcPr>
            <w:tcW w:w="0" w:type="dxa"/>
            <w:vAlign w:val="bottom"/>
          </w:tcPr>
          <w:p>
            <w:pPr>
              <w:spacing w:after="0"/>
              <w:rPr>
                <w:sz w:val="1"/>
                <w:szCs w:val="1"/>
                <w:color w:val="auto"/>
              </w:rPr>
            </w:pPr>
          </w:p>
        </w:tc>
      </w:tr>
      <w:tr>
        <w:trPr>
          <w:trHeight w:val="245"/>
        </w:trPr>
        <w:tc>
          <w:tcPr>
            <w:tcW w:w="2920" w:type="dxa"/>
            <w:vAlign w:val="bottom"/>
            <w:vMerge w:val="restart"/>
          </w:tcPr>
          <w:p>
            <w:pPr>
              <w:spacing w:after="0"/>
              <w:rPr>
                <w:sz w:val="20"/>
                <w:szCs w:val="20"/>
                <w:color w:val="auto"/>
              </w:rPr>
            </w:pPr>
            <w:r>
              <w:rPr>
                <w:rFonts w:ascii="Courier New" w:cs="Courier New" w:eastAsia="Courier New" w:hAnsi="Courier New"/>
                <w:sz w:val="25"/>
                <w:szCs w:val="25"/>
                <w:color w:val="auto"/>
                <w:w w:val="71"/>
                <w:vertAlign w:val="subscript"/>
              </w:rPr>
              <w:t>Edward</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K.Christian</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Officer, and Chairman of the Board</w:t>
            </w:r>
          </w:p>
        </w:tc>
        <w:tc>
          <w:tcPr>
            <w:tcW w:w="0" w:type="dxa"/>
            <w:vAlign w:val="bottom"/>
          </w:tcPr>
          <w:p>
            <w:pPr>
              <w:spacing w:after="0"/>
              <w:rPr>
                <w:sz w:val="1"/>
                <w:szCs w:val="1"/>
                <w:color w:val="auto"/>
              </w:rPr>
            </w:pPr>
          </w:p>
        </w:tc>
      </w:tr>
      <w:tr>
        <w:trPr>
          <w:trHeight w:val="182"/>
        </w:trPr>
        <w:tc>
          <w:tcPr>
            <w:tcW w:w="2920" w:type="dxa"/>
            <w:vAlign w:val="bottom"/>
            <w:vMerge w:val="continue"/>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2920" w:type="dxa"/>
            <w:vAlign w:val="bottom"/>
          </w:tcPr>
          <w:p>
            <w:pPr>
              <w:spacing w:after="0"/>
              <w:rPr>
                <w:sz w:val="20"/>
                <w:szCs w:val="20"/>
                <w:color w:val="auto"/>
              </w:rPr>
            </w:pPr>
            <w:r>
              <w:rPr>
                <w:rFonts w:ascii="Courier New" w:cs="Courier New" w:eastAsia="Courier New" w:hAnsi="Courier New"/>
                <w:sz w:val="15"/>
                <w:szCs w:val="15"/>
                <w:color w:val="auto"/>
              </w:rPr>
              <w:t>/s/ Samuel D. Bush</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Vice President, Chief Financial</w:t>
            </w:r>
          </w:p>
        </w:tc>
        <w:tc>
          <w:tcPr>
            <w:tcW w:w="0" w:type="dxa"/>
            <w:vAlign w:val="bottom"/>
          </w:tcPr>
          <w:p>
            <w:pPr>
              <w:spacing w:after="0"/>
              <w:rPr>
                <w:sz w:val="1"/>
                <w:szCs w:val="1"/>
                <w:color w:val="auto"/>
              </w:rPr>
            </w:pPr>
          </w:p>
        </w:tc>
      </w:tr>
      <w:tr>
        <w:trPr>
          <w:trHeight w:val="245"/>
        </w:trPr>
        <w:tc>
          <w:tcPr>
            <w:tcW w:w="2920" w:type="dxa"/>
            <w:vAlign w:val="bottom"/>
            <w:vMerge w:val="restart"/>
          </w:tcPr>
          <w:p>
            <w:pPr>
              <w:spacing w:after="0"/>
              <w:rPr>
                <w:sz w:val="20"/>
                <w:szCs w:val="20"/>
                <w:color w:val="auto"/>
              </w:rPr>
            </w:pPr>
            <w:r>
              <w:rPr>
                <w:rFonts w:ascii="Courier New" w:cs="Courier New" w:eastAsia="Courier New" w:hAnsi="Courier New"/>
                <w:sz w:val="29"/>
                <w:szCs w:val="29"/>
                <w:color w:val="auto"/>
                <w:w w:val="70"/>
                <w:vertAlign w:val="subscript"/>
              </w:rPr>
              <w:t>Samuel</w:t>
            </w: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D.Bush</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Officer and Treasurer</w:t>
            </w:r>
          </w:p>
        </w:tc>
        <w:tc>
          <w:tcPr>
            <w:tcW w:w="0" w:type="dxa"/>
            <w:vAlign w:val="bottom"/>
          </w:tcPr>
          <w:p>
            <w:pPr>
              <w:spacing w:after="0"/>
              <w:rPr>
                <w:sz w:val="1"/>
                <w:szCs w:val="1"/>
                <w:color w:val="auto"/>
              </w:rPr>
            </w:pPr>
          </w:p>
        </w:tc>
      </w:tr>
      <w:tr>
        <w:trPr>
          <w:trHeight w:val="182"/>
        </w:trPr>
        <w:tc>
          <w:tcPr>
            <w:tcW w:w="2920" w:type="dxa"/>
            <w:vAlign w:val="bottom"/>
            <w:vMerge w:val="continue"/>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2920" w:type="dxa"/>
            <w:vAlign w:val="bottom"/>
          </w:tcPr>
          <w:p>
            <w:pPr>
              <w:spacing w:after="0"/>
              <w:rPr>
                <w:sz w:val="20"/>
                <w:szCs w:val="20"/>
                <w:color w:val="auto"/>
              </w:rPr>
            </w:pPr>
            <w:r>
              <w:rPr>
                <w:rFonts w:ascii="Courier New" w:cs="Courier New" w:eastAsia="Courier New" w:hAnsi="Courier New"/>
                <w:sz w:val="15"/>
                <w:szCs w:val="15"/>
                <w:color w:val="auto"/>
              </w:rPr>
              <w:t>/s/ Catherine A. Bobinski</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w w:val="96"/>
              </w:rPr>
              <w:t>Vice President, Corporate Controller</w:t>
            </w:r>
          </w:p>
        </w:tc>
        <w:tc>
          <w:tcPr>
            <w:tcW w:w="0" w:type="dxa"/>
            <w:vAlign w:val="bottom"/>
          </w:tcPr>
          <w:p>
            <w:pPr>
              <w:spacing w:after="0"/>
              <w:rPr>
                <w:sz w:val="1"/>
                <w:szCs w:val="1"/>
                <w:color w:val="auto"/>
              </w:rPr>
            </w:pPr>
          </w:p>
        </w:tc>
      </w:tr>
      <w:tr>
        <w:trPr>
          <w:trHeight w:val="245"/>
        </w:trPr>
        <w:tc>
          <w:tcPr>
            <w:tcW w:w="2920" w:type="dxa"/>
            <w:vAlign w:val="bottom"/>
            <w:vMerge w:val="restart"/>
          </w:tcPr>
          <w:p>
            <w:pPr>
              <w:spacing w:after="0"/>
              <w:rPr>
                <w:sz w:val="20"/>
                <w:szCs w:val="20"/>
                <w:color w:val="auto"/>
              </w:rPr>
            </w:pPr>
            <w:r>
              <w:rPr>
                <w:rFonts w:ascii="Courier New" w:cs="Courier New" w:eastAsia="Courier New" w:hAnsi="Courier New"/>
                <w:sz w:val="25"/>
                <w:szCs w:val="25"/>
                <w:color w:val="auto"/>
                <w:w w:val="71"/>
                <w:vertAlign w:val="subscript"/>
              </w:rPr>
              <w:t>Catherine</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Bobinski</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and Chief Accounting Officer</w:t>
            </w:r>
          </w:p>
        </w:tc>
        <w:tc>
          <w:tcPr>
            <w:tcW w:w="0" w:type="dxa"/>
            <w:vAlign w:val="bottom"/>
          </w:tcPr>
          <w:p>
            <w:pPr>
              <w:spacing w:after="0"/>
              <w:rPr>
                <w:sz w:val="1"/>
                <w:szCs w:val="1"/>
                <w:color w:val="auto"/>
              </w:rPr>
            </w:pPr>
          </w:p>
        </w:tc>
      </w:tr>
      <w:tr>
        <w:trPr>
          <w:trHeight w:val="182"/>
        </w:trPr>
        <w:tc>
          <w:tcPr>
            <w:tcW w:w="2920" w:type="dxa"/>
            <w:vAlign w:val="bottom"/>
            <w:vMerge w:val="continue"/>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2920" w:type="dxa"/>
            <w:vAlign w:val="bottom"/>
          </w:tcPr>
          <w:p>
            <w:pPr>
              <w:spacing w:after="0"/>
              <w:rPr>
                <w:sz w:val="20"/>
                <w:szCs w:val="20"/>
                <w:color w:val="auto"/>
              </w:rPr>
            </w:pPr>
            <w:r>
              <w:rPr>
                <w:rFonts w:ascii="Courier New" w:cs="Courier New" w:eastAsia="Courier New" w:hAnsi="Courier New"/>
                <w:sz w:val="15"/>
                <w:szCs w:val="15"/>
                <w:color w:val="auto"/>
              </w:rPr>
              <w:t>/s/ Kristin M. Allen</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0"/>
                <w:szCs w:val="20"/>
                <w:color w:val="auto"/>
              </w:rPr>
            </w:pPr>
            <w:r>
              <w:rPr>
                <w:rFonts w:ascii="Courier New" w:cs="Courier New" w:eastAsia="Courier New" w:hAnsi="Courier New"/>
                <w:sz w:val="15"/>
                <w:szCs w:val="15"/>
                <w:color w:val="auto"/>
              </w:rPr>
              <w:t>Kristin M. Allen</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920" w:type="dxa"/>
            <w:vAlign w:val="bottom"/>
          </w:tcPr>
          <w:p>
            <w:pPr>
              <w:spacing w:after="0"/>
              <w:rPr>
                <w:sz w:val="20"/>
                <w:szCs w:val="20"/>
                <w:color w:val="auto"/>
              </w:rPr>
            </w:pPr>
            <w:r>
              <w:rPr>
                <w:rFonts w:ascii="Courier New" w:cs="Courier New" w:eastAsia="Courier New" w:hAnsi="Courier New"/>
                <w:sz w:val="15"/>
                <w:szCs w:val="15"/>
                <w:color w:val="auto"/>
              </w:rPr>
              <w:t>/s/ Donald J. Alt</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0"/>
                <w:szCs w:val="20"/>
                <w:color w:val="auto"/>
              </w:rPr>
            </w:pPr>
            <w:r>
              <w:rPr>
                <w:rFonts w:ascii="Courier New" w:cs="Courier New" w:eastAsia="Courier New" w:hAnsi="Courier New"/>
                <w:sz w:val="15"/>
                <w:szCs w:val="15"/>
                <w:color w:val="auto"/>
              </w:rPr>
              <w:t>Donald J. Alt</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920" w:type="dxa"/>
            <w:vAlign w:val="bottom"/>
          </w:tcPr>
          <w:p>
            <w:pPr>
              <w:spacing w:after="0"/>
              <w:rPr>
                <w:sz w:val="20"/>
                <w:szCs w:val="20"/>
                <w:color w:val="auto"/>
              </w:rPr>
            </w:pPr>
            <w:r>
              <w:rPr>
                <w:rFonts w:ascii="Courier New" w:cs="Courier New" w:eastAsia="Courier New" w:hAnsi="Courier New"/>
                <w:sz w:val="15"/>
                <w:szCs w:val="15"/>
                <w:color w:val="auto"/>
              </w:rPr>
              <w:t>/s/ Jonathan Firestone</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0"/>
                <w:szCs w:val="20"/>
                <w:color w:val="auto"/>
              </w:rPr>
            </w:pPr>
            <w:r>
              <w:rPr>
                <w:rFonts w:ascii="Courier New" w:cs="Courier New" w:eastAsia="Courier New" w:hAnsi="Courier New"/>
                <w:sz w:val="15"/>
                <w:szCs w:val="15"/>
                <w:color w:val="auto"/>
              </w:rPr>
              <w:t>Jonathan Firestone</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920" w:type="dxa"/>
            <w:vAlign w:val="bottom"/>
          </w:tcPr>
          <w:p>
            <w:pPr>
              <w:spacing w:after="0"/>
              <w:rPr>
                <w:sz w:val="20"/>
                <w:szCs w:val="20"/>
                <w:color w:val="auto"/>
              </w:rPr>
            </w:pPr>
            <w:r>
              <w:rPr>
                <w:rFonts w:ascii="Courier New" w:cs="Courier New" w:eastAsia="Courier New" w:hAnsi="Courier New"/>
                <w:sz w:val="15"/>
                <w:szCs w:val="15"/>
                <w:color w:val="auto"/>
              </w:rPr>
              <w:t>/s/ Joseph P. Misiewicz</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0"/>
                <w:szCs w:val="20"/>
                <w:color w:val="auto"/>
              </w:rPr>
            </w:pPr>
            <w:r>
              <w:rPr>
                <w:rFonts w:ascii="Courier New" w:cs="Courier New" w:eastAsia="Courier New" w:hAnsi="Courier New"/>
                <w:sz w:val="15"/>
                <w:szCs w:val="15"/>
                <w:color w:val="auto"/>
              </w:rPr>
              <w:t>Joseph P. Misiewicz</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920" w:type="dxa"/>
            <w:vAlign w:val="bottom"/>
          </w:tcPr>
          <w:p>
            <w:pPr>
              <w:spacing w:after="0"/>
              <w:rPr>
                <w:sz w:val="20"/>
                <w:szCs w:val="20"/>
                <w:color w:val="auto"/>
              </w:rPr>
            </w:pPr>
            <w:r>
              <w:rPr>
                <w:rFonts w:ascii="Courier New" w:cs="Courier New" w:eastAsia="Courier New" w:hAnsi="Courier New"/>
                <w:sz w:val="15"/>
                <w:szCs w:val="15"/>
                <w:color w:val="auto"/>
              </w:rPr>
              <w:t>/s/ Gary Stevens</w:t>
            </w:r>
          </w:p>
        </w:tc>
        <w:tc>
          <w:tcPr>
            <w:tcW w:w="320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0"/>
                <w:szCs w:val="20"/>
                <w:color w:val="auto"/>
              </w:rPr>
            </w:pPr>
            <w:r>
              <w:rPr>
                <w:rFonts w:ascii="Courier New" w:cs="Courier New" w:eastAsia="Courier New" w:hAnsi="Courier New"/>
                <w:sz w:val="15"/>
                <w:szCs w:val="15"/>
                <w:color w:val="auto"/>
              </w:rPr>
              <w:t>Gary Stevens</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2920" w:type="dxa"/>
            <w:vAlign w:val="bottom"/>
          </w:tcPr>
          <w:p>
            <w:pPr>
              <w:ind w:left="2540"/>
              <w:spacing w:after="0"/>
              <w:rPr>
                <w:sz w:val="20"/>
                <w:szCs w:val="20"/>
                <w:color w:val="auto"/>
              </w:rPr>
            </w:pPr>
            <w:r>
              <w:rPr>
                <w:rFonts w:ascii="Courier New" w:cs="Courier New" w:eastAsia="Courier New" w:hAnsi="Courier New"/>
                <w:sz w:val="15"/>
                <w:szCs w:val="15"/>
                <w:color w:val="auto"/>
                <w:w w:val="99"/>
              </w:rPr>
              <w:t>-33-</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Saga Communications, Inc.</w:t>
      </w:r>
    </w:p>
    <w:p>
      <w:pPr>
        <w:spacing w:after="0" w:line="309"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We have audited the accompanying consolidated balance sheets of Saga Communications, Inc. and subsidiaries as of December 31, 1998 and 1997 and the related consolidated statements of income, stockholders' equity, and cash flows for each of the three years in the period ended December 31, 1998. Our audits also included the financial statement schedule listed in the index at time 14(a). These financial statements and schedule are the responsibility of the Company's management. Our responsibility is to express an opinion on these financial statements and schedule based on our audits.</w:t>
      </w:r>
    </w:p>
    <w:p>
      <w:pPr>
        <w:spacing w:after="0" w:line="8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1"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Saga Communications, Inc. and subsidiaries at December 31, 1998 and 1997 and the consolidated results of their operations and their cash flows for each of the three years in the period ended December 31, 1998, in conformity with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/s/ Ernst &amp; Young LLP</w:t>
      </w:r>
    </w:p>
    <w:p>
      <w:pPr>
        <w:spacing w:after="0" w:line="24"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12, 1999</w:t>
      </w:r>
    </w:p>
    <w:p>
      <w:pPr>
        <w:sectPr>
          <w:pgSz w:w="11900" w:h="16838" w:orient="portrait"/>
          <w:cols w:equalWidth="0" w:num="1">
            <w:col w:w="10239"/>
          </w:cols>
          <w:pgMar w:left="220" w:top="26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Saga Communications, Inc.</w:t>
      </w:r>
    </w:p>
    <w:p>
      <w:pPr>
        <w:spacing w:after="0" w:line="2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7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630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6300" w:type="dxa"/>
            <w:vAlign w:val="bottom"/>
          </w:tcPr>
          <w:p>
            <w:pPr>
              <w:spacing w:after="0"/>
              <w:rPr>
                <w:sz w:val="21"/>
                <w:szCs w:val="21"/>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6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  6,664</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2,209</w:t>
            </w: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6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less allowance of $496</w:t>
            </w:r>
          </w:p>
        </w:tc>
        <w:tc>
          <w:tcPr>
            <w:tcW w:w="16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14,445</w:t>
            </w:r>
          </w:p>
        </w:tc>
        <w:tc>
          <w:tcPr>
            <w:tcW w:w="4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12,833</w:t>
            </w:r>
          </w:p>
        </w:tc>
        <w:tc>
          <w:tcPr>
            <w:tcW w:w="0" w:type="dxa"/>
            <w:vAlign w:val="bottom"/>
          </w:tcPr>
          <w:p>
            <w:pPr>
              <w:spacing w:after="0"/>
              <w:rPr>
                <w:sz w:val="1"/>
                <w:szCs w:val="1"/>
                <w:color w:val="auto"/>
              </w:rPr>
            </w:pPr>
          </w:p>
        </w:tc>
      </w:tr>
      <w:tr>
        <w:trPr>
          <w:trHeight w:val="168"/>
        </w:trPr>
        <w:tc>
          <w:tcPr>
            <w:tcW w:w="63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($514 in 1997)</w:t>
            </w:r>
          </w:p>
        </w:tc>
        <w:tc>
          <w:tcPr>
            <w:tcW w:w="1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1,461</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1,269</w:t>
            </w: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Barter transactions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819</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748</w:t>
            </w: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taxes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555</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c>
          <w:tcPr>
            <w:tcW w:w="0" w:type="dxa"/>
            <w:vAlign w:val="bottom"/>
          </w:tcPr>
          <w:p>
            <w:pPr>
              <w:spacing w:after="0"/>
              <w:rPr>
                <w:sz w:val="1"/>
                <w:szCs w:val="1"/>
                <w:color w:val="auto"/>
              </w:rPr>
            </w:pPr>
          </w:p>
        </w:tc>
      </w:tr>
      <w:tr>
        <w:trPr>
          <w:trHeight w:val="168"/>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assets</w:t>
            </w: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300" w:type="dxa"/>
            <w:vAlign w:val="bottom"/>
            <w:vMerge w:val="continue"/>
          </w:tcPr>
          <w:p>
            <w:pPr>
              <w:spacing w:after="0"/>
              <w:rPr>
                <w:sz w:val="21"/>
                <w:szCs w:val="21"/>
                <w:color w:val="auto"/>
              </w:rPr>
            </w:pP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23,944</w:t>
            </w: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17,519</w:t>
            </w:r>
          </w:p>
        </w:tc>
        <w:tc>
          <w:tcPr>
            <w:tcW w:w="0" w:type="dxa"/>
            <w:vAlign w:val="bottom"/>
          </w:tcPr>
          <w:p>
            <w:pPr>
              <w:spacing w:after="0"/>
              <w:rPr>
                <w:sz w:val="1"/>
                <w:szCs w:val="1"/>
                <w:color w:val="auto"/>
              </w:rPr>
            </w:pP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property and equipment</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35,564</w:t>
            </w: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34,028</w:t>
            </w:r>
          </w:p>
        </w:tc>
        <w:tc>
          <w:tcPr>
            <w:tcW w:w="0" w:type="dxa"/>
            <w:vAlign w:val="bottom"/>
          </w:tcPr>
          <w:p>
            <w:pPr>
              <w:spacing w:after="0"/>
              <w:rPr>
                <w:sz w:val="1"/>
                <w:szCs w:val="1"/>
                <w:color w:val="auto"/>
              </w:rPr>
            </w:pPr>
          </w:p>
        </w:tc>
      </w:tr>
      <w:tr>
        <w:trPr>
          <w:trHeight w:val="259"/>
        </w:trPr>
        <w:tc>
          <w:tcPr>
            <w:tcW w:w="63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Favorable lease agreements, net of accumulated amortization of</w:t>
            </w:r>
          </w:p>
        </w:tc>
        <w:tc>
          <w:tcPr>
            <w:tcW w:w="16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604</w:t>
            </w:r>
          </w:p>
        </w:tc>
        <w:tc>
          <w:tcPr>
            <w:tcW w:w="4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836</w:t>
            </w:r>
          </w:p>
        </w:tc>
        <w:tc>
          <w:tcPr>
            <w:tcW w:w="0" w:type="dxa"/>
            <w:vAlign w:val="bottom"/>
          </w:tcPr>
          <w:p>
            <w:pPr>
              <w:spacing w:after="0"/>
              <w:rPr>
                <w:sz w:val="1"/>
                <w:szCs w:val="1"/>
                <w:color w:val="auto"/>
              </w:rPr>
            </w:pPr>
          </w:p>
        </w:tc>
      </w:tr>
      <w:tr>
        <w:trPr>
          <w:trHeight w:val="168"/>
        </w:trPr>
        <w:tc>
          <w:tcPr>
            <w:tcW w:w="63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$3,738 ($3,557 in 1997)</w:t>
            </w:r>
          </w:p>
        </w:tc>
        <w:tc>
          <w:tcPr>
            <w:tcW w:w="1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Excess of cost over fair value of assets acquired, net of</w:t>
            </w:r>
          </w:p>
        </w:tc>
        <w:tc>
          <w:tcPr>
            <w:tcW w:w="16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19,765</w:t>
            </w:r>
          </w:p>
        </w:tc>
        <w:tc>
          <w:tcPr>
            <w:tcW w:w="4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20,276</w:t>
            </w:r>
          </w:p>
        </w:tc>
        <w:tc>
          <w:tcPr>
            <w:tcW w:w="0" w:type="dxa"/>
            <w:vAlign w:val="bottom"/>
          </w:tcPr>
          <w:p>
            <w:pPr>
              <w:spacing w:after="0"/>
              <w:rPr>
                <w:sz w:val="1"/>
                <w:szCs w:val="1"/>
                <w:color w:val="auto"/>
              </w:rPr>
            </w:pPr>
          </w:p>
        </w:tc>
      </w:tr>
      <w:tr>
        <w:trPr>
          <w:trHeight w:val="168"/>
        </w:trPr>
        <w:tc>
          <w:tcPr>
            <w:tcW w:w="63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amortization of $7,572 ($6,916 in 1997)</w:t>
            </w:r>
          </w:p>
        </w:tc>
        <w:tc>
          <w:tcPr>
            <w:tcW w:w="1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Broadcast licenses, net of accumulated amortization of $2,586</w:t>
            </w:r>
          </w:p>
        </w:tc>
        <w:tc>
          <w:tcPr>
            <w:tcW w:w="16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41,190</w:t>
            </w:r>
          </w:p>
        </w:tc>
        <w:tc>
          <w:tcPr>
            <w:tcW w:w="4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35,495</w:t>
            </w:r>
          </w:p>
        </w:tc>
        <w:tc>
          <w:tcPr>
            <w:tcW w:w="0" w:type="dxa"/>
            <w:vAlign w:val="bottom"/>
          </w:tcPr>
          <w:p>
            <w:pPr>
              <w:spacing w:after="0"/>
              <w:rPr>
                <w:sz w:val="1"/>
                <w:szCs w:val="1"/>
                <w:color w:val="auto"/>
              </w:rPr>
            </w:pPr>
          </w:p>
        </w:tc>
      </w:tr>
      <w:tr>
        <w:trPr>
          <w:trHeight w:val="168"/>
        </w:trPr>
        <w:tc>
          <w:tcPr>
            <w:tcW w:w="63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($1,614 in 1997)</w:t>
            </w:r>
          </w:p>
        </w:tc>
        <w:tc>
          <w:tcPr>
            <w:tcW w:w="1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intangibles, deferred costs and investments, net of</w:t>
            </w:r>
          </w:p>
        </w:tc>
        <w:tc>
          <w:tcPr>
            <w:tcW w:w="16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8,946</w:t>
            </w:r>
          </w:p>
        </w:tc>
        <w:tc>
          <w:tcPr>
            <w:tcW w:w="4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4,279</w:t>
            </w:r>
          </w:p>
        </w:tc>
        <w:tc>
          <w:tcPr>
            <w:tcW w:w="0" w:type="dxa"/>
            <w:vAlign w:val="bottom"/>
          </w:tcPr>
          <w:p>
            <w:pPr>
              <w:spacing w:after="0"/>
              <w:rPr>
                <w:sz w:val="1"/>
                <w:szCs w:val="1"/>
                <w:color w:val="auto"/>
              </w:rPr>
            </w:pPr>
          </w:p>
        </w:tc>
      </w:tr>
      <w:tr>
        <w:trPr>
          <w:trHeight w:val="168"/>
        </w:trPr>
        <w:tc>
          <w:tcPr>
            <w:tcW w:w="63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amortization of $7,506 ($6,533 in 1997)</w:t>
            </w:r>
          </w:p>
        </w:tc>
        <w:tc>
          <w:tcPr>
            <w:tcW w:w="16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Total other assets</w:t>
            </w: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00" w:type="dxa"/>
            <w:vAlign w:val="bottom"/>
            <w:vMerge w:val="continue"/>
          </w:tcPr>
          <w:p>
            <w:pPr>
              <w:spacing w:after="0"/>
              <w:rPr>
                <w:sz w:val="14"/>
                <w:szCs w:val="14"/>
                <w:color w:val="auto"/>
              </w:rPr>
            </w:pP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70,505</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60,886</w:t>
            </w:r>
          </w:p>
        </w:tc>
        <w:tc>
          <w:tcPr>
            <w:tcW w:w="0" w:type="dxa"/>
            <w:vAlign w:val="bottom"/>
          </w:tcPr>
          <w:p>
            <w:pPr>
              <w:spacing w:after="0"/>
              <w:rPr>
                <w:sz w:val="1"/>
                <w:szCs w:val="1"/>
                <w:color w:val="auto"/>
              </w:rPr>
            </w:pPr>
          </w:p>
        </w:tc>
      </w:tr>
      <w:tr>
        <w:trPr>
          <w:trHeight w:val="168"/>
        </w:trPr>
        <w:tc>
          <w:tcPr>
            <w:tcW w:w="6300" w:type="dxa"/>
            <w:vAlign w:val="bottom"/>
          </w:tcPr>
          <w:p>
            <w:pPr>
              <w:spacing w:after="0"/>
              <w:rPr>
                <w:sz w:val="14"/>
                <w:szCs w:val="14"/>
                <w:color w:val="auto"/>
              </w:rPr>
            </w:pP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00" w:type="dxa"/>
            <w:vAlign w:val="bottom"/>
          </w:tcPr>
          <w:p>
            <w:pPr>
              <w:spacing w:after="0"/>
              <w:rPr>
                <w:sz w:val="14"/>
                <w:szCs w:val="14"/>
                <w:color w:val="auto"/>
              </w:rPr>
            </w:pP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$130,013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112,433</w:t>
            </w:r>
          </w:p>
        </w:tc>
        <w:tc>
          <w:tcPr>
            <w:tcW w:w="0" w:type="dxa"/>
            <w:vAlign w:val="bottom"/>
          </w:tcPr>
          <w:p>
            <w:pPr>
              <w:spacing w:after="0"/>
              <w:rPr>
                <w:sz w:val="1"/>
                <w:szCs w:val="1"/>
                <w:color w:val="auto"/>
              </w:rPr>
            </w:pPr>
          </w:p>
        </w:tc>
      </w:tr>
      <w:tr>
        <w:trPr>
          <w:trHeight w:val="245"/>
        </w:trPr>
        <w:tc>
          <w:tcPr>
            <w:tcW w:w="6300" w:type="dxa"/>
            <w:vAlign w:val="bottom"/>
          </w:tcPr>
          <w:p>
            <w:pPr>
              <w:spacing w:after="0"/>
              <w:rPr>
                <w:sz w:val="21"/>
                <w:szCs w:val="21"/>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Saga Communications, Inc.</w:t>
      </w:r>
    </w:p>
    <w:p>
      <w:pPr>
        <w:spacing w:after="0" w:line="2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26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7060" w:type="dxa"/>
            <w:vAlign w:val="bottom"/>
          </w:tcPr>
          <w:p>
            <w:pPr>
              <w:spacing w:after="0"/>
              <w:rPr>
                <w:sz w:val="14"/>
                <w:szCs w:val="14"/>
                <w:color w:val="auto"/>
              </w:rPr>
            </w:pPr>
          </w:p>
        </w:tc>
        <w:tc>
          <w:tcPr>
            <w:tcW w:w="15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7060" w:type="dxa"/>
            <w:vAlign w:val="bottom"/>
          </w:tcPr>
          <w:p>
            <w:pPr>
              <w:spacing w:after="0"/>
              <w:rPr>
                <w:sz w:val="21"/>
                <w:szCs w:val="21"/>
                <w:color w:val="auto"/>
              </w:rPr>
            </w:pPr>
          </w:p>
        </w:tc>
        <w:tc>
          <w:tcPr>
            <w:tcW w:w="26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0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Current liabilities:</w:t>
            </w:r>
          </w:p>
        </w:tc>
        <w:tc>
          <w:tcPr>
            <w:tcW w:w="15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1,871</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1,001</w:t>
            </w: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5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5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3,721</w:t>
            </w:r>
          </w:p>
        </w:tc>
        <w:tc>
          <w:tcPr>
            <w:tcW w:w="44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3,679</w:t>
            </w:r>
          </w:p>
        </w:tc>
        <w:tc>
          <w:tcPr>
            <w:tcW w:w="0" w:type="dxa"/>
            <w:vAlign w:val="bottom"/>
          </w:tcPr>
          <w:p>
            <w:pPr>
              <w:spacing w:after="0"/>
              <w:rPr>
                <w:sz w:val="1"/>
                <w:szCs w:val="1"/>
                <w:color w:val="auto"/>
              </w:rPr>
            </w:pPr>
          </w:p>
        </w:tc>
      </w:tr>
      <w:tr>
        <w:trPr>
          <w:trHeight w:val="168"/>
        </w:trPr>
        <w:tc>
          <w:tcPr>
            <w:tcW w:w="7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Payroll and payroll taxes</w:t>
            </w:r>
          </w:p>
        </w:tc>
        <w:tc>
          <w:tcPr>
            <w:tcW w:w="1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1,964</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2,380</w:t>
            </w: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Barter transactions</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952</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w:t>
            </w: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181</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8,139</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liabilities</w:t>
            </w:r>
          </w:p>
        </w:tc>
        <w:tc>
          <w:tcPr>
            <w:tcW w:w="26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7060" w:type="dxa"/>
            <w:vAlign w:val="bottom"/>
            <w:vMerge w:val="continue"/>
          </w:tcPr>
          <w:p>
            <w:pPr>
              <w:spacing w:after="0"/>
              <w:rPr>
                <w:sz w:val="21"/>
                <w:szCs w:val="21"/>
                <w:color w:val="auto"/>
              </w:rPr>
            </w:pP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8,689</w:t>
            </w:r>
          </w:p>
        </w:tc>
        <w:tc>
          <w:tcPr>
            <w:tcW w:w="44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15,932</w:t>
            </w:r>
          </w:p>
        </w:tc>
        <w:tc>
          <w:tcPr>
            <w:tcW w:w="0" w:type="dxa"/>
            <w:vAlign w:val="bottom"/>
          </w:tcPr>
          <w:p>
            <w:pPr>
              <w:spacing w:after="0"/>
              <w:rPr>
                <w:sz w:val="1"/>
                <w:szCs w:val="1"/>
                <w:color w:val="auto"/>
              </w:rPr>
            </w:pPr>
          </w:p>
        </w:tc>
      </w:tr>
      <w:tr>
        <w:trPr>
          <w:trHeight w:val="259"/>
        </w:trPr>
        <w:tc>
          <w:tcPr>
            <w:tcW w:w="70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5,401</w:t>
            </w:r>
          </w:p>
        </w:tc>
        <w:tc>
          <w:tcPr>
            <w:tcW w:w="440" w:type="dxa"/>
            <w:vAlign w:val="bottom"/>
          </w:tcPr>
          <w:p>
            <w:pPr>
              <w:spacing w:after="0"/>
              <w:rPr>
                <w:sz w:val="22"/>
                <w:szCs w:val="22"/>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4,297</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70,725</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53,466</w:t>
            </w:r>
          </w:p>
        </w:tc>
        <w:tc>
          <w:tcPr>
            <w:tcW w:w="0" w:type="dxa"/>
            <w:vAlign w:val="bottom"/>
          </w:tcPr>
          <w:p>
            <w:pPr>
              <w:spacing w:after="0"/>
              <w:rPr>
                <w:sz w:val="1"/>
                <w:szCs w:val="1"/>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program rights</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295</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w:t>
            </w:r>
          </w:p>
        </w:tc>
        <w:tc>
          <w:tcPr>
            <w:tcW w:w="0" w:type="dxa"/>
            <w:vAlign w:val="bottom"/>
          </w:tcPr>
          <w:p>
            <w:pPr>
              <w:spacing w:after="0"/>
              <w:rPr>
                <w:sz w:val="1"/>
                <w:szCs w:val="1"/>
                <w:color w:val="auto"/>
              </w:rPr>
            </w:pPr>
          </w:p>
        </w:tc>
      </w:tr>
      <w:tr>
        <w:trPr>
          <w:trHeight w:val="245"/>
        </w:trPr>
        <w:tc>
          <w:tcPr>
            <w:tcW w:w="70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c>
          <w:tcPr>
            <w:tcW w:w="0" w:type="dxa"/>
            <w:vAlign w:val="bottom"/>
          </w:tcPr>
          <w:p>
            <w:pPr>
              <w:spacing w:after="0"/>
              <w:rPr>
                <w:sz w:val="1"/>
                <w:szCs w:val="1"/>
                <w:color w:val="auto"/>
              </w:rPr>
            </w:pPr>
          </w:p>
        </w:tc>
      </w:tr>
      <w:tr>
        <w:trPr>
          <w:trHeight w:val="259"/>
        </w:trPr>
        <w:tc>
          <w:tcPr>
            <w:tcW w:w="70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 1,500 shares authorized, none issued and</w:t>
            </w:r>
          </w:p>
        </w:tc>
        <w:tc>
          <w:tcPr>
            <w:tcW w:w="15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outstanding</w:t>
            </w:r>
          </w:p>
        </w:tc>
        <w:tc>
          <w:tcPr>
            <w:tcW w:w="1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Class A common stock, $.01 par value, 35,000 shares authorized, 11,277</w:t>
            </w:r>
          </w:p>
        </w:tc>
        <w:tc>
          <w:tcPr>
            <w:tcW w:w="15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68"/>
        </w:trPr>
        <w:tc>
          <w:tcPr>
            <w:tcW w:w="70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 and outstanding (8,947 in 1997)</w:t>
            </w:r>
          </w:p>
        </w:tc>
        <w:tc>
          <w:tcPr>
            <w:tcW w:w="1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Class B common stock, $.01 par value, 3,500 shares authorized, 1,510</w:t>
            </w:r>
          </w:p>
        </w:tc>
        <w:tc>
          <w:tcPr>
            <w:tcW w:w="15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70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 and outstanding (1,208 in 1997)</w:t>
            </w:r>
          </w:p>
        </w:tc>
        <w:tc>
          <w:tcPr>
            <w:tcW w:w="1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37,355</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36,513</w:t>
            </w: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 receivable from principal stockholder</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(648)</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w:t>
            </w: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8,755</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2,431</w:t>
            </w: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Treasury stock (52 shares in 1998 at cost)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(898)</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restart"/>
          </w:tcPr>
          <w:p>
            <w:pPr>
              <w:spacing w:after="0"/>
              <w:rPr>
                <w:sz w:val="20"/>
                <w:szCs w:val="20"/>
                <w:color w:val="auto"/>
              </w:rPr>
            </w:pPr>
            <w:r>
              <w:rPr>
                <w:rFonts w:ascii="Courier New" w:cs="Courier New" w:eastAsia="Courier New" w:hAnsi="Courier New"/>
                <w:sz w:val="15"/>
                <w:szCs w:val="15"/>
                <w:color w:val="auto"/>
              </w:rPr>
              <w:t>Total stockholders' equity</w:t>
            </w:r>
          </w:p>
        </w:tc>
        <w:tc>
          <w:tcPr>
            <w:tcW w:w="2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vMerge w:val="continue"/>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44,723</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38,255</w:t>
            </w:r>
          </w:p>
        </w:tc>
        <w:tc>
          <w:tcPr>
            <w:tcW w:w="0" w:type="dxa"/>
            <w:vAlign w:val="bottom"/>
          </w:tcPr>
          <w:p>
            <w:pPr>
              <w:spacing w:after="0"/>
              <w:rPr>
                <w:sz w:val="1"/>
                <w:szCs w:val="1"/>
                <w:color w:val="auto"/>
              </w:rPr>
            </w:pPr>
          </w:p>
        </w:tc>
      </w:tr>
      <w:tr>
        <w:trPr>
          <w:trHeight w:val="168"/>
        </w:trPr>
        <w:tc>
          <w:tcPr>
            <w:tcW w:w="7060" w:type="dxa"/>
            <w:vAlign w:val="bottom"/>
          </w:tcPr>
          <w:p>
            <w:pPr>
              <w:spacing w:after="0"/>
              <w:rPr>
                <w:sz w:val="14"/>
                <w:szCs w:val="14"/>
                <w:color w:val="auto"/>
              </w:rPr>
            </w:pPr>
          </w:p>
        </w:tc>
        <w:tc>
          <w:tcPr>
            <w:tcW w:w="2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6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$130,013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112,433</w:t>
            </w:r>
          </w:p>
        </w:tc>
        <w:tc>
          <w:tcPr>
            <w:tcW w:w="0" w:type="dxa"/>
            <w:vAlign w:val="bottom"/>
          </w:tcPr>
          <w:p>
            <w:pPr>
              <w:spacing w:after="0"/>
              <w:rPr>
                <w:sz w:val="1"/>
                <w:szCs w:val="1"/>
                <w:color w:val="auto"/>
              </w:rPr>
            </w:pPr>
          </w:p>
        </w:tc>
      </w:tr>
      <w:tr>
        <w:trPr>
          <w:trHeight w:val="245"/>
        </w:trPr>
        <w:tc>
          <w:tcPr>
            <w:tcW w:w="7060" w:type="dxa"/>
            <w:vAlign w:val="bottom"/>
          </w:tcPr>
          <w:p>
            <w:pPr>
              <w:spacing w:after="0"/>
              <w:rPr>
                <w:sz w:val="21"/>
                <w:szCs w:val="21"/>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Income</w:t>
      </w:r>
    </w:p>
    <w:p>
      <w:pPr>
        <w:jc w:val="center"/>
        <w:ind w:right="31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1998</w:t>
            </w:r>
          </w:p>
        </w:tc>
        <w:tc>
          <w:tcPr>
            <w:tcW w:w="2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4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operating revenue</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$75,871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2"/>
              </w:rPr>
              <w:t>66,258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56,240</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 operating expense:</w:t>
            </w:r>
          </w:p>
        </w:tc>
        <w:tc>
          <w:tcPr>
            <w:tcW w:w="70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2"/>
              </w:rPr>
              <w:t>16,900</w:t>
            </w:r>
          </w:p>
        </w:tc>
        <w:tc>
          <w:tcPr>
            <w:tcW w:w="980" w:type="dxa"/>
            <w:vAlign w:val="bottom"/>
          </w:tcPr>
          <w:p>
            <w:pPr>
              <w:spacing w:after="0"/>
              <w:rPr>
                <w:sz w:val="14"/>
                <w:szCs w:val="14"/>
                <w:color w:val="auto"/>
              </w:rPr>
            </w:pP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w w:val="92"/>
              </w:rPr>
              <w:t>15,234</w:t>
            </w: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13,055</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Programming and technical</w:t>
            </w:r>
          </w:p>
        </w:tc>
        <w:tc>
          <w:tcPr>
            <w:tcW w:w="7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20,675</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2"/>
              </w:rPr>
              <w:t>18,605</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15,197</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Station general and administrative</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10,969</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9,957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8,377</w:t>
            </w:r>
          </w:p>
        </w:tc>
        <w:tc>
          <w:tcPr>
            <w:tcW w:w="0" w:type="dxa"/>
            <w:vAlign w:val="bottom"/>
          </w:tcPr>
          <w:p>
            <w:pPr>
              <w:spacing w:after="0"/>
              <w:rPr>
                <w:sz w:val="1"/>
                <w:szCs w:val="1"/>
                <w:color w:val="auto"/>
              </w:rPr>
            </w:pPr>
          </w:p>
        </w:tc>
      </w:tr>
      <w:tr>
        <w:trPr>
          <w:trHeight w:val="168"/>
        </w:trPr>
        <w:tc>
          <w:tcPr>
            <w:tcW w:w="526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station operating expense</w:t>
            </w:r>
          </w:p>
        </w:tc>
        <w:tc>
          <w:tcPr>
            <w:tcW w:w="4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48,544</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2"/>
              </w:rPr>
              <w:t>43,796</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36,629</w:t>
            </w:r>
          </w:p>
        </w:tc>
        <w:tc>
          <w:tcPr>
            <w:tcW w:w="0" w:type="dxa"/>
            <w:vAlign w:val="bottom"/>
          </w:tcPr>
          <w:p>
            <w:pPr>
              <w:spacing w:after="0"/>
              <w:rPr>
                <w:sz w:val="1"/>
                <w:szCs w:val="1"/>
                <w:color w:val="auto"/>
              </w:rPr>
            </w:pPr>
          </w:p>
        </w:tc>
      </w:tr>
      <w:tr>
        <w:trPr>
          <w:trHeight w:val="245"/>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Station operating income before corporate general and</w:t>
            </w:r>
          </w:p>
        </w:tc>
        <w:tc>
          <w:tcPr>
            <w:tcW w:w="4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2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2"/>
              </w:rPr>
              <w:t>27,327</w:t>
            </w:r>
          </w:p>
        </w:tc>
        <w:tc>
          <w:tcPr>
            <w:tcW w:w="980" w:type="dxa"/>
            <w:vAlign w:val="bottom"/>
          </w:tcPr>
          <w:p>
            <w:pPr>
              <w:spacing w:after="0"/>
              <w:rPr>
                <w:sz w:val="7"/>
                <w:szCs w:val="7"/>
                <w:color w:val="auto"/>
              </w:rPr>
            </w:pP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w w:val="92"/>
              </w:rPr>
              <w:t>22,462</w:t>
            </w:r>
          </w:p>
        </w:tc>
        <w:tc>
          <w:tcPr>
            <w:tcW w:w="18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19,611</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administrative, depreciation and amortization</w:t>
            </w:r>
          </w:p>
        </w:tc>
        <w:tc>
          <w:tcPr>
            <w:tcW w:w="7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 general and administrative</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4,497</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3,953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3,299</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3,597</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3,207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3,277</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2,823</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2,665</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2,231</w:t>
            </w: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profit</w:t>
            </w:r>
          </w:p>
        </w:tc>
        <w:tc>
          <w:tcPr>
            <w:tcW w:w="4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2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16,410</w:t>
            </w:r>
          </w:p>
        </w:tc>
        <w:tc>
          <w:tcPr>
            <w:tcW w:w="980" w:type="dxa"/>
            <w:vAlign w:val="bottom"/>
          </w:tcPr>
          <w:p>
            <w:pPr>
              <w:spacing w:after="0"/>
              <w:rPr>
                <w:sz w:val="21"/>
                <w:szCs w:val="21"/>
                <w:color w:val="auto"/>
              </w:rPr>
            </w:pPr>
          </w:p>
        </w:tc>
        <w:tc>
          <w:tcPr>
            <w:tcW w:w="130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2"/>
              </w:rPr>
              <w:t>12,637</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10,804</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700" w:type="dxa"/>
            <w:vAlign w:val="bottom"/>
          </w:tcPr>
          <w:p>
            <w:pPr>
              <w:spacing w:after="0"/>
              <w:rPr>
                <w:sz w:val="22"/>
                <w:szCs w:val="22"/>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4,609</w:t>
            </w:r>
          </w:p>
        </w:tc>
        <w:tc>
          <w:tcPr>
            <w:tcW w:w="980" w:type="dxa"/>
            <w:vAlign w:val="bottom"/>
          </w:tcPr>
          <w:p>
            <w:pPr>
              <w:spacing w:after="0"/>
              <w:rPr>
                <w:sz w:val="22"/>
                <w:szCs w:val="22"/>
                <w:color w:val="auto"/>
              </w:rPr>
            </w:pP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rPr>
              <w:t>4,769</w:t>
            </w:r>
          </w:p>
        </w:tc>
        <w:tc>
          <w:tcPr>
            <w:tcW w:w="180" w:type="dxa"/>
            <w:vAlign w:val="bottom"/>
          </w:tcPr>
          <w:p>
            <w:pPr>
              <w:spacing w:after="0"/>
              <w:rPr>
                <w:sz w:val="22"/>
                <w:szCs w:val="22"/>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3,814</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7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w:t>
            </w:r>
          </w:p>
        </w:tc>
        <w:tc>
          <w:tcPr>
            <w:tcW w:w="4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11,231</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7,852</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6,973</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w:t>
            </w:r>
          </w:p>
        </w:tc>
        <w:tc>
          <w:tcPr>
            <w:tcW w:w="70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3,893</w:t>
            </w:r>
          </w:p>
        </w:tc>
        <w:tc>
          <w:tcPr>
            <w:tcW w:w="980" w:type="dxa"/>
            <w:vAlign w:val="bottom"/>
          </w:tcPr>
          <w:p>
            <w:pPr>
              <w:spacing w:after="0"/>
              <w:rPr>
                <w:sz w:val="14"/>
                <w:szCs w:val="14"/>
                <w:color w:val="auto"/>
              </w:rPr>
            </w:pP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rPr>
              <w:t>2,657</w:t>
            </w: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2,355</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w:t>
            </w:r>
          </w:p>
        </w:tc>
        <w:tc>
          <w:tcPr>
            <w:tcW w:w="7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987</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703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4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4,880</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3,360</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3,038</w:t>
            </w: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4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$ 6,351</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4,492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3,935</w:t>
            </w: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4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4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12,717</w:t>
            </w:r>
          </w:p>
        </w:tc>
        <w:tc>
          <w:tcPr>
            <w:tcW w:w="98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2"/>
              </w:rPr>
              <w:t>12,637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12,573</w:t>
            </w:r>
          </w:p>
        </w:tc>
        <w:tc>
          <w:tcPr>
            <w:tcW w:w="0" w:type="dxa"/>
            <w:vAlign w:val="bottom"/>
          </w:tcPr>
          <w:p>
            <w:pPr>
              <w:spacing w:after="0"/>
              <w:rPr>
                <w:sz w:val="1"/>
                <w:szCs w:val="1"/>
                <w:color w:val="auto"/>
              </w:rPr>
            </w:pPr>
          </w:p>
        </w:tc>
      </w:tr>
      <w:tr>
        <w:trPr>
          <w:trHeight w:val="168"/>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4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245"/>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 and common equivalent shares</w:t>
            </w:r>
          </w:p>
        </w:tc>
        <w:tc>
          <w:tcPr>
            <w:tcW w:w="4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2"/>
              </w:rPr>
              <w:t>12,990</w:t>
            </w:r>
          </w:p>
        </w:tc>
        <w:tc>
          <w:tcPr>
            <w:tcW w:w="980" w:type="dxa"/>
            <w:vAlign w:val="bottom"/>
          </w:tcPr>
          <w:p>
            <w:pPr>
              <w:spacing w:after="0"/>
              <w:rPr>
                <w:sz w:val="14"/>
                <w:szCs w:val="14"/>
                <w:color w:val="auto"/>
              </w:rPr>
            </w:pP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w w:val="92"/>
              </w:rPr>
              <w:t>12,888</w:t>
            </w: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12,816</w:t>
            </w:r>
          </w:p>
        </w:tc>
        <w:tc>
          <w:tcPr>
            <w:tcW w:w="0" w:type="dxa"/>
            <w:vAlign w:val="bottom"/>
          </w:tcPr>
          <w:p>
            <w:pPr>
              <w:spacing w:after="0"/>
              <w:rPr>
                <w:sz w:val="1"/>
                <w:szCs w:val="1"/>
                <w:color w:val="auto"/>
              </w:rPr>
            </w:pPr>
          </w:p>
        </w:tc>
      </w:tr>
      <w:tr>
        <w:trPr>
          <w:trHeight w:val="91"/>
        </w:trPr>
        <w:tc>
          <w:tcPr>
            <w:tcW w:w="5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4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6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Saga Communications, Inc.</w:t>
      </w:r>
    </w:p>
    <w:p>
      <w:pPr>
        <w:spacing w:after="0" w:line="2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Consolidated Statements of Stockholders' Equity</w:t>
      </w:r>
    </w:p>
    <w:p>
      <w:pPr>
        <w:jc w:val="center"/>
        <w:ind w:right="4440"/>
        <w:spacing w:after="0" w:line="237" w:lineRule="auto"/>
        <w:rPr>
          <w:sz w:val="20"/>
          <w:szCs w:val="20"/>
          <w:color w:val="auto"/>
        </w:rPr>
      </w:pPr>
      <w:r>
        <w:rPr>
          <w:rFonts w:ascii="Courier New" w:cs="Courier New" w:eastAsia="Courier New" w:hAnsi="Courier New"/>
          <w:sz w:val="15"/>
          <w:szCs w:val="15"/>
          <w:color w:val="auto"/>
        </w:rPr>
        <w:t>Years ended December 31, 1998, 1997, and 1996</w:t>
      </w:r>
    </w:p>
    <w:p>
      <w:pPr>
        <w:jc w:val="center"/>
        <w:ind w:right="45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NOTE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RETAINED</w:t>
            </w:r>
          </w:p>
        </w:tc>
        <w:tc>
          <w:tcPr>
            <w:tcW w:w="10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ACCUMULATED</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920" w:type="dxa"/>
            <w:vAlign w:val="bottom"/>
            <w:vMerge w:val="restart"/>
          </w:tcPr>
          <w:p>
            <w:pPr>
              <w:jc w:val="right"/>
              <w:ind w:right="121"/>
              <w:spacing w:after="0"/>
              <w:rPr>
                <w:sz w:val="20"/>
                <w:szCs w:val="20"/>
                <w:color w:val="auto"/>
              </w:rPr>
            </w:pPr>
            <w:r>
              <w:rPr>
                <w:rFonts w:ascii="Courier New" w:cs="Courier New" w:eastAsia="Courier New" w:hAnsi="Courier New"/>
                <w:sz w:val="15"/>
                <w:szCs w:val="15"/>
                <w:color w:val="auto"/>
              </w:rPr>
              <w:t>CLASS A</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CLASS B</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ADDITIONAL</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RECEIVABLE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OTHER</w:t>
            </w:r>
          </w:p>
        </w:tc>
        <w:tc>
          <w:tcPr>
            <w:tcW w:w="7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COMPRE-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FROM</w:t>
            </w:r>
          </w:p>
        </w:tc>
        <w:tc>
          <w:tcPr>
            <w:tcW w:w="880" w:type="dxa"/>
            <w:vAlign w:val="bottom"/>
            <w:gridSpan w:val="2"/>
            <w:vMerge w:val="restart"/>
          </w:tcPr>
          <w:p>
            <w:pPr>
              <w:jc w:val="right"/>
              <w:ind w:right="32"/>
              <w:spacing w:after="0"/>
              <w:rPr>
                <w:sz w:val="20"/>
                <w:szCs w:val="20"/>
                <w:color w:val="auto"/>
              </w:rPr>
            </w:pPr>
            <w:r>
              <w:rPr>
                <w:rFonts w:ascii="Courier New" w:cs="Courier New" w:eastAsia="Courier New" w:hAnsi="Courier New"/>
                <w:sz w:val="15"/>
                <w:szCs w:val="15"/>
                <w:color w:val="auto"/>
              </w:rPr>
              <w:t>TREASURY</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EARNINGS</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COMPRE-</w:t>
            </w:r>
          </w:p>
        </w:tc>
        <w:tc>
          <w:tcPr>
            <w:tcW w:w="740" w:type="dxa"/>
            <w:vAlign w:val="bottom"/>
            <w:vMerge w:val="continue"/>
          </w:tcPr>
          <w:p>
            <w:pPr>
              <w:spacing w:after="0"/>
              <w:rPr>
                <w:sz w:val="14"/>
                <w:szCs w:val="14"/>
                <w:color w:val="auto"/>
              </w:rPr>
            </w:pPr>
          </w:p>
        </w:tc>
        <w:tc>
          <w:tcPr>
            <w:tcW w:w="7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920" w:type="dxa"/>
            <w:vAlign w:val="bottom"/>
          </w:tcPr>
          <w:p>
            <w:pPr>
              <w:jc w:val="right"/>
              <w:ind w:right="201"/>
              <w:spacing w:after="0" w:line="168" w:lineRule="exact"/>
              <w:rPr>
                <w:sz w:val="20"/>
                <w:szCs w:val="20"/>
                <w:color w:val="auto"/>
              </w:rPr>
            </w:pPr>
            <w:r>
              <w:rPr>
                <w:rFonts w:ascii="Courier New" w:cs="Courier New" w:eastAsia="Courier New" w:hAnsi="Courier New"/>
                <w:sz w:val="15"/>
                <w:szCs w:val="15"/>
                <w:color w:val="auto"/>
              </w:rPr>
              <w:t>COMMON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PAID-IN</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PRINCIPAL</w:t>
            </w:r>
          </w:p>
        </w:tc>
        <w:tc>
          <w:tcPr>
            <w:tcW w:w="880" w:type="dxa"/>
            <w:vAlign w:val="bottom"/>
            <w:gridSpan w:val="2"/>
            <w:vMerge w:val="continue"/>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(ACCUMULATED</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HENSIVE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HENSIVE</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920" w:type="dxa"/>
            <w:vAlign w:val="bottom"/>
          </w:tcPr>
          <w:p>
            <w:pPr>
              <w:jc w:val="right"/>
              <w:ind w:right="201"/>
              <w:spacing w:after="0" w:line="168" w:lineRule="exact"/>
              <w:rPr>
                <w:sz w:val="20"/>
                <w:szCs w:val="20"/>
                <w:color w:val="auto"/>
              </w:rPr>
            </w:pPr>
            <w:r>
              <w:rPr>
                <w:rFonts w:ascii="Courier New" w:cs="Courier New" w:eastAsia="Courier New" w:hAnsi="Courier New"/>
                <w:sz w:val="15"/>
                <w:szCs w:val="15"/>
                <w:color w:val="auto"/>
              </w:rPr>
              <w:t>STOCK</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DEFICIT)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INCOME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8340" w:type="dxa"/>
            <w:vAlign w:val="bottom"/>
            <w:gridSpan w:val="11"/>
          </w:tcPr>
          <w:p>
            <w:pPr>
              <w:jc w:val="right"/>
              <w:ind w:right="9"/>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427"/>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at January 1, 1996</w:t>
            </w:r>
          </w:p>
        </w:tc>
        <w:tc>
          <w:tcPr>
            <w:tcW w:w="920" w:type="dxa"/>
            <w:vAlign w:val="bottom"/>
          </w:tcPr>
          <w:p>
            <w:pPr>
              <w:jc w:val="right"/>
              <w:ind w:right="281"/>
              <w:spacing w:after="0"/>
              <w:rPr>
                <w:sz w:val="20"/>
                <w:szCs w:val="20"/>
                <w:color w:val="auto"/>
              </w:rPr>
            </w:pPr>
            <w:r>
              <w:rPr>
                <w:rFonts w:ascii="Courier New" w:cs="Courier New" w:eastAsia="Courier New" w:hAnsi="Courier New"/>
                <w:sz w:val="15"/>
                <w:szCs w:val="15"/>
                <w:color w:val="auto"/>
              </w:rPr>
              <w:t>$ 56</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$35,526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$(748)</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(5,960)</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5"/>
                <w:szCs w:val="15"/>
                <w:color w:val="auto"/>
              </w:rPr>
              <w:t>$28,882</w:t>
            </w: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proceeds from exercised</w:t>
            </w:r>
          </w:p>
        </w:tc>
        <w:tc>
          <w:tcPr>
            <w:tcW w:w="920" w:type="dxa"/>
            <w:vAlign w:val="bottom"/>
            <w:vMerge w:val="restart"/>
          </w:tcPr>
          <w:p>
            <w:pPr>
              <w:jc w:val="right"/>
              <w:ind w:right="281"/>
              <w:spacing w:after="0"/>
              <w:rPr>
                <w:sz w:val="20"/>
                <w:szCs w:val="20"/>
                <w:color w:val="auto"/>
              </w:rPr>
            </w:pPr>
            <w:r>
              <w:rPr>
                <w:rFonts w:ascii="Courier New" w:cs="Courier New" w:eastAsia="Courier New" w:hAnsi="Courier New"/>
                <w:sz w:val="15"/>
                <w:szCs w:val="15"/>
                <w:color w:val="auto"/>
              </w:rPr>
              <w:t>338</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338</w:t>
            </w:r>
          </w:p>
        </w:tc>
        <w:tc>
          <w:tcPr>
            <w:tcW w:w="0" w:type="dxa"/>
            <w:vAlign w:val="bottom"/>
          </w:tcPr>
          <w:p>
            <w:pPr>
              <w:spacing w:after="0"/>
              <w:rPr>
                <w:sz w:val="1"/>
                <w:szCs w:val="1"/>
                <w:color w:val="auto"/>
              </w:rPr>
            </w:pP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options</w:t>
            </w:r>
          </w:p>
        </w:tc>
        <w:tc>
          <w:tcPr>
            <w:tcW w:w="920" w:type="dxa"/>
            <w:vAlign w:val="bottom"/>
            <w:vMerge w:val="continue"/>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Five-for-four stock splits</w:t>
            </w:r>
          </w:p>
        </w:tc>
        <w:tc>
          <w:tcPr>
            <w:tcW w:w="920" w:type="dxa"/>
            <w:vAlign w:val="bottom"/>
          </w:tcPr>
          <w:p>
            <w:pPr>
              <w:jc w:val="right"/>
              <w:ind w:right="281"/>
              <w:spacing w:after="0" w:line="168" w:lineRule="exact"/>
              <w:rPr>
                <w:sz w:val="20"/>
                <w:szCs w:val="20"/>
                <w:color w:val="auto"/>
              </w:rPr>
            </w:pPr>
            <w:r>
              <w:rPr>
                <w:rFonts w:ascii="Courier New" w:cs="Courier New" w:eastAsia="Courier New" w:hAnsi="Courier New"/>
                <w:sz w:val="15"/>
                <w:szCs w:val="15"/>
                <w:color w:val="auto"/>
              </w:rPr>
              <w:t>32</w:t>
            </w:r>
          </w:p>
        </w:tc>
        <w:tc>
          <w:tcPr>
            <w:tcW w:w="7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interest</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and comprehensive</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3,935</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$3,935</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3,935</w:t>
            </w:r>
          </w:p>
        </w:tc>
        <w:tc>
          <w:tcPr>
            <w:tcW w:w="0" w:type="dxa"/>
            <w:vAlign w:val="bottom"/>
          </w:tcPr>
          <w:p>
            <w:pPr>
              <w:spacing w:after="0"/>
              <w:rPr>
                <w:sz w:val="1"/>
                <w:szCs w:val="1"/>
                <w:color w:val="auto"/>
              </w:rPr>
            </w:pP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1996</w:t>
            </w:r>
          </w:p>
        </w:tc>
        <w:tc>
          <w:tcPr>
            <w:tcW w:w="920" w:type="dxa"/>
            <w:vAlign w:val="bottom"/>
            <w:vMerge w:val="restart"/>
          </w:tcPr>
          <w:p>
            <w:pPr>
              <w:ind w:left="140"/>
              <w:spacing w:after="0"/>
              <w:rPr>
                <w:sz w:val="20"/>
                <w:szCs w:val="20"/>
                <w:color w:val="auto"/>
              </w:rPr>
            </w:pPr>
            <w:r>
              <w:rPr>
                <w:rFonts w:ascii="Courier New" w:cs="Courier New" w:eastAsia="Courier New" w:hAnsi="Courier New"/>
                <w:sz w:val="2"/>
                <w:szCs w:val="2"/>
                <w:color w:val="auto"/>
                <w:w w:val="80"/>
              </w:rPr>
              <w:t>----------------------------------------------------------------------------</w:t>
            </w:r>
            <w:r>
              <w:rPr>
                <w:rFonts w:ascii="Courier New" w:cs="Courier New" w:eastAsia="Courier New" w:hAnsi="Courier New"/>
                <w:sz w:val="4"/>
                <w:szCs w:val="4"/>
                <w:color w:val="auto"/>
                <w:w w:val="80"/>
                <w:vertAlign w:val="subscript"/>
              </w:rPr>
              <w:t>88</w:t>
            </w: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35,864</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(790)</w:t>
            </w:r>
          </w:p>
        </w:tc>
        <w:tc>
          <w:tcPr>
            <w:tcW w:w="620" w:type="dxa"/>
            <w:vAlign w:val="bottom"/>
          </w:tcPr>
          <w:p>
            <w:pPr>
              <w:spacing w:after="0"/>
              <w:rPr>
                <w:sz w:val="21"/>
                <w:szCs w:val="21"/>
                <w:color w:val="auto"/>
              </w:rPr>
            </w:pPr>
          </w:p>
        </w:tc>
        <w:tc>
          <w:tcPr>
            <w:tcW w:w="260" w:type="dxa"/>
            <w:vAlign w:val="bottom"/>
            <w:vMerge w:val="restart"/>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spacing w:after="0"/>
              <w:rPr>
                <w:sz w:val="21"/>
                <w:szCs w:val="21"/>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(2,061)</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20"/>
                <w:szCs w:val="20"/>
                <w:color w:val="auto"/>
                <w:w w:val="72"/>
                <w:vertAlign w:val="subscript"/>
              </w:rPr>
              <w:t>33,113</w:t>
            </w:r>
          </w:p>
        </w:tc>
        <w:tc>
          <w:tcPr>
            <w:tcW w:w="0" w:type="dxa"/>
            <w:vAlign w:val="bottom"/>
          </w:tcPr>
          <w:p>
            <w:pPr>
              <w:spacing w:after="0"/>
              <w:rPr>
                <w:sz w:val="1"/>
                <w:szCs w:val="1"/>
                <w:color w:val="auto"/>
              </w:rPr>
            </w:pPr>
          </w:p>
        </w:tc>
      </w:tr>
      <w:tr>
        <w:trPr>
          <w:trHeight w:val="91"/>
        </w:trPr>
        <w:tc>
          <w:tcPr>
            <w:tcW w:w="32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proceeds from exercised</w:t>
            </w:r>
          </w:p>
        </w:tc>
        <w:tc>
          <w:tcPr>
            <w:tcW w:w="920" w:type="dxa"/>
            <w:vAlign w:val="bottom"/>
            <w:vMerge w:val="restart"/>
          </w:tcPr>
          <w:p>
            <w:pPr>
              <w:jc w:val="right"/>
              <w:ind w:right="281"/>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649</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650</w:t>
            </w:r>
          </w:p>
        </w:tc>
        <w:tc>
          <w:tcPr>
            <w:tcW w:w="0" w:type="dxa"/>
            <w:vAlign w:val="bottom"/>
          </w:tcPr>
          <w:p>
            <w:pPr>
              <w:spacing w:after="0"/>
              <w:rPr>
                <w:sz w:val="1"/>
                <w:szCs w:val="1"/>
                <w:color w:val="auto"/>
              </w:rPr>
            </w:pP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options</w:t>
            </w: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and comprehensive</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4,492</w:t>
            </w:r>
          </w:p>
        </w:tc>
        <w:tc>
          <w:tcPr>
            <w:tcW w:w="108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4,492</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4,492</w:t>
            </w:r>
          </w:p>
        </w:tc>
        <w:tc>
          <w:tcPr>
            <w:tcW w:w="0" w:type="dxa"/>
            <w:vAlign w:val="bottom"/>
          </w:tcPr>
          <w:p>
            <w:pPr>
              <w:spacing w:after="0"/>
              <w:rPr>
                <w:sz w:val="1"/>
                <w:szCs w:val="1"/>
                <w:color w:val="auto"/>
              </w:rPr>
            </w:pP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1997</w:t>
            </w:r>
          </w:p>
        </w:tc>
        <w:tc>
          <w:tcPr>
            <w:tcW w:w="920" w:type="dxa"/>
            <w:vAlign w:val="bottom"/>
            <w:vMerge w:val="restart"/>
          </w:tcPr>
          <w:p>
            <w:pPr>
              <w:ind w:left="140"/>
              <w:spacing w:after="0"/>
              <w:rPr>
                <w:sz w:val="20"/>
                <w:szCs w:val="20"/>
                <w:color w:val="auto"/>
              </w:rPr>
            </w:pPr>
            <w:r>
              <w:rPr>
                <w:rFonts w:ascii="Courier New" w:cs="Courier New" w:eastAsia="Courier New" w:hAnsi="Courier New"/>
                <w:sz w:val="2"/>
                <w:szCs w:val="2"/>
                <w:color w:val="auto"/>
                <w:w w:val="80"/>
              </w:rPr>
              <w:t>----------------------------------------------------------------------------</w:t>
            </w:r>
            <w:r>
              <w:rPr>
                <w:rFonts w:ascii="Courier New" w:cs="Courier New" w:eastAsia="Courier New" w:hAnsi="Courier New"/>
                <w:sz w:val="4"/>
                <w:szCs w:val="4"/>
                <w:color w:val="auto"/>
                <w:w w:val="80"/>
                <w:vertAlign w:val="subscript"/>
              </w:rPr>
              <w:t>89</w:t>
            </w: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36,513</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(790)</w:t>
            </w:r>
          </w:p>
        </w:tc>
        <w:tc>
          <w:tcPr>
            <w:tcW w:w="620" w:type="dxa"/>
            <w:vAlign w:val="bottom"/>
          </w:tcPr>
          <w:p>
            <w:pPr>
              <w:spacing w:after="0"/>
              <w:rPr>
                <w:sz w:val="21"/>
                <w:szCs w:val="21"/>
                <w:color w:val="auto"/>
              </w:rPr>
            </w:pPr>
          </w:p>
        </w:tc>
        <w:tc>
          <w:tcPr>
            <w:tcW w:w="260" w:type="dxa"/>
            <w:vAlign w:val="bottom"/>
            <w:vMerge w:val="restart"/>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spacing w:after="0"/>
              <w:rPr>
                <w:sz w:val="21"/>
                <w:szCs w:val="21"/>
                <w:color w:val="auto"/>
              </w:rPr>
            </w:pPr>
          </w:p>
        </w:tc>
        <w:tc>
          <w:tcPr>
            <w:tcW w:w="8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2,431</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20"/>
                <w:szCs w:val="20"/>
                <w:color w:val="auto"/>
                <w:w w:val="72"/>
                <w:vertAlign w:val="subscript"/>
              </w:rPr>
              <w:t>38,255</w:t>
            </w:r>
          </w:p>
        </w:tc>
        <w:tc>
          <w:tcPr>
            <w:tcW w:w="0" w:type="dxa"/>
            <w:vAlign w:val="bottom"/>
          </w:tcPr>
          <w:p>
            <w:pPr>
              <w:spacing w:after="0"/>
              <w:rPr>
                <w:sz w:val="1"/>
                <w:szCs w:val="1"/>
                <w:color w:val="auto"/>
              </w:rPr>
            </w:pPr>
          </w:p>
        </w:tc>
      </w:tr>
      <w:tr>
        <w:trPr>
          <w:trHeight w:val="91"/>
        </w:trPr>
        <w:tc>
          <w:tcPr>
            <w:tcW w:w="32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6,351</w:t>
            </w:r>
          </w:p>
        </w:tc>
        <w:tc>
          <w:tcPr>
            <w:tcW w:w="108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6,351</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6,351</w:t>
            </w:r>
          </w:p>
        </w:tc>
        <w:tc>
          <w:tcPr>
            <w:tcW w:w="0" w:type="dxa"/>
            <w:vAlign w:val="bottom"/>
          </w:tcPr>
          <w:p>
            <w:pPr>
              <w:spacing w:after="0"/>
              <w:rPr>
                <w:sz w:val="1"/>
                <w:szCs w:val="1"/>
                <w:color w:val="auto"/>
              </w:rPr>
            </w:pPr>
          </w:p>
        </w:tc>
      </w:tr>
      <w:tr>
        <w:trPr>
          <w:trHeight w:val="168"/>
        </w:trPr>
        <w:tc>
          <w:tcPr>
            <w:tcW w:w="3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income</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31</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3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adjustment</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$6,382</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Net proceeds from exercised</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200" w:type="dxa"/>
            <w:vAlign w:val="bottom"/>
            <w:vMerge w:val="continue"/>
          </w:tcPr>
          <w:p>
            <w:pPr>
              <w:spacing w:after="0"/>
              <w:rPr>
                <w:sz w:val="7"/>
                <w:szCs w:val="7"/>
                <w:color w:val="auto"/>
              </w:rPr>
            </w:pPr>
          </w:p>
        </w:tc>
        <w:tc>
          <w:tcPr>
            <w:tcW w:w="920" w:type="dxa"/>
            <w:vAlign w:val="bottom"/>
            <w:vMerge w:val="restart"/>
          </w:tcPr>
          <w:p>
            <w:pPr>
              <w:jc w:val="right"/>
              <w:ind w:right="281"/>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7"/>
                <w:szCs w:val="7"/>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608</w:t>
            </w: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options</w:t>
            </w:r>
          </w:p>
        </w:tc>
        <w:tc>
          <w:tcPr>
            <w:tcW w:w="920" w:type="dxa"/>
            <w:vAlign w:val="bottom"/>
            <w:vMerge w:val="continue"/>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0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Five-for-four stock splits</w:t>
            </w:r>
          </w:p>
        </w:tc>
        <w:tc>
          <w:tcPr>
            <w:tcW w:w="920" w:type="dxa"/>
            <w:vAlign w:val="bottom"/>
          </w:tcPr>
          <w:p>
            <w:pPr>
              <w:jc w:val="right"/>
              <w:ind w:right="281"/>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interest</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 forgiveness</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Station acquisition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234</w:t>
            </w:r>
          </w:p>
        </w:tc>
        <w:tc>
          <w:tcPr>
            <w:tcW w:w="0" w:type="dxa"/>
            <w:vAlign w:val="bottom"/>
          </w:tcPr>
          <w:p>
            <w:pPr>
              <w:spacing w:after="0"/>
              <w:rPr>
                <w:sz w:val="1"/>
                <w:szCs w:val="1"/>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shares held in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gridSpan w:val="2"/>
            <w:vMerge w:val="restart"/>
          </w:tcPr>
          <w:p>
            <w:pPr>
              <w:jc w:val="right"/>
              <w:ind w:right="32"/>
              <w:spacing w:after="0"/>
              <w:rPr>
                <w:sz w:val="20"/>
                <w:szCs w:val="20"/>
                <w:color w:val="auto"/>
              </w:rPr>
            </w:pPr>
            <w:r>
              <w:rPr>
                <w:rFonts w:ascii="Courier New" w:cs="Courier New" w:eastAsia="Courier New" w:hAnsi="Courier New"/>
                <w:sz w:val="15"/>
                <w:szCs w:val="15"/>
                <w:color w:val="auto"/>
              </w:rPr>
              <w:t>(898)</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(898)</w:t>
            </w:r>
          </w:p>
        </w:tc>
        <w:tc>
          <w:tcPr>
            <w:tcW w:w="0" w:type="dxa"/>
            <w:vAlign w:val="bottom"/>
          </w:tcPr>
          <w:p>
            <w:pPr>
              <w:spacing w:after="0"/>
              <w:rPr>
                <w:sz w:val="1"/>
                <w:szCs w:val="1"/>
                <w:color w:val="auto"/>
              </w:rPr>
            </w:pP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treasury</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DECEMBER 31, 1998</w:t>
            </w:r>
          </w:p>
        </w:tc>
        <w:tc>
          <w:tcPr>
            <w:tcW w:w="920" w:type="dxa"/>
            <w:vAlign w:val="bottom"/>
            <w:vMerge w:val="restart"/>
          </w:tcPr>
          <w:p>
            <w:pPr>
              <w:ind w:left="140"/>
              <w:spacing w:after="0"/>
              <w:rPr>
                <w:sz w:val="20"/>
                <w:szCs w:val="20"/>
                <w:color w:val="auto"/>
              </w:rPr>
            </w:pPr>
            <w:r>
              <w:rPr>
                <w:rFonts w:ascii="Courier New" w:cs="Courier New" w:eastAsia="Courier New" w:hAnsi="Courier New"/>
                <w:sz w:val="2"/>
                <w:szCs w:val="2"/>
                <w:color w:val="auto"/>
                <w:w w:val="77"/>
              </w:rPr>
              <w:t>----------------------------------------------------------------------------</w:t>
            </w:r>
            <w:r>
              <w:rPr>
                <w:rFonts w:ascii="Courier New" w:cs="Courier New" w:eastAsia="Courier New" w:hAnsi="Courier New"/>
                <w:sz w:val="4"/>
                <w:szCs w:val="4"/>
                <w:color w:val="auto"/>
                <w:w w:val="77"/>
                <w:vertAlign w:val="subscript"/>
              </w:rPr>
              <w:t>$113</w:t>
            </w: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$37,355</w:t>
            </w: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$(648)</w:t>
            </w:r>
          </w:p>
        </w:tc>
        <w:tc>
          <w:tcPr>
            <w:tcW w:w="880" w:type="dxa"/>
            <w:vAlign w:val="bottom"/>
            <w:gridSpan w:val="2"/>
            <w:vMerge w:val="restart"/>
          </w:tcPr>
          <w:p>
            <w:pPr>
              <w:jc w:val="right"/>
              <w:ind w:right="32"/>
              <w:spacing w:after="0"/>
              <w:rPr>
                <w:sz w:val="20"/>
                <w:szCs w:val="20"/>
                <w:color w:val="auto"/>
              </w:rPr>
            </w:pPr>
            <w:r>
              <w:rPr>
                <w:rFonts w:ascii="Courier New" w:cs="Courier New" w:eastAsia="Courier New" w:hAnsi="Courier New"/>
                <w:sz w:val="15"/>
                <w:szCs w:val="15"/>
                <w:color w:val="auto"/>
              </w:rPr>
              <w:t>$(898)</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8,755</w:t>
            </w:r>
          </w:p>
        </w:tc>
        <w:tc>
          <w:tcPr>
            <w:tcW w:w="10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$31</w:t>
            </w:r>
          </w:p>
        </w:tc>
        <w:tc>
          <w:tcPr>
            <w:tcW w:w="740" w:type="dxa"/>
            <w:vAlign w:val="bottom"/>
          </w:tcPr>
          <w:p>
            <w:pPr>
              <w:spacing w:after="0"/>
              <w:rPr>
                <w:sz w:val="14"/>
                <w:szCs w:val="14"/>
                <w:color w:val="auto"/>
              </w:rPr>
            </w:pP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$44,723</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6820" w:type="dxa"/>
            <w:vAlign w:val="bottom"/>
            <w:gridSpan w:val="9"/>
          </w:tcPr>
          <w:p>
            <w:pPr>
              <w:ind w:left="140"/>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21"/>
                <w:szCs w:val="21"/>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261" w:right="1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45"/>
        </w:trPr>
        <w:tc>
          <w:tcPr>
            <w:tcW w:w="5740" w:type="dxa"/>
            <w:vAlign w:val="bottom"/>
          </w:tcPr>
          <w:p>
            <w:pPr>
              <w:ind w:left="280"/>
              <w:spacing w:after="0"/>
              <w:rPr>
                <w:sz w:val="20"/>
                <w:szCs w:val="20"/>
                <w:color w:val="auto"/>
              </w:rPr>
            </w:pPr>
            <w:r>
              <w:rPr>
                <w:rFonts w:ascii="Courier New" w:cs="Courier New" w:eastAsia="Courier New" w:hAnsi="Courier New"/>
                <w:sz w:val="15"/>
                <w:szCs w:val="15"/>
                <w:color w:val="auto"/>
              </w:rPr>
              <w:t>39</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5740" w:type="dxa"/>
            <w:vAlign w:val="bottom"/>
          </w:tcPr>
          <w:p>
            <w:pPr>
              <w:ind w:left="2460"/>
              <w:spacing w:after="0"/>
              <w:rPr>
                <w:sz w:val="20"/>
                <w:szCs w:val="20"/>
                <w:color w:val="auto"/>
              </w:rPr>
            </w:pPr>
            <w:r>
              <w:rPr>
                <w:rFonts w:ascii="Courier New" w:cs="Courier New" w:eastAsia="Courier New" w:hAnsi="Courier New"/>
                <w:sz w:val="15"/>
                <w:szCs w:val="15"/>
                <w:color w:val="auto"/>
              </w:rPr>
              <w:t>Saga Communications, Inc.</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4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YEARS ENDED DECEMBER 31,</w:t>
            </w:r>
          </w:p>
        </w:tc>
        <w:tc>
          <w:tcPr>
            <w:tcW w:w="140" w:type="dxa"/>
            <w:vAlign w:val="bottom"/>
          </w:tcPr>
          <w:p>
            <w:pPr>
              <w:spacing w:after="0"/>
              <w:rPr>
                <w:sz w:val="24"/>
                <w:szCs w:val="2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5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40" w:type="dxa"/>
            <w:vAlign w:val="bottom"/>
          </w:tcPr>
          <w:p>
            <w:pPr>
              <w:spacing w:after="0"/>
              <w:rPr>
                <w:sz w:val="21"/>
                <w:szCs w:val="21"/>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6,351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4,492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3,935</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480" w:type="dxa"/>
            <w:vAlign w:val="bottom"/>
          </w:tcPr>
          <w:p>
            <w:pPr>
              <w:spacing w:after="0"/>
              <w:rPr>
                <w:sz w:val="14"/>
                <w:szCs w:val="14"/>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6,420</w:t>
            </w:r>
          </w:p>
        </w:tc>
        <w:tc>
          <w:tcPr>
            <w:tcW w:w="840" w:type="dxa"/>
            <w:vAlign w:val="bottom"/>
          </w:tcPr>
          <w:p>
            <w:pPr>
              <w:spacing w:after="0"/>
              <w:rPr>
                <w:sz w:val="14"/>
                <w:szCs w:val="14"/>
                <w:color w:val="auto"/>
              </w:rPr>
            </w:pPr>
          </w:p>
        </w:tc>
        <w:tc>
          <w:tcPr>
            <w:tcW w:w="134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5,872</w:t>
            </w:r>
          </w:p>
        </w:tc>
        <w:tc>
          <w:tcPr>
            <w:tcW w:w="14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5,508</w:t>
            </w: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Barter revenue, net of barter expenses</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w:t>
            </w:r>
          </w:p>
        </w:tc>
        <w:tc>
          <w:tcPr>
            <w:tcW w:w="840" w:type="dxa"/>
            <w:vAlign w:val="bottom"/>
          </w:tcPr>
          <w:p>
            <w:pPr>
              <w:spacing w:after="0"/>
              <w:rPr>
                <w:sz w:val="14"/>
                <w:szCs w:val="14"/>
                <w:color w:val="auto"/>
              </w:rPr>
            </w:pP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(181)</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Broadcast program rights amortization</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237</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w:t>
            </w: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in deferred taxes</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987</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703</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w:t>
            </w: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Loss on sale of assets</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Equity in loss of unconsolidated affiliate</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560</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Foreign currency transaction gain</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Note forgiveness</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4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(2,045)</w:t>
            </w:r>
          </w:p>
        </w:tc>
        <w:tc>
          <w:tcPr>
            <w:tcW w:w="840" w:type="dxa"/>
            <w:vAlign w:val="bottom"/>
          </w:tcPr>
          <w:p>
            <w:pPr>
              <w:spacing w:after="0"/>
              <w:rPr>
                <w:sz w:val="14"/>
                <w:szCs w:val="14"/>
                <w:color w:val="auto"/>
              </w:rPr>
            </w:pPr>
          </w:p>
        </w:tc>
        <w:tc>
          <w:tcPr>
            <w:tcW w:w="134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(1,337)</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(2,889)</w:t>
            </w:r>
          </w:p>
        </w:tc>
        <w:tc>
          <w:tcPr>
            <w:tcW w:w="0" w:type="dxa"/>
            <w:vAlign w:val="bottom"/>
          </w:tcPr>
          <w:p>
            <w:pPr>
              <w:spacing w:after="0"/>
              <w:rPr>
                <w:sz w:val="1"/>
                <w:szCs w:val="1"/>
                <w:color w:val="auto"/>
              </w:rPr>
            </w:pPr>
          </w:p>
        </w:tc>
      </w:tr>
      <w:tr>
        <w:trPr>
          <w:trHeight w:val="168"/>
        </w:trPr>
        <w:tc>
          <w:tcPr>
            <w:tcW w:w="5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receivables and prepaids</w:t>
            </w: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Payments for broadcast program rights</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c>
          <w:tcPr>
            <w:tcW w:w="840" w:type="dxa"/>
            <w:vAlign w:val="bottom"/>
          </w:tcPr>
          <w:p>
            <w:pPr>
              <w:spacing w:after="0"/>
              <w:rPr>
                <w:sz w:val="14"/>
                <w:szCs w:val="14"/>
                <w:color w:val="auto"/>
              </w:rPr>
            </w:pP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(235)</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68"/>
        </w:trPr>
        <w:tc>
          <w:tcPr>
            <w:tcW w:w="5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Increase in accounts payable, accrued expenses,</w:t>
            </w:r>
          </w:p>
        </w:tc>
        <w:tc>
          <w:tcPr>
            <w:tcW w:w="480" w:type="dxa"/>
            <w:vAlign w:val="bottom"/>
          </w:tcPr>
          <w:p>
            <w:pPr>
              <w:spacing w:after="0"/>
              <w:rPr>
                <w:sz w:val="14"/>
                <w:szCs w:val="14"/>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406</w:t>
            </w:r>
          </w:p>
        </w:tc>
        <w:tc>
          <w:tcPr>
            <w:tcW w:w="840" w:type="dxa"/>
            <w:vAlign w:val="bottom"/>
          </w:tcPr>
          <w:p>
            <w:pPr>
              <w:spacing w:after="0"/>
              <w:rPr>
                <w:sz w:val="14"/>
                <w:szCs w:val="14"/>
                <w:color w:val="auto"/>
              </w:rPr>
            </w:pPr>
          </w:p>
        </w:tc>
        <w:tc>
          <w:tcPr>
            <w:tcW w:w="134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2,093</w:t>
            </w:r>
          </w:p>
        </w:tc>
        <w:tc>
          <w:tcPr>
            <w:tcW w:w="14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168"/>
        </w:trPr>
        <w:tc>
          <w:tcPr>
            <w:tcW w:w="57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and other liabilities</w:t>
            </w: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adjustments</w:t>
            </w:r>
          </w:p>
        </w:tc>
        <w:tc>
          <w:tcPr>
            <w:tcW w:w="42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6,576</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7,167</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3,744</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2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74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12,927</w:t>
            </w:r>
          </w:p>
        </w:tc>
        <w:tc>
          <w:tcPr>
            <w:tcW w:w="840" w:type="dxa"/>
            <w:vAlign w:val="bottom"/>
          </w:tcPr>
          <w:p>
            <w:pPr>
              <w:spacing w:after="0"/>
              <w:rPr>
                <w:sz w:val="21"/>
                <w:szCs w:val="21"/>
                <w:color w:val="auto"/>
              </w:rPr>
            </w:pPr>
          </w:p>
        </w:tc>
        <w:tc>
          <w:tcPr>
            <w:tcW w:w="13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11,659</w:t>
            </w:r>
          </w:p>
        </w:tc>
        <w:tc>
          <w:tcPr>
            <w:tcW w:w="14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7,679</w:t>
            </w:r>
          </w:p>
        </w:tc>
        <w:tc>
          <w:tcPr>
            <w:tcW w:w="0" w:type="dxa"/>
            <w:vAlign w:val="bottom"/>
          </w:tcPr>
          <w:p>
            <w:pPr>
              <w:spacing w:after="0"/>
              <w:rPr>
                <w:sz w:val="1"/>
                <w:szCs w:val="1"/>
                <w:color w:val="auto"/>
              </w:rPr>
            </w:pPr>
          </w:p>
        </w:tc>
      </w:tr>
      <w:tr>
        <w:trPr>
          <w:trHeight w:val="259"/>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8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(3,003)</w:t>
            </w:r>
          </w:p>
        </w:tc>
        <w:tc>
          <w:tcPr>
            <w:tcW w:w="840" w:type="dxa"/>
            <w:vAlign w:val="bottom"/>
          </w:tcPr>
          <w:p>
            <w:pPr>
              <w:spacing w:after="0"/>
              <w:rPr>
                <w:sz w:val="22"/>
                <w:szCs w:val="22"/>
                <w:color w:val="auto"/>
              </w:rPr>
            </w:pPr>
          </w:p>
        </w:tc>
        <w:tc>
          <w:tcPr>
            <w:tcW w:w="134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(2,758)</w:t>
            </w:r>
          </w:p>
        </w:tc>
        <w:tc>
          <w:tcPr>
            <w:tcW w:w="140" w:type="dxa"/>
            <w:vAlign w:val="bottom"/>
          </w:tcPr>
          <w:p>
            <w:pPr>
              <w:spacing w:after="0"/>
              <w:rPr>
                <w:sz w:val="22"/>
                <w:szCs w:val="22"/>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(2,107)</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 of property and equipment</w:t>
            </w: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other intangibles and other assets</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(4,120)</w:t>
            </w:r>
          </w:p>
        </w:tc>
        <w:tc>
          <w:tcPr>
            <w:tcW w:w="840" w:type="dxa"/>
            <w:vAlign w:val="bottom"/>
          </w:tcPr>
          <w:p>
            <w:pPr>
              <w:spacing w:after="0"/>
              <w:rPr>
                <w:sz w:val="14"/>
                <w:szCs w:val="14"/>
                <w:color w:val="auto"/>
              </w:rPr>
            </w:pP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(502)</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(4,796)</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 of stations</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(10,160)</w:t>
            </w:r>
          </w:p>
        </w:tc>
        <w:tc>
          <w:tcPr>
            <w:tcW w:w="840" w:type="dxa"/>
            <w:vAlign w:val="bottom"/>
          </w:tcPr>
          <w:p>
            <w:pPr>
              <w:spacing w:after="0"/>
              <w:rPr>
                <w:sz w:val="14"/>
                <w:szCs w:val="14"/>
                <w:color w:val="auto"/>
              </w:rPr>
            </w:pP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4"/>
              </w:rPr>
              <w:t>(18,595)</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(16,956)</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324</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42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74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(17,278)</w:t>
            </w:r>
          </w:p>
        </w:tc>
        <w:tc>
          <w:tcPr>
            <w:tcW w:w="840" w:type="dxa"/>
            <w:vAlign w:val="bottom"/>
          </w:tcPr>
          <w:p>
            <w:pPr>
              <w:spacing w:after="0"/>
              <w:rPr>
                <w:sz w:val="21"/>
                <w:szCs w:val="21"/>
                <w:color w:val="auto"/>
              </w:rPr>
            </w:pP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w w:val="94"/>
              </w:rPr>
              <w:t>(21,531)</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(23,158)</w:t>
            </w:r>
          </w:p>
        </w:tc>
        <w:tc>
          <w:tcPr>
            <w:tcW w:w="0" w:type="dxa"/>
            <w:vAlign w:val="bottom"/>
          </w:tcPr>
          <w:p>
            <w:pPr>
              <w:spacing w:after="0"/>
              <w:rPr>
                <w:sz w:val="1"/>
                <w:szCs w:val="1"/>
                <w:color w:val="auto"/>
              </w:rPr>
            </w:pPr>
          </w:p>
        </w:tc>
      </w:tr>
      <w:tr>
        <w:trPr>
          <w:trHeight w:val="259"/>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80" w:type="dxa"/>
            <w:vAlign w:val="bottom"/>
          </w:tcPr>
          <w:p>
            <w:pPr>
              <w:spacing w:after="0"/>
              <w:rPr>
                <w:sz w:val="22"/>
                <w:szCs w:val="22"/>
                <w:color w:val="auto"/>
              </w:rPr>
            </w:pP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12,287</w:t>
            </w:r>
          </w:p>
        </w:tc>
        <w:tc>
          <w:tcPr>
            <w:tcW w:w="840" w:type="dxa"/>
            <w:vAlign w:val="bottom"/>
          </w:tcPr>
          <w:p>
            <w:pPr>
              <w:spacing w:after="0"/>
              <w:rPr>
                <w:sz w:val="22"/>
                <w:szCs w:val="22"/>
                <w:color w:val="auto"/>
              </w:rPr>
            </w:pPr>
          </w:p>
        </w:tc>
        <w:tc>
          <w:tcPr>
            <w:tcW w:w="134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11,250</w:t>
            </w:r>
          </w:p>
        </w:tc>
        <w:tc>
          <w:tcPr>
            <w:tcW w:w="140" w:type="dxa"/>
            <w:vAlign w:val="bottom"/>
          </w:tcPr>
          <w:p>
            <w:pPr>
              <w:spacing w:after="0"/>
              <w:rPr>
                <w:sz w:val="22"/>
                <w:szCs w:val="22"/>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19,348</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(2,986)</w:t>
            </w:r>
          </w:p>
        </w:tc>
        <w:tc>
          <w:tcPr>
            <w:tcW w:w="840" w:type="dxa"/>
            <w:vAlign w:val="bottom"/>
          </w:tcPr>
          <w:p>
            <w:pPr>
              <w:spacing w:after="0"/>
              <w:rPr>
                <w:sz w:val="14"/>
                <w:szCs w:val="14"/>
                <w:color w:val="auto"/>
              </w:rPr>
            </w:pP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(3,899)</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(2,898)</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shares held in treasury</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proceeds from exercise of stock options</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404</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391</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68"/>
        </w:trPr>
        <w:tc>
          <w:tcPr>
            <w:tcW w:w="5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Fractional shares - five for four stock split</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42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8,806</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7,742</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16,597</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42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4,455</w:t>
            </w:r>
          </w:p>
        </w:tc>
        <w:tc>
          <w:tcPr>
            <w:tcW w:w="840" w:type="dxa"/>
            <w:vAlign w:val="bottom"/>
          </w:tcPr>
          <w:p>
            <w:pPr>
              <w:spacing w:after="0"/>
              <w:rPr>
                <w:sz w:val="14"/>
                <w:szCs w:val="14"/>
                <w:color w:val="auto"/>
              </w:rPr>
            </w:pPr>
          </w:p>
        </w:tc>
        <w:tc>
          <w:tcPr>
            <w:tcW w:w="13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(2,130)</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1,118</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year</w:t>
            </w:r>
          </w:p>
        </w:tc>
        <w:tc>
          <w:tcPr>
            <w:tcW w:w="48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2,209</w:t>
            </w:r>
          </w:p>
        </w:tc>
        <w:tc>
          <w:tcPr>
            <w:tcW w:w="84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4,339</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3,221</w:t>
            </w:r>
          </w:p>
        </w:tc>
        <w:tc>
          <w:tcPr>
            <w:tcW w:w="0" w:type="dxa"/>
            <w:vAlign w:val="bottom"/>
          </w:tcPr>
          <w:p>
            <w:pPr>
              <w:spacing w:after="0"/>
              <w:rPr>
                <w:sz w:val="1"/>
                <w:szCs w:val="1"/>
                <w:color w:val="auto"/>
              </w:rPr>
            </w:pPr>
          </w:p>
        </w:tc>
      </w:tr>
      <w:tr>
        <w:trPr>
          <w:trHeight w:val="168"/>
        </w:trPr>
        <w:tc>
          <w:tcPr>
            <w:tcW w:w="574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42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6,664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2,209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4,339</w:t>
            </w:r>
          </w:p>
        </w:tc>
        <w:tc>
          <w:tcPr>
            <w:tcW w:w="0" w:type="dxa"/>
            <w:vAlign w:val="bottom"/>
          </w:tcPr>
          <w:p>
            <w:pPr>
              <w:spacing w:after="0"/>
              <w:rPr>
                <w:sz w:val="1"/>
                <w:szCs w:val="1"/>
                <w:color w:val="auto"/>
              </w:rPr>
            </w:pPr>
          </w:p>
        </w:tc>
      </w:tr>
      <w:tr>
        <w:trPr>
          <w:trHeight w:val="245"/>
        </w:trPr>
        <w:tc>
          <w:tcPr>
            <w:tcW w:w="5740" w:type="dxa"/>
            <w:vAlign w:val="bottom"/>
          </w:tcPr>
          <w:p>
            <w:pPr>
              <w:spacing w:after="0"/>
              <w:rPr>
                <w:sz w:val="21"/>
                <w:szCs w:val="21"/>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09" w:lineRule="exact"/>
        <w:rPr>
          <w:sz w:val="20"/>
          <w:szCs w:val="20"/>
          <w:color w:val="auto"/>
        </w:rPr>
      </w:pPr>
    </w:p>
    <w:p>
      <w:pPr>
        <w:ind w:right="5939" w:firstLine="10"/>
        <w:spacing w:after="0" w:line="475" w:lineRule="auto"/>
        <w:tabs>
          <w:tab w:leader="none" w:pos="61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BUSINESS</w:t>
      </w:r>
    </w:p>
    <w:p>
      <w:pPr>
        <w:ind w:right="3319"/>
        <w:spacing w:after="0" w:line="276" w:lineRule="auto"/>
        <w:rPr>
          <w:sz w:val="20"/>
          <w:szCs w:val="20"/>
          <w:color w:val="auto"/>
        </w:rPr>
      </w:pPr>
      <w:r>
        <w:rPr>
          <w:rFonts w:ascii="Courier New" w:cs="Courier New" w:eastAsia="Courier New" w:hAnsi="Courier New"/>
          <w:sz w:val="14"/>
          <w:szCs w:val="14"/>
          <w:color w:val="auto"/>
        </w:rPr>
        <w:t>Saga Communications, Inc. is a broadcasting company operating one reportable business segment, whose business is devoted to acquiring, developing and operating broadcast properties. As of December 31, 1998 the Company owned thirty-nine radio stations, a television station, and two state radio networks, serving fourteen markets throughout the United States including Columbus, Ohio; Milwaukee, Wisconsin; and Norfolk, Virginia. The Company also has an equity interest in 6 FM radio stations serving Reykjavik, Iceland.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On May 29, 1998 the Company consummated a five-for-four split of its Class A and Class B Common Stock, resulting in additional shares being issued of 2,240,000 and 302,000, respectively, for holders of record on May 15, 1998.</w:t>
      </w:r>
    </w:p>
    <w:p>
      <w:pPr>
        <w:spacing w:after="0" w:line="57" w:lineRule="exact"/>
        <w:rPr>
          <w:sz w:val="20"/>
          <w:szCs w:val="20"/>
          <w:color w:val="auto"/>
        </w:rPr>
      </w:pPr>
    </w:p>
    <w:p>
      <w:pPr>
        <w:ind w:right="3499"/>
        <w:spacing w:after="0" w:line="320" w:lineRule="auto"/>
        <w:rPr>
          <w:sz w:val="20"/>
          <w:szCs w:val="20"/>
          <w:color w:val="auto"/>
        </w:rPr>
      </w:pPr>
      <w:r>
        <w:rPr>
          <w:rFonts w:ascii="Courier New" w:cs="Courier New" w:eastAsia="Courier New" w:hAnsi="Courier New"/>
          <w:sz w:val="14"/>
          <w:szCs w:val="14"/>
          <w:color w:val="auto"/>
        </w:rPr>
        <w:t>On April 1, 1997 the Company consummated a five-for-four split of its Class A and Class B Common Stock, resulting in additional shares being issued of 1,772,000 and 242,000, respectively, for holders of record on March 17, 1997.</w:t>
      </w:r>
    </w:p>
    <w:p>
      <w:pPr>
        <w:spacing w:after="0" w:line="38" w:lineRule="exact"/>
        <w:rPr>
          <w:sz w:val="20"/>
          <w:szCs w:val="20"/>
          <w:color w:val="auto"/>
        </w:rPr>
      </w:pPr>
    </w:p>
    <w:p>
      <w:pPr>
        <w:ind w:right="3399"/>
        <w:spacing w:after="0" w:line="320" w:lineRule="auto"/>
        <w:rPr>
          <w:sz w:val="20"/>
          <w:szCs w:val="20"/>
          <w:color w:val="auto"/>
        </w:rPr>
      </w:pPr>
      <w:r>
        <w:rPr>
          <w:rFonts w:ascii="Courier New" w:cs="Courier New" w:eastAsia="Courier New" w:hAnsi="Courier New"/>
          <w:sz w:val="14"/>
          <w:szCs w:val="14"/>
          <w:color w:val="auto"/>
        </w:rPr>
        <w:t>On April 30, 1996 the Company consummated a five-for-four split of its Class A and Class B Common Stock, resulting in additional shares being issued of 1,417,000 and 193,000, respectively, for holders of record on April 17, 1996.</w:t>
      </w:r>
    </w:p>
    <w:p>
      <w:pPr>
        <w:spacing w:after="0" w:line="38"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All share and per share information in the accompanying financial statements has been restated retroactively to reflect the splits.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66"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The consolidated financial statements include the accounts of Saga Communications, Inc. and its wholly-owned subsidiaries. Investments in 50 percent-owned affiliates are accounted for on the equity method. All significant inter-company balances and transactions have been eliminated in consolidation.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6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5"/>
          <w:szCs w:val="15"/>
          <w:color w:val="auto"/>
        </w:rPr>
        <w:t>On June 17, 1998 the Company acquired 50% of the outstanding stock of Finn Midill, ehf., an Icelandic corporation which owns six FM radio stations serving Reykjavik, Iceland, for approximately $1,100,000. The investment is accounted for using the equity method. The Company's equity in the operating results of Finn Midill, ehf. is reported in other expenses as a loss of approximately $560,000. Additionally, the Company loaned approximately $570,000 to Finn Midill, ehf. which accrues interest at 7.5% plus an inflationary index, and is to be repaid in June, 2001. As of December 31, 1998, the Company has loaned an additional $1,540,000 to Finn Midill, ehf. for working capital needs; this loan is non-interest bearing.</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right="4899" w:firstLine="10"/>
        <w:spacing w:after="0" w:line="475" w:lineRule="auto"/>
        <w:tabs>
          <w:tab w:leader="none" w:pos="61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USE OF ESTIMATES</w:t>
      </w:r>
    </w:p>
    <w:p>
      <w:pPr>
        <w:ind w:right="3579"/>
        <w:spacing w:after="0" w:line="273" w:lineRule="auto"/>
        <w:rPr>
          <w:sz w:val="20"/>
          <w:szCs w:val="20"/>
          <w:color w:val="auto"/>
        </w:rPr>
      </w:pPr>
      <w:r>
        <w:rPr>
          <w:rFonts w:ascii="Courier New" w:cs="Courier New" w:eastAsia="Courier New" w:hAnsi="Courier New"/>
          <w:sz w:val="15"/>
          <w:szCs w:val="15"/>
          <w:color w:val="auto"/>
        </w:rPr>
        <w:t>The preparation of the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Property and equipment are carried at cost. Depreciation is provided using the straight-line method over five to thirty-one and one-half years.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66" w:lineRule="exact"/>
        <w:rPr>
          <w:sz w:val="20"/>
          <w:szCs w:val="20"/>
          <w:color w:val="auto"/>
        </w:rPr>
      </w:pPr>
    </w:p>
    <w:p>
      <w:pPr>
        <w:ind w:right="3319"/>
        <w:spacing w:after="0" w:line="298" w:lineRule="auto"/>
        <w:rPr>
          <w:sz w:val="20"/>
          <w:szCs w:val="20"/>
          <w:color w:val="auto"/>
        </w:rPr>
      </w:pPr>
      <w:r>
        <w:rPr>
          <w:rFonts w:ascii="Courier New" w:cs="Courier New" w:eastAsia="Courier New" w:hAnsi="Courier New"/>
          <w:sz w:val="14"/>
          <w:szCs w:val="14"/>
          <w:color w:val="auto"/>
        </w:rPr>
        <w:t>Other assets are amortized using the straight-line method. Favorable lease agreements are amortized over the lives of the leases. The excess of cost over fair value of identifiable assets acquired and broadcast licenses are amortized over forty years. Other intangibles are amortized over five to forty years.</w:t>
      </w:r>
    </w:p>
    <w:p>
      <w:pPr>
        <w:spacing w:after="0" w:line="5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The excess of cost over the fair value of net assets acquired (or goodwill) is reviewed if the facts and circumstances suggest that it may be impaired. If this review indicates that goodwill will not be recoverable, as determined based on the undiscounted cash flows of the entity acquired over the remaining amortization period, the Company's carrying value of goodwill would be reduced by the estimated shortfall of discounted cash flows. To date, no such reductions in goodwill have been recorded.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66" w:lineRule="exact"/>
        <w:rPr>
          <w:sz w:val="20"/>
          <w:szCs w:val="20"/>
          <w:color w:val="auto"/>
        </w:rPr>
      </w:pPr>
    </w:p>
    <w:p>
      <w:pPr>
        <w:ind w:right="3319"/>
        <w:spacing w:after="0" w:line="298" w:lineRule="auto"/>
        <w:rPr>
          <w:sz w:val="20"/>
          <w:szCs w:val="20"/>
          <w:color w:val="auto"/>
        </w:rPr>
      </w:pPr>
      <w:r>
        <w:rPr>
          <w:rFonts w:ascii="Courier New" w:cs="Courier New" w:eastAsia="Courier New" w:hAnsi="Courier New"/>
          <w:sz w:val="14"/>
          <w:szCs w:val="14"/>
          <w:color w:val="auto"/>
        </w:rPr>
        <w:t>The Company's financial instruments are comprised of cash and temporary investments and long-term debt. The carrying value of long-term debt approximates fair value as it carries interest rates that either fluctuate with prime or have been reset at the prevailing market rate at December 31, 1998.</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an interest rate swap agreement which is its only derivative.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3.</w:t>
      </w:r>
    </w:p>
    <w:p>
      <w:pPr>
        <w:spacing w:after="0" w:line="140"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The Company enters into interest-rate swap agreements to modify the interest characteristics of its outstanding debt. Each interest rate swap agreement is designated with all or a portion of the principal balance and term of a specific debt obligation. These agreements involve the exchange of amounts based on a fixed interest rate for amounts based on variable interest rates over the life of the agreement without an exchange of the notional amount upon which the payments are based. The differential to be paid or received as interest rates change is accrued and recognized as an adjustment of the interest expense related to the debt (the accrual accounting method). The related amount payable to or receivable from counterparties is included in other liabilities or assets. The fair values of the swap agreements are not recognized in the financial statements. Gains and losses on terminations of interest-rate swap agreements are deferred as an</w:t>
      </w: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899" w:firstLine="10"/>
        <w:spacing w:after="0" w:line="475" w:lineRule="auto"/>
        <w:tabs>
          <w:tab w:leader="none" w:pos="61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FINANCIAL INSTRUMENTS (CONTINUED)</w:t>
      </w:r>
    </w:p>
    <w:p>
      <w:pPr>
        <w:ind w:right="3239"/>
        <w:spacing w:after="0" w:line="270" w:lineRule="auto"/>
        <w:rPr>
          <w:sz w:val="20"/>
          <w:szCs w:val="20"/>
          <w:color w:val="auto"/>
        </w:rPr>
      </w:pPr>
      <w:r>
        <w:rPr>
          <w:rFonts w:ascii="Courier New" w:cs="Courier New" w:eastAsia="Courier New" w:hAnsi="Courier New"/>
          <w:sz w:val="14"/>
          <w:szCs w:val="14"/>
          <w:color w:val="auto"/>
        </w:rPr>
        <w:t>adjustment to interest expense related to the debt over the remaining term of the original contract life of the terminated swap agreement. In the event of the early extinguishment of a designated debt obligation, any realized or unrealized gain or loss from the swap would be recognized in income coincident with the extinguishment. Any swap agreements that are not designated with outstanding debt or notional amounts (or durations) of interest-rate swap agreements in excess of the principal amounts (or maturities) of the underlying debt obligations are recorded as an asset or liability at fair value, with changes in fair value recorded in other income or expense (the fair value method).</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The initial investment Finn Midill, ehf. is translated into U.S. dollars at the current exchange rate. Resulting translation adjustments are reflected as a separate component of stockholders' equity. Transaction gains and losses that arise form exchange rate fluctuations on transactions denominated in a currency other than the functional currency are included in the results of operations as incurred.</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On August 10, 1998 the Company implemented a Stock Buy-Back Program (the "Buy-Back Program") pursuant to which the Company may purchase up to $2,000,000 of its Class A Common Stock. The Company's repurchases of shares of Common Stock are recorded as "Treasury Stock" and result in a reduction of "Stockholders' Equity." As of December 31, 1998 the Company had purchased 52,432 shares at an average price of $17.13 per share.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PROGRAM RIGHTS</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The Company records the capitalized costs of broadcast program rights when the license period begins and the programs are available for use. Amortization of the program rights is recorded using the straight-line method over the license period or based on the number of showings. Amortization of broadcast program rights is included in station operating expense. Unamortized broadcast program rights are classified as current or non-current based on estimated usage in future years.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 POLICY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is recognized as commercials are broadcast.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right="4899" w:firstLine="10"/>
        <w:spacing w:after="0" w:line="475" w:lineRule="auto"/>
        <w:tabs>
          <w:tab w:leader="none" w:pos="61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BARTER TRANSACTIONS</w:t>
      </w:r>
    </w:p>
    <w:p>
      <w:pPr>
        <w:ind w:right="3319"/>
        <w:spacing w:after="0" w:line="264" w:lineRule="auto"/>
        <w:rPr>
          <w:sz w:val="20"/>
          <w:szCs w:val="20"/>
          <w:color w:val="auto"/>
        </w:rPr>
      </w:pPr>
      <w:r>
        <w:rPr>
          <w:rFonts w:ascii="Courier New" w:cs="Courier New" w:eastAsia="Courier New" w:hAnsi="Courier New"/>
          <w:sz w:val="15"/>
          <w:szCs w:val="15"/>
          <w:color w:val="auto"/>
        </w:rPr>
        <w:t>The Company trades air time for goods and services used principally for promotional, sales and other business activities. An asset and a liability are recorded at the fair market value of goods or services received. Barter revenue is recorded when commercials are broadcast, and barter expense is recorded when goods or services are received or used.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66"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YEARS ENDED DECEMBER 31,</w:t>
            </w:r>
          </w:p>
        </w:tc>
        <w:tc>
          <w:tcPr>
            <w:tcW w:w="100" w:type="dxa"/>
            <w:vAlign w:val="bottom"/>
          </w:tcPr>
          <w:p>
            <w:pPr>
              <w:spacing w:after="0"/>
              <w:rPr>
                <w:sz w:val="14"/>
                <w:szCs w:val="14"/>
                <w:color w:val="auto"/>
              </w:rPr>
            </w:pPr>
          </w:p>
        </w:tc>
        <w:tc>
          <w:tcPr>
            <w:tcW w:w="5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88"/>
              </w:rPr>
              <w:t>1997</w:t>
            </w: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tcPr>
          <w:p>
            <w:pPr>
              <w:spacing w:after="0"/>
              <w:rPr>
                <w:sz w:val="14"/>
                <w:szCs w:val="14"/>
                <w:color w:val="auto"/>
              </w:rPr>
            </w:pPr>
          </w:p>
        </w:tc>
        <w:tc>
          <w:tcPr>
            <w:tcW w:w="37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 thousands)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7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96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$ 6,351</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rPr>
              <w:t>4,492</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3,935</w:t>
            </w:r>
          </w:p>
        </w:tc>
        <w:tc>
          <w:tcPr>
            <w:tcW w:w="0" w:type="dxa"/>
            <w:vAlign w:val="bottom"/>
          </w:tcPr>
          <w:p>
            <w:pPr>
              <w:spacing w:after="0"/>
              <w:rPr>
                <w:sz w:val="1"/>
                <w:szCs w:val="1"/>
                <w:color w:val="auto"/>
              </w:rPr>
            </w:pPr>
          </w:p>
        </w:tc>
      </w:tr>
      <w:tr>
        <w:trPr>
          <w:trHeight w:val="168"/>
        </w:trPr>
        <w:tc>
          <w:tcPr>
            <w:tcW w:w="5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available to common stockholders</w:t>
            </w:r>
          </w:p>
        </w:tc>
        <w:tc>
          <w:tcPr>
            <w:tcW w:w="9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3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7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Denominator for basic earnings per share -weighted average</w:t>
            </w:r>
          </w:p>
        </w:tc>
        <w:tc>
          <w:tcPr>
            <w:tcW w:w="34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2"/>
              </w:rPr>
              <w:t>12,717</w:t>
            </w:r>
          </w:p>
        </w:tc>
        <w:tc>
          <w:tcPr>
            <w:tcW w:w="880" w:type="dxa"/>
            <w:vAlign w:val="bottom"/>
          </w:tcPr>
          <w:p>
            <w:pPr>
              <w:spacing w:after="0"/>
              <w:rPr>
                <w:sz w:val="14"/>
                <w:szCs w:val="14"/>
                <w:color w:val="auto"/>
              </w:rPr>
            </w:pP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w w:val="92"/>
              </w:rPr>
              <w:t>12,637</w:t>
            </w: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12,573</w:t>
            </w:r>
          </w:p>
        </w:tc>
        <w:tc>
          <w:tcPr>
            <w:tcW w:w="0" w:type="dxa"/>
            <w:vAlign w:val="bottom"/>
          </w:tcPr>
          <w:p>
            <w:pPr>
              <w:spacing w:after="0"/>
              <w:rPr>
                <w:sz w:val="1"/>
                <w:szCs w:val="1"/>
                <w:color w:val="auto"/>
              </w:rPr>
            </w:pPr>
          </w:p>
        </w:tc>
      </w:tr>
      <w:tr>
        <w:trPr>
          <w:trHeight w:val="168"/>
        </w:trPr>
        <w:tc>
          <w:tcPr>
            <w:tcW w:w="5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w:t>
            </w: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34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273</w:t>
            </w:r>
          </w:p>
        </w:tc>
        <w:tc>
          <w:tcPr>
            <w:tcW w:w="880" w:type="dxa"/>
            <w:vAlign w:val="bottom"/>
          </w:tcPr>
          <w:p>
            <w:pPr>
              <w:spacing w:after="0"/>
              <w:rPr>
                <w:sz w:val="14"/>
                <w:szCs w:val="14"/>
                <w:color w:val="auto"/>
              </w:rPr>
            </w:pP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rPr>
              <w:t>251</w:t>
            </w: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243</w:t>
            </w:r>
          </w:p>
        </w:tc>
        <w:tc>
          <w:tcPr>
            <w:tcW w:w="0" w:type="dxa"/>
            <w:vAlign w:val="bottom"/>
          </w:tcPr>
          <w:p>
            <w:pPr>
              <w:spacing w:after="0"/>
              <w:rPr>
                <w:sz w:val="1"/>
                <w:szCs w:val="1"/>
                <w:color w:val="auto"/>
              </w:rPr>
            </w:pPr>
          </w:p>
        </w:tc>
      </w:tr>
      <w:tr>
        <w:trPr>
          <w:trHeight w:val="168"/>
        </w:trPr>
        <w:tc>
          <w:tcPr>
            <w:tcW w:w="57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Employee stock options</w:t>
            </w: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Denominator for diluted earnings per share - adjusted</w:t>
            </w:r>
          </w:p>
        </w:tc>
        <w:tc>
          <w:tcPr>
            <w:tcW w:w="3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7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2"/>
              </w:rPr>
              <w:t>12,990</w:t>
            </w:r>
          </w:p>
        </w:tc>
        <w:tc>
          <w:tcPr>
            <w:tcW w:w="880" w:type="dxa"/>
            <w:vAlign w:val="bottom"/>
          </w:tcPr>
          <w:p>
            <w:pPr>
              <w:spacing w:after="0"/>
              <w:rPr>
                <w:sz w:val="7"/>
                <w:szCs w:val="7"/>
                <w:color w:val="auto"/>
              </w:rPr>
            </w:pPr>
          </w:p>
        </w:tc>
        <w:tc>
          <w:tcPr>
            <w:tcW w:w="130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w w:val="92"/>
              </w:rPr>
              <w:t>12,888</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12,816</w:t>
            </w:r>
          </w:p>
        </w:tc>
        <w:tc>
          <w:tcPr>
            <w:tcW w:w="0" w:type="dxa"/>
            <w:vAlign w:val="bottom"/>
          </w:tcPr>
          <w:p>
            <w:pPr>
              <w:spacing w:after="0"/>
              <w:rPr>
                <w:sz w:val="1"/>
                <w:szCs w:val="1"/>
                <w:color w:val="auto"/>
              </w:rPr>
            </w:pPr>
          </w:p>
        </w:tc>
      </w:tr>
      <w:tr>
        <w:trPr>
          <w:trHeight w:val="168"/>
        </w:trPr>
        <w:tc>
          <w:tcPr>
            <w:tcW w:w="57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weighted-average shares and assumed conversions</w:t>
            </w: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3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7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57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37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700" w:type="dxa"/>
            <w:vAlign w:val="bottom"/>
            <w:vMerge w:val="continue"/>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.35</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3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("SFAS 133"), "Accounting for Derivative Instruments and Hedging Activities". SFAS 133 requires that an entity recognize all derivatives as either assets or liabilities in the balance sheet and measure such instruments at fair value. The statement is effective for fiscal quarters of fiscal years beginning after June 15, 1999 and is not expected to have a material effect on the results of operations and financial position of the Company.</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right="4719" w:firstLine="10"/>
        <w:spacing w:after="0" w:line="475" w:lineRule="auto"/>
        <w:tabs>
          <w:tab w:leader="none" w:pos="7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ACCOUNTING PRONOUNCEMENTS (CONTINUED)</w:t>
      </w:r>
    </w:p>
    <w:p>
      <w:pPr>
        <w:ind w:right="3319"/>
        <w:spacing w:after="0" w:line="273" w:lineRule="auto"/>
        <w:rPr>
          <w:sz w:val="20"/>
          <w:szCs w:val="20"/>
          <w:color w:val="auto"/>
        </w:rPr>
      </w:pPr>
      <w:r>
        <w:rPr>
          <w:rFonts w:ascii="Courier New" w:cs="Courier New" w:eastAsia="Courier New" w:hAnsi="Courier New"/>
          <w:sz w:val="15"/>
          <w:szCs w:val="15"/>
          <w:color w:val="auto"/>
        </w:rPr>
        <w:t>The Company expects to adopt Statement of Position "SOP" 98-5 "Reporting on the Costs of Start-Up Activities" effective January 1, 1999. The Company does not anticipate that the adoption of this SOP will have a significant effect on its results of operations or financial position.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4280" w:type="dxa"/>
            <w:vAlign w:val="bottom"/>
          </w:tcPr>
          <w:p>
            <w:pPr>
              <w:ind w:left="340"/>
              <w:spacing w:after="0"/>
              <w:rPr>
                <w:sz w:val="20"/>
                <w:szCs w:val="20"/>
                <w:color w:val="auto"/>
              </w:rPr>
            </w:pPr>
            <w:r>
              <w:rPr>
                <w:rFonts w:ascii="Courier New" w:cs="Courier New" w:eastAsia="Courier New" w:hAnsi="Courier New"/>
                <w:sz w:val="15"/>
                <w:szCs w:val="15"/>
                <w:color w:val="auto"/>
              </w:rPr>
              <w:t>PROPERTY AND EQUIPMENT</w:t>
            </w: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consisted of the following:</w:t>
            </w:r>
          </w:p>
        </w:tc>
        <w:tc>
          <w:tcPr>
            <w:tcW w:w="2440" w:type="dxa"/>
            <w:vAlign w:val="bottom"/>
            <w:gridSpan w:val="3"/>
            <w:vMerge w:val="restart"/>
          </w:tcPr>
          <w:p>
            <w:pPr>
              <w:jc w:val="right"/>
              <w:ind w:right="52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91"/>
        </w:trPr>
        <w:tc>
          <w:tcPr>
            <w:tcW w:w="280" w:type="dxa"/>
            <w:vAlign w:val="bottom"/>
          </w:tcPr>
          <w:p>
            <w:pPr>
              <w:spacing w:after="0"/>
              <w:rPr>
                <w:sz w:val="7"/>
                <w:szCs w:val="7"/>
                <w:color w:val="auto"/>
              </w:rPr>
            </w:pPr>
          </w:p>
        </w:tc>
        <w:tc>
          <w:tcPr>
            <w:tcW w:w="428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Land and land improvements</w:t>
            </w:r>
          </w:p>
        </w:tc>
        <w:tc>
          <w:tcPr>
            <w:tcW w:w="24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vMerge w:val="continue"/>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7,850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7,442</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Buildings</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10,979</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10,120</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Towers and antennae</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13,121</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12,706</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Equipment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37,237</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34,323</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Furniture, fixtures and leasehold improvements</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4,913</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4,619</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Vehicles</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1,506</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1,312</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Accumulated depreciation</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75,606</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70,522</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280" w:type="dxa"/>
            <w:vAlign w:val="bottom"/>
            <w:vMerge w:val="continue"/>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(40,042)</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(36,494)</w:t>
            </w:r>
          </w:p>
        </w:tc>
        <w:tc>
          <w:tcPr>
            <w:tcW w:w="0" w:type="dxa"/>
            <w:vAlign w:val="bottom"/>
          </w:tcPr>
          <w:p>
            <w:pPr>
              <w:spacing w:after="0"/>
              <w:rPr>
                <w:sz w:val="1"/>
                <w:szCs w:val="1"/>
                <w:color w:val="auto"/>
              </w:rPr>
            </w:pPr>
          </w:p>
        </w:tc>
      </w:tr>
      <w:tr>
        <w:trPr>
          <w:trHeight w:val="168"/>
        </w:trPr>
        <w:tc>
          <w:tcPr>
            <w:tcW w:w="45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property and equipment</w:t>
            </w:r>
          </w:p>
        </w:tc>
        <w:tc>
          <w:tcPr>
            <w:tcW w:w="24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gridSpan w:val="2"/>
            <w:vMerge w:val="continue"/>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$ 35,564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34,028</w:t>
            </w:r>
          </w:p>
        </w:tc>
        <w:tc>
          <w:tcPr>
            <w:tcW w:w="0" w:type="dxa"/>
            <w:vAlign w:val="bottom"/>
          </w:tcPr>
          <w:p>
            <w:pPr>
              <w:spacing w:after="0"/>
              <w:rPr>
                <w:sz w:val="1"/>
                <w:szCs w:val="1"/>
                <w:color w:val="auto"/>
              </w:rPr>
            </w:pPr>
          </w:p>
        </w:tc>
      </w:tr>
      <w:tr>
        <w:trPr>
          <w:trHeight w:val="245"/>
        </w:trPr>
        <w:tc>
          <w:tcPr>
            <w:tcW w:w="2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4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280" w:type="dxa"/>
            <w:vAlign w:val="bottom"/>
          </w:tcPr>
          <w:p>
            <w:pPr>
              <w:spacing w:after="0"/>
              <w:rPr>
                <w:sz w:val="24"/>
                <w:szCs w:val="24"/>
                <w:color w:val="auto"/>
              </w:rPr>
            </w:pPr>
          </w:p>
        </w:tc>
        <w:tc>
          <w:tcPr>
            <w:tcW w:w="4280" w:type="dxa"/>
            <w:vAlign w:val="bottom"/>
          </w:tcPr>
          <w:p>
            <w:pPr>
              <w:ind w:left="3140"/>
              <w:spacing w:after="0"/>
              <w:rPr>
                <w:sz w:val="20"/>
                <w:szCs w:val="20"/>
                <w:color w:val="auto"/>
              </w:rPr>
            </w:pPr>
            <w:r>
              <w:rPr>
                <w:rFonts w:ascii="Courier New" w:cs="Courier New" w:eastAsia="Courier New" w:hAnsi="Courier New"/>
                <w:sz w:val="15"/>
                <w:szCs w:val="15"/>
                <w:color w:val="auto"/>
              </w:rPr>
              <w:t>11</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790"/>
        <w:spacing w:after="0"/>
        <w:tabs>
          <w:tab w:leader="none" w:pos="8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right="100" w:hanging="349"/>
        <w:spacing w:after="0" w:line="267" w:lineRule="auto"/>
        <w:rPr>
          <w:sz w:val="20"/>
          <w:szCs w:val="20"/>
          <w:color w:val="auto"/>
        </w:rPr>
      </w:pPr>
      <w:r>
        <w:rPr>
          <w:rFonts w:ascii="Courier New" w:cs="Courier New" w:eastAsia="Courier New" w:hAnsi="Courier New"/>
          <w:sz w:val="14"/>
          <w:szCs w:val="14"/>
          <w:color w:val="auto"/>
        </w:rPr>
        <w:t>Senior secured term loan facility (total commitment of $70,000,000) secured by all assets of the Company and subsidiary stock and guarantees. Interest at a Eurodollar rate (5.625% at December 31, 1998) plus a margin ranging from</w:t>
      </w:r>
    </w:p>
    <w:p>
      <w:pPr>
        <w:spacing w:after="0" w:line="1" w:lineRule="exact"/>
        <w:rPr>
          <w:sz w:val="20"/>
          <w:szCs w:val="20"/>
          <w:color w:val="auto"/>
        </w:rPr>
      </w:pPr>
    </w:p>
    <w:p>
      <w:pPr>
        <w:ind w:left="360" w:right="100"/>
        <w:spacing w:after="0" w:line="237" w:lineRule="auto"/>
        <w:rPr>
          <w:sz w:val="20"/>
          <w:szCs w:val="20"/>
          <w:color w:val="auto"/>
        </w:rPr>
      </w:pPr>
      <w:r>
        <w:rPr>
          <w:rFonts w:ascii="Courier New" w:cs="Courier New" w:eastAsia="Courier New" w:hAnsi="Courier New"/>
          <w:sz w:val="15"/>
          <w:szCs w:val="15"/>
          <w:color w:val="auto"/>
        </w:rPr>
        <w:t>1.0% to 1.75%. All interest is due quarterly. The maximum commitment under the term facility reduces by 10% in 2001, 15% in 2002, 17.5% in 2003, 20% in 2004, 22.5% in 2005, and 15% in 2006, based on the original commitment of $70,000,000. In addition, the term facility may be further reduced by specified percentages of Excess Cash Flow (as defined in the Credit Agreement) based on leverage ratios. The term facility matures on June 30, 2006.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promissory note. Payments are due monthly including interest at 10%.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note matures in 2004.</w:t>
      </w:r>
    </w:p>
    <w:p>
      <w:pPr>
        <w:spacing w:after="0"/>
        <w:rPr>
          <w:sz w:val="20"/>
          <w:szCs w:val="20"/>
          <w:color w:val="auto"/>
        </w:rPr>
      </w:pPr>
      <w:r>
        <w:rPr>
          <w:rFonts w:ascii="Courier New" w:cs="Courier New" w:eastAsia="Courier New" w:hAnsi="Courier New"/>
          <w:sz w:val="15"/>
          <w:szCs w:val="15"/>
          <w:color w:val="auto"/>
        </w:rPr>
        <w:t>Other, primarily covenants not to compete.</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due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maturities of long-term debt are as follows:</w:t>
      </w:r>
    </w:p>
    <w:p>
      <w:pPr>
        <w:spacing w:after="0" w:line="165" w:lineRule="exact"/>
        <w:rPr>
          <w:sz w:val="20"/>
          <w:szCs w:val="20"/>
          <w:color w:val="auto"/>
        </w:rPr>
      </w:pPr>
    </w:p>
    <w:tbl>
      <w:tblPr>
        <w:tblLayout w:type="fixed"/>
        <w:tblInd w:w="2640" w:type="dxa"/>
        <w:tblCellMar>
          <w:top w:w="0" w:type="dxa"/>
          <w:left w:w="0" w:type="dxa"/>
          <w:bottom w:w="0" w:type="dxa"/>
          <w:right w:w="0" w:type="dxa"/>
        </w:tblCellMar>
      </w:tblPr>
      <w:tr>
        <w:trPr>
          <w:trHeight w:val="170"/>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Year ending</w:t>
            </w:r>
          </w:p>
        </w:tc>
        <w:tc>
          <w:tcPr>
            <w:tcW w:w="1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60" w:type="dxa"/>
            <w:vAlign w:val="bottom"/>
            <w:gridSpan w:val="2"/>
          </w:tcPr>
          <w:p>
            <w:pPr>
              <w:jc w:val="center"/>
              <w:ind w:right="54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181</w:t>
            </w:r>
          </w:p>
        </w:tc>
        <w:tc>
          <w:tcPr>
            <w:tcW w:w="0" w:type="dxa"/>
            <w:vAlign w:val="bottom"/>
          </w:tcPr>
          <w:p>
            <w:pPr>
              <w:spacing w:after="0"/>
              <w:rPr>
                <w:sz w:val="1"/>
                <w:szCs w:val="1"/>
                <w:color w:val="auto"/>
              </w:rPr>
            </w:pPr>
          </w:p>
        </w:tc>
      </w:tr>
      <w:tr>
        <w:trPr>
          <w:trHeight w:val="168"/>
        </w:trPr>
        <w:tc>
          <w:tcPr>
            <w:tcW w:w="7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1999</w:t>
            </w:r>
          </w:p>
        </w:tc>
        <w:tc>
          <w:tcPr>
            <w:tcW w:w="9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2000</w:t>
            </w:r>
          </w:p>
        </w:tc>
        <w:tc>
          <w:tcPr>
            <w:tcW w:w="92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68"/>
        </w:trPr>
        <w:tc>
          <w:tcPr>
            <w:tcW w:w="7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7,196</w:t>
            </w:r>
          </w:p>
        </w:tc>
        <w:tc>
          <w:tcPr>
            <w:tcW w:w="0" w:type="dxa"/>
            <w:vAlign w:val="bottom"/>
          </w:tcPr>
          <w:p>
            <w:pPr>
              <w:spacing w:after="0"/>
              <w:rPr>
                <w:sz w:val="1"/>
                <w:szCs w:val="1"/>
                <w:color w:val="auto"/>
              </w:rPr>
            </w:pPr>
          </w:p>
        </w:tc>
      </w:tr>
      <w:tr>
        <w:trPr>
          <w:trHeight w:val="168"/>
        </w:trPr>
        <w:tc>
          <w:tcPr>
            <w:tcW w:w="7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2002</w:t>
            </w:r>
          </w:p>
        </w:tc>
        <w:tc>
          <w:tcPr>
            <w:tcW w:w="92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10,693</w:t>
            </w:r>
          </w:p>
        </w:tc>
        <w:tc>
          <w:tcPr>
            <w:tcW w:w="0" w:type="dxa"/>
            <w:vAlign w:val="bottom"/>
          </w:tcPr>
          <w:p>
            <w:pPr>
              <w:spacing w:after="0"/>
              <w:rPr>
                <w:sz w:val="1"/>
                <w:szCs w:val="1"/>
                <w:color w:val="auto"/>
              </w:rPr>
            </w:pPr>
          </w:p>
        </w:tc>
      </w:tr>
      <w:tr>
        <w:trPr>
          <w:trHeight w:val="168"/>
        </w:trPr>
        <w:tc>
          <w:tcPr>
            <w:tcW w:w="7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2003</w:t>
            </w:r>
          </w:p>
        </w:tc>
        <w:tc>
          <w:tcPr>
            <w:tcW w:w="92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12,353</w:t>
            </w:r>
          </w:p>
        </w:tc>
        <w:tc>
          <w:tcPr>
            <w:tcW w:w="0" w:type="dxa"/>
            <w:vAlign w:val="bottom"/>
          </w:tcPr>
          <w:p>
            <w:pPr>
              <w:spacing w:after="0"/>
              <w:rPr>
                <w:sz w:val="1"/>
                <w:szCs w:val="1"/>
                <w:color w:val="auto"/>
              </w:rPr>
            </w:pPr>
          </w:p>
        </w:tc>
      </w:tr>
      <w:tr>
        <w:trPr>
          <w:trHeight w:val="168"/>
        </w:trPr>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Thereafter</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40,295</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$70,906</w:t>
            </w:r>
          </w:p>
        </w:tc>
        <w:tc>
          <w:tcPr>
            <w:tcW w:w="0" w:type="dxa"/>
            <w:vAlign w:val="bottom"/>
          </w:tcPr>
          <w:p>
            <w:pPr>
              <w:spacing w:after="0"/>
              <w:rPr>
                <w:sz w:val="1"/>
                <w:szCs w:val="1"/>
                <w:color w:val="auto"/>
              </w:rPr>
            </w:pPr>
          </w:p>
        </w:tc>
      </w:tr>
      <w:tr>
        <w:trPr>
          <w:trHeight w:val="245"/>
        </w:trPr>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74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70"/>
        </w:trPr>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1998</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8"/>
              </w:rPr>
              <w:t>DECEMBER 31,</w:t>
            </w:r>
          </w:p>
        </w:tc>
        <w:tc>
          <w:tcPr>
            <w:tcW w:w="0" w:type="dxa"/>
            <w:vAlign w:val="bottom"/>
          </w:tcPr>
          <w:p>
            <w:pPr>
              <w:spacing w:after="0"/>
              <w:rPr>
                <w:sz w:val="1"/>
                <w:szCs w:val="1"/>
                <w:color w:val="auto"/>
              </w:rPr>
            </w:pPr>
          </w:p>
        </w:tc>
      </w:tr>
      <w:tr>
        <w:trPr>
          <w:trHeight w:val="194"/>
        </w:trPr>
        <w:tc>
          <w:tcPr>
            <w:tcW w:w="400" w:type="dxa"/>
            <w:vAlign w:val="bottom"/>
            <w:vMerge w:val="continue"/>
          </w:tcPr>
          <w:p>
            <w:pPr>
              <w:spacing w:after="0"/>
              <w:rPr>
                <w:sz w:val="16"/>
                <w:szCs w:val="16"/>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$70,000</w:t>
      </w:r>
      <w:r>
        <w:rPr>
          <w:sz w:val="20"/>
          <w:szCs w:val="20"/>
          <w:color w:val="auto"/>
        </w:rPr>
        <w:tab/>
      </w:r>
      <w:r>
        <w:rPr>
          <w:rFonts w:ascii="Courier New" w:cs="Courier New" w:eastAsia="Courier New" w:hAnsi="Courier New"/>
          <w:sz w:val="14"/>
          <w:szCs w:val="14"/>
          <w:color w:val="auto"/>
        </w:rPr>
        <w:t>$60,534</w:t>
      </w:r>
    </w:p>
    <w:p>
      <w:pPr>
        <w:spacing w:after="0" w:line="166" w:lineRule="exact"/>
        <w:rPr>
          <w:sz w:val="20"/>
          <w:szCs w:val="20"/>
          <w:color w:val="auto"/>
        </w:rPr>
      </w:pPr>
    </w:p>
    <w:p>
      <w:pPr>
        <w:ind w:left="1740" w:hanging="1399"/>
        <w:spacing w:after="0"/>
        <w:tabs>
          <w:tab w:leader="none" w:pos="17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507</w:t>
      </w:r>
    </w:p>
    <w:p>
      <w:pPr>
        <w:spacing w:after="0" w:line="35" w:lineRule="exact"/>
        <w:rPr>
          <w:rFonts w:ascii="Courier New" w:cs="Courier New" w:eastAsia="Courier New" w:hAnsi="Courier New"/>
          <w:sz w:val="14"/>
          <w:szCs w:val="14"/>
          <w:color w:val="auto"/>
        </w:rPr>
      </w:pPr>
    </w:p>
    <w:p>
      <w:pPr>
        <w:ind w:left="1740" w:hanging="1399"/>
        <w:spacing w:after="0"/>
        <w:tabs>
          <w:tab w:leader="none" w:pos="17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564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0"/>
        <w:spacing w:after="0"/>
        <w:tabs>
          <w:tab w:leader="none" w:pos="1460" w:val="left"/>
        </w:tabs>
        <w:rPr>
          <w:sz w:val="20"/>
          <w:szCs w:val="20"/>
          <w:color w:val="auto"/>
        </w:rPr>
      </w:pPr>
      <w:r>
        <w:rPr>
          <w:rFonts w:ascii="Courier New" w:cs="Courier New" w:eastAsia="Courier New" w:hAnsi="Courier New"/>
          <w:sz w:val="14"/>
          <w:szCs w:val="14"/>
          <w:color w:val="auto"/>
        </w:rPr>
        <w:t>70,906</w:t>
      </w:r>
      <w:r>
        <w:rPr>
          <w:sz w:val="20"/>
          <w:szCs w:val="20"/>
          <w:color w:val="auto"/>
        </w:rPr>
        <w:tab/>
      </w:r>
      <w:r>
        <w:rPr>
          <w:rFonts w:ascii="Courier New" w:cs="Courier New" w:eastAsia="Courier New" w:hAnsi="Courier New"/>
          <w:sz w:val="14"/>
          <w:szCs w:val="14"/>
          <w:color w:val="auto"/>
        </w:rPr>
        <w:t>61,605</w:t>
      </w:r>
    </w:p>
    <w:p>
      <w:pPr>
        <w:spacing w:after="0" w:line="10" w:lineRule="exact"/>
        <w:rPr>
          <w:sz w:val="20"/>
          <w:szCs w:val="20"/>
          <w:color w:val="auto"/>
        </w:rPr>
      </w:pPr>
    </w:p>
    <w:p>
      <w:pPr>
        <w:ind w:left="1560" w:hanging="1219"/>
        <w:spacing w:after="0"/>
        <w:tabs>
          <w:tab w:leader="none" w:pos="15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8,139</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$70,725</w:t>
      </w:r>
      <w:r>
        <w:rPr>
          <w:rFonts w:ascii="Courier New" w:cs="Courier New" w:eastAsia="Courier New" w:hAnsi="Courier New"/>
          <w:sz w:val="14"/>
          <w:szCs w:val="14"/>
          <w:color w:val="auto"/>
        </w:rPr>
        <w:t>$53,466</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100" w:space="440"/>
            <w:col w:w="2699"/>
          </w:cols>
          <w:pgMar w:left="220" w:top="26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left="620" w:hanging="610"/>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(CONTINUED)</w:t>
      </w:r>
    </w:p>
    <w:p>
      <w:pPr>
        <w:spacing w:after="0" w:line="166"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The Company also has available a senior secured acquisition loan facility (total commitment of $60,000,000), and a senior secured revolving term loan facility (total commitment of $20,000,000), secured by all assets of the Company and subsidiary stock and guarantees. The maximum commitment under the acquisition facility reduces by 10% in 2001, 15% in 2002, 17.5% in 2003, 20% in 2004, 22.5% in 2005, and 15% in 2006, based on the original commitment of $60,000,000 and matures on June 30, 2006. The revolving facility matures on June 30, 2006. All interest on these facilities are due quarterly. The loan agreement requires a commitment fee of 0.375% to 0.5% per annum on the daily average amount of the available acquisition and revolving facility commitments.</w:t>
      </w:r>
    </w:p>
    <w:p>
      <w:pPr>
        <w:spacing w:after="0" w:line="73" w:lineRule="exact"/>
        <w:rPr>
          <w:sz w:val="20"/>
          <w:szCs w:val="20"/>
          <w:color w:val="auto"/>
        </w:rPr>
      </w:pPr>
    </w:p>
    <w:p>
      <w:pPr>
        <w:ind w:right="3319"/>
        <w:spacing w:after="0" w:line="298" w:lineRule="auto"/>
        <w:rPr>
          <w:sz w:val="20"/>
          <w:szCs w:val="20"/>
          <w:color w:val="auto"/>
        </w:rPr>
      </w:pPr>
      <w:r>
        <w:rPr>
          <w:rFonts w:ascii="Courier New" w:cs="Courier New" w:eastAsia="Courier New" w:hAnsi="Courier New"/>
          <w:sz w:val="14"/>
          <w:szCs w:val="14"/>
          <w:color w:val="auto"/>
        </w:rPr>
        <w:t>Interest rates under the term, acquisition and revolving facilities are payable at the Company's option, at alternatives equal to LIBOR plus 1.0% to 1.75% or the Agent bank's base rate plus 0% to 0.75%. The spread over LIBOR and the base rate vary from time to time, depending upon the Company's financial leverage.</w:t>
      </w:r>
    </w:p>
    <w:p>
      <w:pPr>
        <w:spacing w:after="0" w:line="53" w:lineRule="exact"/>
        <w:rPr>
          <w:sz w:val="20"/>
          <w:szCs w:val="20"/>
          <w:color w:val="auto"/>
        </w:rPr>
      </w:pPr>
    </w:p>
    <w:p>
      <w:pPr>
        <w:ind w:right="3239"/>
        <w:spacing w:after="0" w:line="260" w:lineRule="auto"/>
        <w:rPr>
          <w:sz w:val="20"/>
          <w:szCs w:val="20"/>
          <w:color w:val="auto"/>
        </w:rPr>
      </w:pPr>
      <w:r>
        <w:rPr>
          <w:rFonts w:ascii="Courier New" w:cs="Courier New" w:eastAsia="Courier New" w:hAnsi="Courier New"/>
          <w:sz w:val="14"/>
          <w:szCs w:val="14"/>
          <w:color w:val="auto"/>
        </w:rPr>
        <w:t>The term, acquisition and revolving facilities contain a number of covenants (all of which the Company was in compliance with at December 31, 1998) that, among other things, require the Company to maintain specified financial ratios and impose certain limitations on the Company with respect to (i) the incurrence of additional indebtedness; (ii) acquisitions, except under specified conditions; (iii) the incurrence of additional liens, except those relating to capital leases and purchase money indebtedness; (iv) the disposition of assets;</w:t>
      </w:r>
    </w:p>
    <w:p>
      <w:pPr>
        <w:spacing w:after="0" w:line="1" w:lineRule="exact"/>
        <w:rPr>
          <w:sz w:val="20"/>
          <w:szCs w:val="20"/>
          <w:color w:val="auto"/>
        </w:rPr>
      </w:pPr>
    </w:p>
    <w:p>
      <w:pPr>
        <w:jc w:val="both"/>
        <w:ind w:right="3579" w:firstLine="10"/>
        <w:spacing w:after="0" w:line="300" w:lineRule="auto"/>
        <w:tabs>
          <w:tab w:leader="none" w:pos="35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cash dividends; and (vi) mergers, changes in business and management, investments and transactions with affiliates. The loan agreement prohibits the payment of dividends without the banks' prior consent.</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1998, the Company had an interest rate swap agreement with a</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notional amount of $32,000,000 that it used to convert the variable</w:t>
      </w:r>
    </w:p>
    <w:p>
      <w:pPr>
        <w:spacing w:after="0"/>
        <w:rPr>
          <w:sz w:val="20"/>
          <w:szCs w:val="20"/>
          <w:color w:val="auto"/>
        </w:rPr>
      </w:pPr>
      <w:r>
        <w:rPr>
          <w:rFonts w:ascii="Courier New" w:cs="Courier New" w:eastAsia="Courier New" w:hAnsi="Courier New"/>
          <w:sz w:val="14"/>
          <w:szCs w:val="14"/>
          <w:color w:val="auto"/>
        </w:rPr>
        <w:t>Eurodollar interest rate of a portion of its bank borrowings to a fixed interest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The swap agreement was entered into to reduce the risk to the Company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rising interest rates. In accordance with the terms of the swap agreement,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pays 6.15% calculated on the $32,000,000 notional amount. The Company</w:t>
      </w:r>
    </w:p>
    <w:p>
      <w:pPr>
        <w:spacing w:after="0"/>
        <w:rPr>
          <w:sz w:val="20"/>
          <w:szCs w:val="20"/>
          <w:color w:val="auto"/>
        </w:rPr>
      </w:pPr>
      <w:r>
        <w:rPr>
          <w:rFonts w:ascii="Courier New" w:cs="Courier New" w:eastAsia="Courier New" w:hAnsi="Courier New"/>
          <w:sz w:val="14"/>
          <w:szCs w:val="14"/>
          <w:color w:val="auto"/>
        </w:rPr>
        <w:t>receives LIBOR (5.25125% at December 31, 1998) calculated on a notional amount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$32,000,000. Net payments under the agreement are recognized as an adjustment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interest expense. The swap agreement expires in December, 1999. As the LIBOR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increases, interest payments received and the market value of the swap position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The fair value of the swap agreement at December 31, 1998 was</w:t>
      </w:r>
    </w:p>
    <w:p>
      <w:pPr>
        <w:spacing w:after="0"/>
        <w:rPr>
          <w:sz w:val="20"/>
          <w:szCs w:val="20"/>
          <w:color w:val="auto"/>
        </w:rPr>
      </w:pPr>
      <w:r>
        <w:rPr>
          <w:rFonts w:ascii="Courier New" w:cs="Courier New" w:eastAsia="Courier New" w:hAnsi="Courier New"/>
          <w:sz w:val="14"/>
          <w:szCs w:val="14"/>
          <w:color w:val="auto"/>
        </w:rPr>
        <w:t>($359,884), estimated using discounted cash flows analyses, based on a discount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equivalent to a U.S. Treasury security with a comparable remaining maturity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plus a 50 basis point spread for credit risk and other factors.</w:t>
      </w: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6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47</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left="620" w:hanging="610"/>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CASH FLOW INFORMATION</w:t>
      </w:r>
    </w:p>
    <w:p>
      <w:pPr>
        <w:spacing w:after="0" w:line="166" w:lineRule="exact"/>
        <w:rPr>
          <w:sz w:val="20"/>
          <w:szCs w:val="20"/>
          <w:color w:val="auto"/>
        </w:rPr>
      </w:pPr>
    </w:p>
    <w:p>
      <w:pPr>
        <w:ind w:right="3679"/>
        <w:spacing w:after="0" w:line="385" w:lineRule="auto"/>
        <w:rPr>
          <w:sz w:val="20"/>
          <w:szCs w:val="20"/>
          <w:color w:val="auto"/>
        </w:rPr>
      </w:pPr>
      <w:r>
        <w:rPr>
          <w:rFonts w:ascii="Courier New" w:cs="Courier New" w:eastAsia="Courier New" w:hAnsi="Courier New"/>
          <w:sz w:val="14"/>
          <w:szCs w:val="14"/>
          <w:color w:val="auto"/>
        </w:rPr>
        <w:t>For the purposes of the statements of cash flows, cash and cash equivalents include temporary investments with maturities of three months or less.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2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w w:val="99"/>
              </w:rPr>
              <w:t>YEARS ENDED DECEMBER 31,</w:t>
            </w:r>
          </w:p>
        </w:tc>
        <w:tc>
          <w:tcPr>
            <w:tcW w:w="5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2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4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$4,930</w:t>
            </w:r>
          </w:p>
        </w:tc>
        <w:tc>
          <w:tcPr>
            <w:tcW w:w="222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$4,484</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$4,181</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28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4,124</w:t>
            </w:r>
          </w:p>
        </w:tc>
        <w:tc>
          <w:tcPr>
            <w:tcW w:w="22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2,235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2,261</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Courier New" w:cs="Courier New" w:eastAsia="Courier New" w:hAnsi="Courier New"/>
                <w:sz w:val="15"/>
                <w:szCs w:val="15"/>
                <w:color w:val="auto"/>
              </w:rPr>
              <w:t>Non-cash transactions:</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$1,835</w:t>
            </w:r>
          </w:p>
        </w:tc>
        <w:tc>
          <w:tcPr>
            <w:tcW w:w="222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$1,993</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$1,842</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Barter revenue</w:t>
            </w:r>
          </w:p>
        </w:tc>
        <w:tc>
          <w:tcPr>
            <w:tcW w:w="128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Barter expense</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1,891</w:t>
            </w:r>
          </w:p>
        </w:tc>
        <w:tc>
          <w:tcPr>
            <w:tcW w:w="22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1,812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1,761</w:t>
            </w: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0"/>
                <w:szCs w:val="20"/>
                <w:color w:val="auto"/>
              </w:rPr>
            </w:pPr>
            <w:r>
              <w:rPr>
                <w:rFonts w:ascii="Courier New" w:cs="Courier New" w:eastAsia="Courier New" w:hAnsi="Courier New"/>
                <w:sz w:val="15"/>
                <w:szCs w:val="15"/>
                <w:color w:val="auto"/>
              </w:rPr>
              <w:t>Acquisition of property and equipment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22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In conjunction with the acquisition of the net assets of broadcasting companies, liabilities were assumed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2760" w:type="dxa"/>
            <w:vAlign w:val="bottom"/>
            <w:gridSpan w:val="4"/>
          </w:tcPr>
          <w:p>
            <w:pPr>
              <w:jc w:val="right"/>
              <w:ind w:right="547"/>
              <w:spacing w:after="0"/>
              <w:rPr>
                <w:sz w:val="20"/>
                <w:szCs w:val="20"/>
                <w:color w:val="auto"/>
              </w:rPr>
            </w:pPr>
            <w:r>
              <w:rPr>
                <w:rFonts w:ascii="Courier New" w:cs="Courier New" w:eastAsia="Courier New" w:hAnsi="Courier New"/>
                <w:sz w:val="15"/>
                <w:szCs w:val="15"/>
                <w:color w:val="auto"/>
                <w:w w:val="98"/>
              </w:rPr>
              <w:t>YEARS ENDED DECEMBER 31,</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50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80" w:type="dxa"/>
            <w:vAlign w:val="bottom"/>
          </w:tcPr>
          <w:p>
            <w:pPr>
              <w:spacing w:after="0"/>
              <w:rPr>
                <w:sz w:val="20"/>
                <w:szCs w:val="20"/>
                <w:color w:val="auto"/>
              </w:rPr>
            </w:pPr>
            <w:r>
              <w:rPr>
                <w:rFonts w:ascii="Courier New" w:cs="Courier New" w:eastAsia="Courier New" w:hAnsi="Courier New"/>
                <w:sz w:val="15"/>
                <w:szCs w:val="15"/>
                <w:color w:val="auto"/>
              </w:rPr>
              <w:t>Fair value of assets acquired</w:t>
            </w:r>
          </w:p>
        </w:tc>
        <w:tc>
          <w:tcPr>
            <w:tcW w:w="2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$ 10,770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19,249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17,098</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w:t>
            </w:r>
          </w:p>
        </w:tc>
        <w:tc>
          <w:tcPr>
            <w:tcW w:w="15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(10,160)</w:t>
            </w:r>
          </w:p>
        </w:tc>
        <w:tc>
          <w:tcPr>
            <w:tcW w:w="6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(18,595)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(16,956)</w:t>
            </w:r>
          </w:p>
        </w:tc>
        <w:tc>
          <w:tcPr>
            <w:tcW w:w="0" w:type="dxa"/>
            <w:vAlign w:val="bottom"/>
          </w:tcPr>
          <w:p>
            <w:pPr>
              <w:spacing w:after="0"/>
              <w:rPr>
                <w:sz w:val="1"/>
                <w:szCs w:val="1"/>
                <w:color w:val="auto"/>
              </w:rPr>
            </w:pPr>
          </w:p>
        </w:tc>
      </w:tr>
      <w:tr>
        <w:trPr>
          <w:trHeight w:val="168"/>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assumed</w:t>
            </w:r>
          </w:p>
        </w:tc>
        <w:tc>
          <w:tcPr>
            <w:tcW w:w="50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80" w:type="dxa"/>
            <w:vAlign w:val="bottom"/>
            <w:vMerge w:val="continue"/>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654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508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73"/>
        </w:trPr>
        <w:tc>
          <w:tcPr>
            <w:tcW w:w="2980" w:type="dxa"/>
            <w:vAlign w:val="bottom"/>
          </w:tcPr>
          <w:p>
            <w:pPr>
              <w:spacing w:after="0"/>
              <w:rPr>
                <w:sz w:val="24"/>
                <w:szCs w:val="24"/>
                <w:color w:val="auto"/>
              </w:rPr>
            </w:pP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610"/>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9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 liabilities:</w:t>
            </w:r>
          </w:p>
        </w:tc>
        <w:tc>
          <w:tcPr>
            <w:tcW w:w="2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91"/>
        </w:trPr>
        <w:tc>
          <w:tcPr>
            <w:tcW w:w="4080" w:type="dxa"/>
            <w:vAlign w:val="bottom"/>
            <w:vMerge w:val="continue"/>
          </w:tcPr>
          <w:p>
            <w:pPr>
              <w:spacing w:after="0"/>
              <w:rPr>
                <w:sz w:val="7"/>
                <w:szCs w:val="7"/>
                <w:color w:val="auto"/>
              </w:rPr>
            </w:pPr>
          </w:p>
        </w:tc>
        <w:tc>
          <w:tcPr>
            <w:tcW w:w="1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$3,748</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$3,240</w:t>
            </w:r>
          </w:p>
        </w:tc>
        <w:tc>
          <w:tcPr>
            <w:tcW w:w="0" w:type="dxa"/>
            <w:vAlign w:val="bottom"/>
          </w:tcPr>
          <w:p>
            <w:pPr>
              <w:spacing w:after="0"/>
              <w:rPr>
                <w:sz w:val="1"/>
                <w:szCs w:val="1"/>
                <w:color w:val="auto"/>
              </w:rPr>
            </w:pPr>
          </w:p>
        </w:tc>
      </w:tr>
      <w:tr>
        <w:trPr>
          <w:trHeight w:val="168"/>
        </w:trPr>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1,057</w:t>
            </w:r>
          </w:p>
        </w:tc>
        <w:tc>
          <w:tcPr>
            <w:tcW w:w="0" w:type="dxa"/>
            <w:vAlign w:val="bottom"/>
          </w:tcPr>
          <w:p>
            <w:pPr>
              <w:spacing w:after="0"/>
              <w:rPr>
                <w:sz w:val="1"/>
                <w:szCs w:val="1"/>
                <w:color w:val="auto"/>
              </w:rPr>
            </w:pPr>
          </w:p>
        </w:tc>
      </w:tr>
      <w:tr>
        <w:trPr>
          <w:trHeight w:val="168"/>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Total deferred tax liabilities</w:t>
            </w: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080" w:type="dxa"/>
            <w:vAlign w:val="bottom"/>
            <w:vMerge w:val="continue"/>
          </w:tcPr>
          <w:p>
            <w:pPr>
              <w:spacing w:after="0"/>
              <w:rPr>
                <w:sz w:val="21"/>
                <w:szCs w:val="21"/>
                <w:color w:val="auto"/>
              </w:rPr>
            </w:pPr>
          </w:p>
        </w:tc>
        <w:tc>
          <w:tcPr>
            <w:tcW w:w="1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4,297</w:t>
            </w:r>
          </w:p>
        </w:tc>
        <w:tc>
          <w:tcPr>
            <w:tcW w:w="0" w:type="dxa"/>
            <w:vAlign w:val="bottom"/>
          </w:tcPr>
          <w:p>
            <w:pPr>
              <w:spacing w:after="0"/>
              <w:rPr>
                <w:sz w:val="1"/>
                <w:szCs w:val="1"/>
                <w:color w:val="auto"/>
              </w:rPr>
            </w:pPr>
          </w:p>
        </w:tc>
      </w:tr>
      <w:tr>
        <w:trPr>
          <w:trHeight w:val="259"/>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169</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175</w:t>
            </w:r>
          </w:p>
        </w:tc>
        <w:tc>
          <w:tcPr>
            <w:tcW w:w="0" w:type="dxa"/>
            <w:vAlign w:val="bottom"/>
          </w:tcPr>
          <w:p>
            <w:pPr>
              <w:spacing w:after="0"/>
              <w:rPr>
                <w:sz w:val="1"/>
                <w:szCs w:val="1"/>
                <w:color w:val="auto"/>
              </w:rPr>
            </w:pPr>
          </w:p>
        </w:tc>
      </w:tr>
      <w:tr>
        <w:trPr>
          <w:trHeight w:val="168"/>
        </w:trPr>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Compensation</w:t>
            </w: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w:t>
            </w:r>
          </w:p>
        </w:tc>
        <w:tc>
          <w:tcPr>
            <w:tcW w:w="0" w:type="dxa"/>
            <w:vAlign w:val="bottom"/>
          </w:tcPr>
          <w:p>
            <w:pPr>
              <w:spacing w:after="0"/>
              <w:rPr>
                <w:sz w:val="1"/>
                <w:szCs w:val="1"/>
                <w:color w:val="auto"/>
              </w:rPr>
            </w:pPr>
          </w:p>
        </w:tc>
      </w:tr>
      <w:tr>
        <w:trPr>
          <w:trHeight w:val="168"/>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Total deferred tax assets</w:t>
            </w: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80" w:type="dxa"/>
            <w:vAlign w:val="bottom"/>
            <w:vMerge w:val="continue"/>
          </w:tcPr>
          <w:p>
            <w:pPr>
              <w:spacing w:after="0"/>
              <w:rPr>
                <w:sz w:val="14"/>
                <w:szCs w:val="14"/>
                <w:color w:val="auto"/>
              </w:rPr>
            </w:pP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c>
          <w:tcPr>
            <w:tcW w:w="0" w:type="dxa"/>
            <w:vAlign w:val="bottom"/>
          </w:tcPr>
          <w:p>
            <w:pPr>
              <w:spacing w:after="0"/>
              <w:rPr>
                <w:sz w:val="1"/>
                <w:szCs w:val="1"/>
                <w:color w:val="auto"/>
              </w:rPr>
            </w:pPr>
          </w:p>
        </w:tc>
      </w:tr>
      <w:tr>
        <w:trPr>
          <w:trHeight w:val="168"/>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Net deferred tax liabilities</w:t>
            </w: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80" w:type="dxa"/>
            <w:vAlign w:val="bottom"/>
            <w:vMerge w:val="continue"/>
          </w:tcPr>
          <w:p>
            <w:pPr>
              <w:spacing w:after="0"/>
              <w:rPr>
                <w:sz w:val="14"/>
                <w:szCs w:val="14"/>
                <w:color w:val="auto"/>
              </w:rPr>
            </w:pP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$3,837</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significant components of the provision for income taxes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w w:val="99"/>
              </w:rPr>
              <w:t>YEARS ENDED DECEMBER 31,</w:t>
            </w:r>
          </w:p>
        </w:tc>
        <w:tc>
          <w:tcPr>
            <w:tcW w:w="6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24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1997</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4720" w:type="dxa"/>
            <w:vAlign w:val="bottom"/>
            <w:gridSpan w:val="3"/>
          </w:tcPr>
          <w:p>
            <w:pPr>
              <w:ind w:left="1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280" w:type="dxa"/>
            <w:vAlign w:val="bottom"/>
            <w:vMerge w:val="restart"/>
          </w:tcPr>
          <w:p>
            <w:pPr>
              <w:spacing w:after="0"/>
              <w:rPr>
                <w:sz w:val="20"/>
                <w:szCs w:val="20"/>
                <w:color w:val="auto"/>
              </w:rPr>
            </w:pPr>
            <w:r>
              <w:rPr>
                <w:rFonts w:ascii="Courier New" w:cs="Courier New" w:eastAsia="Courier New" w:hAnsi="Courier New"/>
                <w:sz w:val="15"/>
                <w:szCs w:val="15"/>
                <w:color w:val="auto"/>
              </w:rPr>
              <w:t>Current:</w:t>
            </w:r>
          </w:p>
        </w:tc>
        <w:tc>
          <w:tcPr>
            <w:tcW w:w="1840" w:type="dxa"/>
            <w:vAlign w:val="bottom"/>
          </w:tcPr>
          <w:p>
            <w:pPr>
              <w:spacing w:after="0"/>
              <w:rPr>
                <w:sz w:val="21"/>
                <w:szCs w:val="21"/>
                <w:color w:val="auto"/>
              </w:rPr>
            </w:pPr>
          </w:p>
        </w:tc>
        <w:tc>
          <w:tcPr>
            <w:tcW w:w="2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(In thousands)</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280" w:type="dxa"/>
            <w:vAlign w:val="bottom"/>
            <w:vMerge w:val="continue"/>
          </w:tcPr>
          <w:p>
            <w:pPr>
              <w:spacing w:after="0"/>
              <w:rPr>
                <w:sz w:val="7"/>
                <w:szCs w:val="7"/>
                <w:color w:val="auto"/>
              </w:rPr>
            </w:pPr>
          </w:p>
        </w:tc>
        <w:tc>
          <w:tcPr>
            <w:tcW w:w="1840" w:type="dxa"/>
            <w:vAlign w:val="bottom"/>
            <w:vMerge w:val="restart"/>
          </w:tcPr>
          <w:p>
            <w:pPr>
              <w:ind w:left="1220"/>
              <w:spacing w:after="0"/>
              <w:rPr>
                <w:sz w:val="20"/>
                <w:szCs w:val="20"/>
                <w:color w:val="auto"/>
              </w:rPr>
            </w:pPr>
            <w:r>
              <w:rPr>
                <w:rFonts w:ascii="Courier New" w:cs="Courier New" w:eastAsia="Courier New" w:hAnsi="Courier New"/>
                <w:sz w:val="15"/>
                <w:szCs w:val="15"/>
                <w:color w:val="auto"/>
              </w:rPr>
              <w:t>$2,920</w:t>
            </w:r>
          </w:p>
        </w:tc>
        <w:tc>
          <w:tcPr>
            <w:tcW w:w="224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$1,972</w:t>
            </w: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$1,677</w:t>
            </w:r>
          </w:p>
        </w:tc>
        <w:tc>
          <w:tcPr>
            <w:tcW w:w="0" w:type="dxa"/>
            <w:vAlign w:val="bottom"/>
          </w:tcPr>
          <w:p>
            <w:pPr>
              <w:spacing w:after="0"/>
              <w:rPr>
                <w:sz w:val="1"/>
                <w:szCs w:val="1"/>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w:t>
            </w:r>
          </w:p>
        </w:tc>
        <w:tc>
          <w:tcPr>
            <w:tcW w:w="184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973</w:t>
            </w:r>
          </w:p>
        </w:tc>
        <w:tc>
          <w:tcPr>
            <w:tcW w:w="22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685</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678</w:t>
            </w:r>
          </w:p>
        </w:tc>
        <w:tc>
          <w:tcPr>
            <w:tcW w:w="0" w:type="dxa"/>
            <w:vAlign w:val="bottom"/>
          </w:tcPr>
          <w:p>
            <w:pPr>
              <w:spacing w:after="0"/>
              <w:rPr>
                <w:sz w:val="1"/>
                <w:szCs w:val="1"/>
                <w:color w:val="auto"/>
              </w:rPr>
            </w:pPr>
          </w:p>
        </w:tc>
      </w:tr>
      <w:tr>
        <w:trPr>
          <w:trHeight w:val="168"/>
        </w:trPr>
        <w:tc>
          <w:tcPr>
            <w:tcW w:w="228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w:t>
            </w:r>
          </w:p>
        </w:tc>
        <w:tc>
          <w:tcPr>
            <w:tcW w:w="4720" w:type="dxa"/>
            <w:vAlign w:val="bottom"/>
            <w:gridSpan w:val="3"/>
          </w:tcPr>
          <w:p>
            <w:pPr>
              <w:ind w:left="1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280" w:type="dxa"/>
            <w:vAlign w:val="bottom"/>
            <w:vMerge w:val="continue"/>
          </w:tcPr>
          <w:p>
            <w:pPr>
              <w:spacing w:after="0"/>
              <w:rPr>
                <w:sz w:val="21"/>
                <w:szCs w:val="21"/>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3,893</w:t>
            </w:r>
          </w:p>
        </w:tc>
        <w:tc>
          <w:tcPr>
            <w:tcW w:w="22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2,657</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2,355</w:t>
            </w:r>
          </w:p>
        </w:tc>
        <w:tc>
          <w:tcPr>
            <w:tcW w:w="0" w:type="dxa"/>
            <w:vAlign w:val="bottom"/>
          </w:tcPr>
          <w:p>
            <w:pPr>
              <w:spacing w:after="0"/>
              <w:rPr>
                <w:sz w:val="1"/>
                <w:szCs w:val="1"/>
                <w:color w:val="auto"/>
              </w:rPr>
            </w:pPr>
          </w:p>
        </w:tc>
      </w:tr>
      <w:tr>
        <w:trPr>
          <w:trHeight w:val="259"/>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987</w:t>
            </w:r>
          </w:p>
        </w:tc>
        <w:tc>
          <w:tcPr>
            <w:tcW w:w="224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703</w:t>
            </w:r>
          </w:p>
        </w:tc>
        <w:tc>
          <w:tcPr>
            <w:tcW w:w="6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683</w:t>
            </w:r>
          </w:p>
        </w:tc>
        <w:tc>
          <w:tcPr>
            <w:tcW w:w="0" w:type="dxa"/>
            <w:vAlign w:val="bottom"/>
          </w:tcPr>
          <w:p>
            <w:pPr>
              <w:spacing w:after="0"/>
              <w:rPr>
                <w:sz w:val="1"/>
                <w:szCs w:val="1"/>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w:t>
            </w:r>
          </w:p>
        </w:tc>
        <w:tc>
          <w:tcPr>
            <w:tcW w:w="184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4720" w:type="dxa"/>
            <w:vAlign w:val="bottom"/>
            <w:gridSpan w:val="3"/>
          </w:tcPr>
          <w:p>
            <w:pPr>
              <w:ind w:left="12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84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$4,880</w:t>
            </w:r>
          </w:p>
        </w:tc>
        <w:tc>
          <w:tcPr>
            <w:tcW w:w="22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$3,360</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$3,038</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4720" w:type="dxa"/>
            <w:vAlign w:val="bottom"/>
            <w:gridSpan w:val="3"/>
          </w:tcPr>
          <w:p>
            <w:pPr>
              <w:ind w:left="12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505"/>
        </w:trPr>
        <w:tc>
          <w:tcPr>
            <w:tcW w:w="2280" w:type="dxa"/>
            <w:vAlign w:val="bottom"/>
          </w:tcPr>
          <w:p>
            <w:pPr>
              <w:spacing w:after="0"/>
              <w:rPr>
                <w:sz w:val="24"/>
                <w:szCs w:val="2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left="620" w:hanging="610"/>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66"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The reconciliation of income tax at the U. S. federal statutory tax rates to income tax expense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1998</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YEARS ENDED DECEMBER 31,</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38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6"/>
              </w:rPr>
              <w:t>(In thousands)</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80" w:type="dxa"/>
            <w:vAlign w:val="bottom"/>
          </w:tcPr>
          <w:p>
            <w:pPr>
              <w:spacing w:after="0"/>
              <w:rPr>
                <w:sz w:val="20"/>
                <w:szCs w:val="20"/>
                <w:color w:val="auto"/>
              </w:rPr>
            </w:pPr>
            <w:r>
              <w:rPr>
                <w:rFonts w:ascii="Courier New" w:cs="Courier New" w:eastAsia="Courier New" w:hAnsi="Courier New"/>
                <w:sz w:val="15"/>
                <w:szCs w:val="15"/>
                <w:color w:val="auto"/>
              </w:rPr>
              <w:t>Tax at U.S. statutory rates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$3,819</w:t>
            </w:r>
          </w:p>
        </w:tc>
        <w:tc>
          <w:tcPr>
            <w:tcW w:w="2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$2,670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$2,371</w:t>
            </w:r>
          </w:p>
        </w:tc>
        <w:tc>
          <w:tcPr>
            <w:tcW w:w="0" w:type="dxa"/>
            <w:vAlign w:val="bottom"/>
          </w:tcPr>
          <w:p>
            <w:pPr>
              <w:spacing w:after="0"/>
              <w:rPr>
                <w:sz w:val="1"/>
                <w:szCs w:val="1"/>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taxes, net of federal benefit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642</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452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w:t>
            </w:r>
          </w:p>
        </w:tc>
        <w:tc>
          <w:tcPr>
            <w:tcW w:w="0" w:type="dxa"/>
            <w:vAlign w:val="bottom"/>
          </w:tcPr>
          <w:p>
            <w:pPr>
              <w:spacing w:after="0"/>
              <w:rPr>
                <w:sz w:val="1"/>
                <w:szCs w:val="1"/>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excess of cost over fair value of</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188</w:t>
            </w:r>
          </w:p>
        </w:tc>
        <w:tc>
          <w:tcPr>
            <w:tcW w:w="222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rPr>
              <w:t>189</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assets acquired</w:t>
            </w:r>
          </w:p>
        </w:tc>
        <w:tc>
          <w:tcPr>
            <w:tcW w:w="98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38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$4,880</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$3,360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$3,038</w:t>
            </w: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3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20" w:hanging="610"/>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166"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4"/>
          <w:szCs w:val="14"/>
          <w:color w:val="auto"/>
        </w:rPr>
        <w:t>In 1992, the Company adopted the 1992 Stock Option Plan (the "Plan") pursuant to which key employees of the Company, including directors who are employees, are eligible to receive grants of options to purchase Class A Common Stock or Class B Common Stock. At December 31, 1998, 880,021 shares of Common Stock are reserved for issuance under the Plan. Options granted under the Plan may be either incentive stock options (within the meaning of Section 422A of the Internal Revenue Code of 1986) or non-qualified options. Incentive stock options granted under the Plan may be for terms not exceeding ten years from the date of grant, except in the case of incentive stock options granted to persons owning more than 10% of the total combined voting power of all classes of stock of the Company, which may be granted for terms not exceeding five years. These options may not be granted at a price which is less than 100% of the fair market value of shares at the time of grant (110% in the case of persons owning more than 10% of the combined voting power of all classes of stock of the Company). In the case of non-qualified stock options granted pursuant to the Plan, the terms and price shall be determined by the Compensation Committee.</w:t>
      </w:r>
    </w:p>
    <w:p>
      <w:pPr>
        <w:spacing w:after="0" w:line="79"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In 1997, the Company adopted the 1997 Non-Employee Director Stock Option Plan (the "Directors Plan") pursuant to which directors of the Company who are not employees of the Company, are eligible to receive options under the Directors Plan. Under the terms of the Directors Plan, on the last business day of January of each year during the term of the Directors Plan, in lieu of their directors' retainer for the previous year, each eligible director shall automatically be granted an option to purchase that number of shares of the Company's Class A Common Stock equal to the amount of the retainer divided by the fair market value of the Company's Common Stock on the last trading day of the December immediately preceding the date of grant less $.01 per share. The option exercise price is $.01 per share. At December 31, 1998, 123,037 shares of common stock are reserved for issuance under the Directors Plan. Options granted under the Directors Plan are non-qualified stock options and shall be immediately vested and exercisable on the date</w:t>
      </w:r>
    </w:p>
    <w:p>
      <w:pPr>
        <w:spacing w:after="0" w:line="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6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50</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left="800" w:hanging="790"/>
        <w:spacing w:after="0"/>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 (CONTINUED)</w:t>
      </w:r>
    </w:p>
    <w:p>
      <w:pPr>
        <w:spacing w:after="0" w:line="16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of grant. The options may be exercised for a period of 10 years from the date of grant of the option. On January 31, 1999 a total of 2,435 shares were issued under the Directors Plan in lieu of their directors' retainer for the year ended December 31, 1998.</w:t>
      </w:r>
    </w:p>
    <w:p>
      <w:pPr>
        <w:spacing w:after="0" w:line="68"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The Company follows Accounting Principles Board Opinion No. 25, "Accounting for Stock Issued to Employees" ("APB 25") and related interpretations, in accounting for its employee and non-employee director stock options. Under APB 25, when the exercise price of the Company's employee stock options equals or exceeds the market price of the underlying stock on the date of grant, no compensation expense is recognized. Total compensation costs recognized in the income statement for stock based compensation awards to employees for the years ended December 31, 1998, 1997 and 1996, was $196,000, $246,000 and $203,000, respectively. Total Directors fees recognized in the income statement for stock based compensation awards for the years ended December 31, 1998 and 1997 was $50,000 and $33,000, respectively.</w:t>
      </w:r>
    </w:p>
    <w:p>
      <w:pPr>
        <w:spacing w:after="0" w:line="87" w:lineRule="exact"/>
        <w:rPr>
          <w:sz w:val="20"/>
          <w:szCs w:val="20"/>
          <w:color w:val="auto"/>
        </w:rPr>
      </w:pPr>
    </w:p>
    <w:p>
      <w:pPr>
        <w:ind w:right="3399"/>
        <w:spacing w:after="0" w:line="298" w:lineRule="auto"/>
        <w:rPr>
          <w:sz w:val="20"/>
          <w:szCs w:val="20"/>
          <w:color w:val="auto"/>
        </w:rPr>
      </w:pPr>
      <w:r>
        <w:rPr>
          <w:rFonts w:ascii="Courier New" w:cs="Courier New" w:eastAsia="Courier New" w:hAnsi="Courier New"/>
          <w:sz w:val="14"/>
          <w:szCs w:val="14"/>
          <w:color w:val="auto"/>
        </w:rPr>
        <w:t>In October 1995 the Financial Accounting Standards Board issued Statement of Financial Accounting Standards ("SFAS") No. 123 ("Statement 123"), "Accounting for Stock-Based Compensation." This standard defines a fair value based method of accounting for an employee stock option or similar equity instrument.</w:t>
      </w:r>
    </w:p>
    <w:p>
      <w:pPr>
        <w:spacing w:after="0" w:line="53"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Pro forma information regarding net income and earnings per share is required by Statement 123, and has been determined as if the Company had accounted for its employee stock options under the fair value method of that Statement. The fair value of the Company's stock options were estimated as of the date of grant using a Black-Scholes option pricing model with the following weighted-average assumptions for 1998, 1997, and 1996, respectively: risk-free interest rates of 4.7%, 5.75% and 6.4%, a dividend yield of 0%; expected volatility of 28.9%, 29% and 27.9%, and a weighted average expected life of the options of 7 years. Under these assumptions, the weighted average fair value of an option to purchase one share granted in 1998, 1997 and 1996, was approximately $6.91, $8.18 and $10.07, respectively.</w:t>
      </w:r>
    </w:p>
    <w:p>
      <w:pPr>
        <w:spacing w:after="0" w:line="87"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200" w:lineRule="exact"/>
        <w:rPr>
          <w:sz w:val="20"/>
          <w:szCs w:val="20"/>
          <w:color w:val="auto"/>
        </w:rPr>
      </w:pPr>
    </w:p>
    <w:p>
      <w:pPr>
        <w:spacing w:after="0" w:line="2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6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610"/>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 (CONTINUED)</w:t>
      </w:r>
    </w:p>
    <w:p>
      <w:pPr>
        <w:spacing w:after="0" w:line="166" w:lineRule="exact"/>
        <w:rPr>
          <w:sz w:val="20"/>
          <w:szCs w:val="20"/>
          <w:color w:val="auto"/>
        </w:rPr>
      </w:pPr>
    </w:p>
    <w:p>
      <w:pPr>
        <w:ind w:right="3499"/>
        <w:spacing w:after="0" w:line="320" w:lineRule="auto"/>
        <w:rPr>
          <w:sz w:val="20"/>
          <w:szCs w:val="20"/>
          <w:color w:val="auto"/>
        </w:rPr>
      </w:pPr>
      <w:r>
        <w:rPr>
          <w:rFonts w:ascii="Courier New" w:cs="Courier New" w:eastAsia="Courier New" w:hAnsi="Courier New"/>
          <w:sz w:val="14"/>
          <w:szCs w:val="14"/>
          <w:color w:val="auto"/>
        </w:rPr>
        <w:t>For purposes of the pro forma disclosures required under Statement 123, the estimated fair value of the options is amortized to expense over the options' vesting period. The Company's pro forma information is as follows:</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1997</w:t>
            </w:r>
          </w:p>
        </w:tc>
        <w:tc>
          <w:tcPr>
            <w:tcW w:w="4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1996</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36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2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net income</w:t>
            </w:r>
          </w:p>
        </w:tc>
        <w:tc>
          <w:tcPr>
            <w:tcW w:w="500" w:type="dxa"/>
            <w:vAlign w:val="bottom"/>
          </w:tcPr>
          <w:p>
            <w:pPr>
              <w:spacing w:after="0"/>
              <w:rPr>
                <w:sz w:val="14"/>
                <w:szCs w:val="14"/>
                <w:color w:val="auto"/>
              </w:rPr>
            </w:pPr>
          </w:p>
        </w:tc>
        <w:tc>
          <w:tcPr>
            <w:tcW w:w="3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(In thousands except per share data)</w:t>
            </w:r>
          </w:p>
        </w:tc>
        <w:tc>
          <w:tcPr>
            <w:tcW w:w="0" w:type="dxa"/>
            <w:vAlign w:val="bottom"/>
          </w:tcPr>
          <w:p>
            <w:pPr>
              <w:spacing w:after="0"/>
              <w:rPr>
                <w:sz w:val="1"/>
                <w:szCs w:val="1"/>
                <w:color w:val="auto"/>
              </w:rPr>
            </w:pPr>
          </w:p>
        </w:tc>
      </w:tr>
      <w:tr>
        <w:trPr>
          <w:trHeight w:val="168"/>
        </w:trPr>
        <w:tc>
          <w:tcPr>
            <w:tcW w:w="2920" w:type="dxa"/>
            <w:vAlign w:val="bottom"/>
            <w:vMerge w:val="continue"/>
          </w:tcPr>
          <w:p>
            <w:pPr>
              <w:spacing w:after="0"/>
              <w:rPr>
                <w:sz w:val="14"/>
                <w:szCs w:val="14"/>
                <w:color w:val="auto"/>
              </w:rPr>
            </w:pP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$5,710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4,460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3,917</w:t>
            </w:r>
          </w:p>
        </w:tc>
        <w:tc>
          <w:tcPr>
            <w:tcW w:w="0" w:type="dxa"/>
            <w:vAlign w:val="bottom"/>
          </w:tcPr>
          <w:p>
            <w:pPr>
              <w:spacing w:after="0"/>
              <w:rPr>
                <w:sz w:val="1"/>
                <w:szCs w:val="1"/>
                <w:color w:val="auto"/>
              </w:rPr>
            </w:pPr>
          </w:p>
        </w:tc>
      </w:tr>
      <w:tr>
        <w:trPr>
          <w:trHeight w:val="245"/>
        </w:trPr>
        <w:tc>
          <w:tcPr>
            <w:tcW w:w="292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36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920" w:type="dxa"/>
            <w:vAlign w:val="bottom"/>
            <w:vMerge w:val="continue"/>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.45</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.35</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Basic</w:t>
            </w: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Diluted</w:t>
            </w:r>
          </w:p>
        </w:tc>
        <w:tc>
          <w:tcPr>
            <w:tcW w:w="36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20" w:type="dxa"/>
            <w:vAlign w:val="bottom"/>
            <w:vMerge w:val="continue"/>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1"/>
                <w:szCs w:val="21"/>
                <w:color w:val="auto"/>
              </w:rPr>
            </w:pPr>
          </w:p>
        </w:tc>
        <w:tc>
          <w:tcPr>
            <w:tcW w:w="36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3319"/>
        <w:spacing w:after="0" w:line="344" w:lineRule="auto"/>
        <w:rPr>
          <w:sz w:val="20"/>
          <w:szCs w:val="20"/>
          <w:color w:val="auto"/>
        </w:rPr>
      </w:pPr>
      <w:r>
        <w:rPr>
          <w:rFonts w:ascii="Courier New" w:cs="Courier New" w:eastAsia="Courier New" w:hAnsi="Courier New"/>
          <w:sz w:val="15"/>
          <w:szCs w:val="15"/>
          <w:color w:val="auto"/>
        </w:rPr>
        <w:t>The following summarizes the Plan stock option transactions for the three years ended December 31, 1998.</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4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NUMBER OF</w:t>
            </w:r>
          </w:p>
        </w:tc>
        <w:tc>
          <w:tcPr>
            <w:tcW w:w="220" w:type="dxa"/>
            <w:vAlign w:val="bottom"/>
          </w:tcPr>
          <w:p>
            <w:pPr>
              <w:spacing w:after="0"/>
              <w:rPr>
                <w:sz w:val="14"/>
                <w:szCs w:val="14"/>
                <w:color w:val="auto"/>
              </w:rPr>
            </w:pPr>
          </w:p>
        </w:tc>
        <w:tc>
          <w:tcPr>
            <w:tcW w:w="1500" w:type="dxa"/>
            <w:vAlign w:val="bottom"/>
            <w:gridSpan w:val="3"/>
            <w:vMerge w:val="restart"/>
          </w:tcPr>
          <w:p>
            <w:pPr>
              <w:jc w:val="right"/>
              <w:ind w:right="187"/>
              <w:spacing w:after="0"/>
              <w:rPr>
                <w:sz w:val="20"/>
                <w:szCs w:val="20"/>
                <w:color w:val="auto"/>
              </w:rPr>
            </w:pPr>
            <w:r>
              <w:rPr>
                <w:rFonts w:ascii="Courier New" w:cs="Courier New" w:eastAsia="Courier New" w:hAnsi="Courier New"/>
                <w:sz w:val="15"/>
                <w:szCs w:val="15"/>
                <w:color w:val="auto"/>
                <w:w w:val="96"/>
              </w:rPr>
              <w:t>EXERCISE PRICE</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PRICE</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SHARE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 SHARE</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43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Options outstanding at January 1, 1996</w:t>
            </w:r>
          </w:p>
        </w:tc>
        <w:tc>
          <w:tcPr>
            <w:tcW w:w="14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650,390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.004</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$ 6.25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$ 4.26</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58,438</w:t>
            </w:r>
          </w:p>
        </w:tc>
        <w:tc>
          <w:tcPr>
            <w:tcW w:w="2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4.240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6.06</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(43,847)</w:t>
            </w:r>
          </w:p>
        </w:tc>
        <w:tc>
          <w:tcPr>
            <w:tcW w:w="2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.004</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(5,485)</w:t>
            </w:r>
          </w:p>
        </w:tc>
        <w:tc>
          <w:tcPr>
            <w:tcW w:w="2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2.170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w:t>
            </w:r>
          </w:p>
        </w:tc>
        <w:tc>
          <w:tcPr>
            <w:tcW w:w="0" w:type="dxa"/>
            <w:vAlign w:val="bottom"/>
          </w:tcPr>
          <w:p>
            <w:pPr>
              <w:spacing w:after="0"/>
              <w:rPr>
                <w:sz w:val="1"/>
                <w:szCs w:val="1"/>
                <w:color w:val="auto"/>
              </w:rPr>
            </w:pPr>
          </w:p>
        </w:tc>
      </w:tr>
      <w:tr>
        <w:trPr>
          <w:trHeight w:val="168"/>
        </w:trPr>
        <w:tc>
          <w:tcPr>
            <w:tcW w:w="3980" w:type="dxa"/>
            <w:vAlign w:val="bottom"/>
            <w:vMerge w:val="restart"/>
          </w:tcPr>
          <w:p>
            <w:pPr>
              <w:spacing w:after="0"/>
              <w:rPr>
                <w:sz w:val="20"/>
                <w:szCs w:val="20"/>
                <w:color w:val="auto"/>
              </w:rPr>
            </w:pPr>
            <w:r>
              <w:rPr>
                <w:rFonts w:ascii="Courier New" w:cs="Courier New" w:eastAsia="Courier New" w:hAnsi="Courier New"/>
                <w:sz w:val="15"/>
                <w:szCs w:val="15"/>
                <w:color w:val="auto"/>
              </w:rPr>
              <w:t>Options outstanding at December 31, 1996</w:t>
            </w:r>
          </w:p>
        </w:tc>
        <w:tc>
          <w:tcPr>
            <w:tcW w:w="434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659,496</w:t>
            </w:r>
          </w:p>
        </w:tc>
        <w:tc>
          <w:tcPr>
            <w:tcW w:w="2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.004</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28,125</w:t>
            </w:r>
          </w:p>
        </w:tc>
        <w:tc>
          <w:tcPr>
            <w:tcW w:w="220" w:type="dxa"/>
            <w:vAlign w:val="bottom"/>
          </w:tcPr>
          <w:p>
            <w:pPr>
              <w:spacing w:after="0"/>
              <w:rPr>
                <w:sz w:val="14"/>
                <w:szCs w:val="14"/>
                <w:color w:val="auto"/>
              </w:rPr>
            </w:pP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.004</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11.60</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(108,533)</w:t>
            </w: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3.61</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(14,238)</w:t>
            </w:r>
          </w:p>
        </w:tc>
        <w:tc>
          <w:tcPr>
            <w:tcW w:w="2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4.240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68"/>
        </w:trPr>
        <w:tc>
          <w:tcPr>
            <w:tcW w:w="3980" w:type="dxa"/>
            <w:vAlign w:val="bottom"/>
            <w:vMerge w:val="restart"/>
          </w:tcPr>
          <w:p>
            <w:pPr>
              <w:spacing w:after="0"/>
              <w:rPr>
                <w:sz w:val="20"/>
                <w:szCs w:val="20"/>
                <w:color w:val="auto"/>
              </w:rPr>
            </w:pPr>
            <w:r>
              <w:rPr>
                <w:rFonts w:ascii="Courier New" w:cs="Courier New" w:eastAsia="Courier New" w:hAnsi="Courier New"/>
                <w:sz w:val="15"/>
                <w:szCs w:val="15"/>
                <w:color w:val="auto"/>
              </w:rPr>
              <w:t>Options outstanding at December 31, 1997</w:t>
            </w:r>
          </w:p>
        </w:tc>
        <w:tc>
          <w:tcPr>
            <w:tcW w:w="434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564,850</w:t>
            </w:r>
          </w:p>
        </w:tc>
        <w:tc>
          <w:tcPr>
            <w:tcW w:w="2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2.170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540,798</w:t>
            </w:r>
          </w:p>
        </w:tc>
        <w:tc>
          <w:tcPr>
            <w:tcW w:w="220" w:type="dxa"/>
            <w:vAlign w:val="bottom"/>
          </w:tcPr>
          <w:p>
            <w:pPr>
              <w:spacing w:after="0"/>
              <w:rPr>
                <w:sz w:val="14"/>
                <w:szCs w:val="14"/>
                <w:color w:val="auto"/>
              </w:rPr>
            </w:pPr>
          </w:p>
        </w:tc>
        <w:tc>
          <w:tcPr>
            <w:tcW w:w="5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3"/>
              </w:rPr>
              <w:t>4.240</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16.50</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(77,396)</w:t>
            </w: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4.61</w:t>
            </w:r>
          </w:p>
        </w:tc>
        <w:tc>
          <w:tcPr>
            <w:tcW w:w="0" w:type="dxa"/>
            <w:vAlign w:val="bottom"/>
          </w:tcPr>
          <w:p>
            <w:pPr>
              <w:spacing w:after="0"/>
              <w:rPr>
                <w:sz w:val="1"/>
                <w:szCs w:val="1"/>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(23,790)</w:t>
            </w:r>
          </w:p>
        </w:tc>
        <w:tc>
          <w:tcPr>
            <w:tcW w:w="2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2.170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9.55</w:t>
            </w:r>
          </w:p>
        </w:tc>
        <w:tc>
          <w:tcPr>
            <w:tcW w:w="0" w:type="dxa"/>
            <w:vAlign w:val="bottom"/>
          </w:tcPr>
          <w:p>
            <w:pPr>
              <w:spacing w:after="0"/>
              <w:rPr>
                <w:sz w:val="1"/>
                <w:szCs w:val="1"/>
                <w:color w:val="auto"/>
              </w:rPr>
            </w:pPr>
          </w:p>
        </w:tc>
      </w:tr>
      <w:tr>
        <w:trPr>
          <w:trHeight w:val="168"/>
        </w:trPr>
        <w:tc>
          <w:tcPr>
            <w:tcW w:w="3980" w:type="dxa"/>
            <w:vAlign w:val="bottom"/>
            <w:vMerge w:val="restart"/>
          </w:tcPr>
          <w:p>
            <w:pPr>
              <w:spacing w:after="0"/>
              <w:rPr>
                <w:sz w:val="20"/>
                <w:szCs w:val="20"/>
                <w:color w:val="auto"/>
              </w:rPr>
            </w:pPr>
            <w:r>
              <w:rPr>
                <w:rFonts w:ascii="Courier New" w:cs="Courier New" w:eastAsia="Courier New" w:hAnsi="Courier New"/>
                <w:sz w:val="15"/>
                <w:szCs w:val="15"/>
                <w:color w:val="auto"/>
              </w:rPr>
              <w:t>Options outstanding at December 31, 1998</w:t>
            </w:r>
          </w:p>
        </w:tc>
        <w:tc>
          <w:tcPr>
            <w:tcW w:w="434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1,004,462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2.170</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$16.50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$11.09</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4340" w:type="dxa"/>
            <w:vAlign w:val="bottom"/>
            <w:gridSpan w:val="6"/>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3980" w:type="dxa"/>
            <w:vAlign w:val="bottom"/>
          </w:tcPr>
          <w:p>
            <w:pPr>
              <w:ind w:left="3420"/>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left="620" w:hanging="610"/>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 (CONTINUED)</w:t>
      </w:r>
    </w:p>
    <w:p>
      <w:pPr>
        <w:spacing w:after="0" w:line="166"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The following summarizes the Directors Plan stock option transactions for the year ended December 31, 1998.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EXERCISE</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1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NUMBER OF</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SHARE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 PER SHARE</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4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Options outstanding at December 31, 1997</w:t>
            </w:r>
          </w:p>
        </w:tc>
        <w:tc>
          <w:tcPr>
            <w:tcW w:w="1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Options outstanding at December 31, 1998</w:t>
            </w:r>
          </w:p>
        </w:tc>
        <w:tc>
          <w:tcPr>
            <w:tcW w:w="414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1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41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The following summarizes stock options exercisable and available for the three years ended December 31, 1998: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THE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THE DIRECTORS</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PLAN</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PLAN</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3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Options exercisable at December 31:</w:t>
            </w:r>
          </w:p>
        </w:tc>
        <w:tc>
          <w:tcPr>
            <w:tcW w:w="2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383,672</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1,963</w:t>
            </w:r>
          </w:p>
        </w:tc>
        <w:tc>
          <w:tcPr>
            <w:tcW w:w="0" w:type="dxa"/>
            <w:vAlign w:val="bottom"/>
          </w:tcPr>
          <w:p>
            <w:pPr>
              <w:spacing w:after="0"/>
              <w:rPr>
                <w:sz w:val="1"/>
                <w:szCs w:val="1"/>
                <w:color w:val="auto"/>
              </w:rPr>
            </w:pPr>
          </w:p>
        </w:tc>
      </w:tr>
      <w:tr>
        <w:trPr>
          <w:trHeight w:val="168"/>
        </w:trPr>
        <w:tc>
          <w:tcPr>
            <w:tcW w:w="32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1998</w:t>
            </w:r>
          </w:p>
        </w:tc>
        <w:tc>
          <w:tcPr>
            <w:tcW w:w="23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1997</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372,351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24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1996</w:t>
            </w: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333,881</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Available for grant at December 31:</w:t>
            </w:r>
          </w:p>
        </w:tc>
        <w:tc>
          <w:tcPr>
            <w:tcW w:w="2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880,021</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123,037</w:t>
            </w:r>
          </w:p>
        </w:tc>
        <w:tc>
          <w:tcPr>
            <w:tcW w:w="0" w:type="dxa"/>
            <w:vAlign w:val="bottom"/>
          </w:tcPr>
          <w:p>
            <w:pPr>
              <w:spacing w:after="0"/>
              <w:rPr>
                <w:sz w:val="1"/>
                <w:szCs w:val="1"/>
                <w:color w:val="auto"/>
              </w:rPr>
            </w:pPr>
          </w:p>
        </w:tc>
      </w:tr>
      <w:tr>
        <w:trPr>
          <w:trHeight w:val="168"/>
        </w:trPr>
        <w:tc>
          <w:tcPr>
            <w:tcW w:w="32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1998</w:t>
            </w:r>
          </w:p>
        </w:tc>
        <w:tc>
          <w:tcPr>
            <w:tcW w:w="23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1997</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1,397,029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245"/>
        </w:trPr>
        <w:tc>
          <w:tcPr>
            <w:tcW w:w="324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1996</w:t>
            </w: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370,877</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41"/>
        </w:trPr>
        <w:tc>
          <w:tcPr>
            <w:tcW w:w="3240" w:type="dxa"/>
            <w:vAlign w:val="bottom"/>
          </w:tcPr>
          <w:p>
            <w:pPr>
              <w:spacing w:after="0"/>
              <w:rPr>
                <w:sz w:val="24"/>
                <w:szCs w:val="24"/>
                <w:color w:val="auto"/>
              </w:rPr>
            </w:pPr>
          </w:p>
        </w:tc>
        <w:tc>
          <w:tcPr>
            <w:tcW w:w="2360" w:type="dxa"/>
            <w:vAlign w:val="bottom"/>
          </w:tcPr>
          <w:p>
            <w:pPr>
              <w:jc w:val="right"/>
              <w:ind w:right="1927"/>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hanging="610"/>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 (CONTINUED)</w:t>
      </w:r>
    </w:p>
    <w:p>
      <w:pPr>
        <w:spacing w:after="0" w:line="166"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Stock options outstanding in the Plan at December 31, 1998 are summarized as follows:</w:t>
      </w:r>
    </w:p>
    <w:p>
      <w:pPr>
        <w:spacing w:after="0" w:line="16"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92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Exercise</w:t>
            </w:r>
          </w:p>
        </w:tc>
        <w:tc>
          <w:tcPr>
            <w:tcW w:w="360" w:type="dxa"/>
            <w:vAlign w:val="bottom"/>
          </w:tcPr>
          <w:p>
            <w:pPr>
              <w:spacing w:after="0"/>
              <w:rPr>
                <w:sz w:val="14"/>
                <w:szCs w:val="14"/>
                <w:color w:val="auto"/>
              </w:rPr>
            </w:pP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Options</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w:t>
            </w:r>
          </w:p>
        </w:tc>
        <w:tc>
          <w:tcPr>
            <w:tcW w:w="0" w:type="dxa"/>
            <w:vAlign w:val="bottom"/>
          </w:tcPr>
          <w:p>
            <w:pPr>
              <w:spacing w:after="0"/>
              <w:rPr>
                <w:sz w:val="1"/>
                <w:szCs w:val="1"/>
                <w:color w:val="auto"/>
              </w:rPr>
            </w:pPr>
          </w:p>
        </w:tc>
      </w:tr>
      <w:tr>
        <w:trPr>
          <w:trHeight w:val="168"/>
        </w:trPr>
        <w:tc>
          <w:tcPr>
            <w:tcW w:w="1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Remaining</w:t>
            </w:r>
          </w:p>
        </w:tc>
        <w:tc>
          <w:tcPr>
            <w:tcW w:w="0" w:type="dxa"/>
            <w:vAlign w:val="bottom"/>
          </w:tcPr>
          <w:p>
            <w:pPr>
              <w:spacing w:after="0"/>
              <w:rPr>
                <w:sz w:val="1"/>
                <w:szCs w:val="1"/>
                <w:color w:val="auto"/>
              </w:rPr>
            </w:pPr>
          </w:p>
        </w:tc>
      </w:tr>
      <w:tr>
        <w:trPr>
          <w:trHeight w:val="168"/>
        </w:trPr>
        <w:tc>
          <w:tcPr>
            <w:tcW w:w="19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Exercisable</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Contractual Life</w:t>
            </w:r>
          </w:p>
        </w:tc>
        <w:tc>
          <w:tcPr>
            <w:tcW w:w="0" w:type="dxa"/>
            <w:vAlign w:val="bottom"/>
          </w:tcPr>
          <w:p>
            <w:pPr>
              <w:spacing w:after="0"/>
              <w:rPr>
                <w:sz w:val="1"/>
                <w:szCs w:val="1"/>
                <w:color w:val="auto"/>
              </w:rPr>
            </w:pPr>
          </w:p>
        </w:tc>
      </w:tr>
      <w:tr>
        <w:trPr>
          <w:trHeight w:val="168"/>
        </w:trPr>
        <w:tc>
          <w:tcPr>
            <w:tcW w:w="63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$ 2.17</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44,910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29,289</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68"/>
        </w:trPr>
        <w:tc>
          <w:tcPr>
            <w:tcW w:w="19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$ 4.24</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299,236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272,952</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19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$ 6.25</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83,723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68,307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68"/>
        </w:trPr>
        <w:tc>
          <w:tcPr>
            <w:tcW w:w="19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$ 9.11</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17,811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7,499</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168"/>
        </w:trPr>
        <w:tc>
          <w:tcPr>
            <w:tcW w:w="19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$11.60</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27,125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5,625</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68"/>
        </w:trPr>
        <w:tc>
          <w:tcPr>
            <w:tcW w:w="19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$16.50</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531,657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1,004,462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383,672</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0" w:type="dxa"/>
            <w:vAlign w:val="bottom"/>
          </w:tcPr>
          <w:p>
            <w:pPr>
              <w:spacing w:after="0"/>
              <w:rPr>
                <w:sz w:val="1"/>
                <w:szCs w:val="1"/>
                <w:color w:val="auto"/>
              </w:rPr>
            </w:pPr>
          </w:p>
        </w:tc>
      </w:tr>
      <w:tr>
        <w:trPr>
          <w:trHeight w:val="245"/>
        </w:trPr>
        <w:tc>
          <w:tcPr>
            <w:tcW w:w="192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w:t>
            </w:r>
          </w:p>
        </w:tc>
        <w:tc>
          <w:tcPr>
            <w:tcW w:w="4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920" w:type="dxa"/>
            <w:vAlign w:val="bottom"/>
            <w:vMerge w:val="continue"/>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11.09</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4.65</w:t>
            </w: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Exercise Price</w:t>
            </w: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27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Stock options outstanding in the Directors Plan at December 31, 1998 are summarized as follows:</w:t>
      </w:r>
    </w:p>
    <w:p>
      <w:pPr>
        <w:spacing w:after="0" w:line="16"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920" w:type="dxa"/>
            <w:vAlign w:val="bottom"/>
            <w:vMerge w:val="restart"/>
          </w:tcPr>
          <w:p>
            <w:pPr>
              <w:ind w:left="1060"/>
              <w:spacing w:after="0"/>
              <w:rPr>
                <w:sz w:val="20"/>
                <w:szCs w:val="20"/>
                <w:color w:val="auto"/>
              </w:rPr>
            </w:pPr>
            <w:r>
              <w:rPr>
                <w:rFonts w:ascii="Courier New" w:cs="Courier New" w:eastAsia="Courier New" w:hAnsi="Courier New"/>
                <w:sz w:val="15"/>
                <w:szCs w:val="15"/>
                <w:color w:val="auto"/>
              </w:rPr>
              <w:t>Exercise</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Options</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w:t>
            </w:r>
          </w:p>
        </w:tc>
        <w:tc>
          <w:tcPr>
            <w:tcW w:w="0" w:type="dxa"/>
            <w:vAlign w:val="bottom"/>
          </w:tcPr>
          <w:p>
            <w:pPr>
              <w:spacing w:after="0"/>
              <w:rPr>
                <w:sz w:val="1"/>
                <w:szCs w:val="1"/>
                <w:color w:val="auto"/>
              </w:rPr>
            </w:pPr>
          </w:p>
        </w:tc>
      </w:tr>
      <w:tr>
        <w:trPr>
          <w:trHeight w:val="168"/>
        </w:trPr>
        <w:tc>
          <w:tcPr>
            <w:tcW w:w="19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Remaining</w:t>
            </w:r>
          </w:p>
        </w:tc>
        <w:tc>
          <w:tcPr>
            <w:tcW w:w="0" w:type="dxa"/>
            <w:vAlign w:val="bottom"/>
          </w:tcPr>
          <w:p>
            <w:pPr>
              <w:spacing w:after="0"/>
              <w:rPr>
                <w:sz w:val="1"/>
                <w:szCs w:val="1"/>
                <w:color w:val="auto"/>
              </w:rPr>
            </w:pPr>
          </w:p>
        </w:tc>
      </w:tr>
      <w:tr>
        <w:trPr>
          <w:trHeight w:val="168"/>
        </w:trPr>
        <w:tc>
          <w:tcPr>
            <w:tcW w:w="19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Exercisable</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Contractual Life</w:t>
            </w:r>
          </w:p>
        </w:tc>
        <w:tc>
          <w:tcPr>
            <w:tcW w:w="0" w:type="dxa"/>
            <w:vAlign w:val="bottom"/>
          </w:tcPr>
          <w:p>
            <w:pPr>
              <w:spacing w:after="0"/>
              <w:rPr>
                <w:sz w:val="1"/>
                <w:szCs w:val="1"/>
                <w:color w:val="auto"/>
              </w:rPr>
            </w:pPr>
          </w:p>
        </w:tc>
      </w:tr>
      <w:tr>
        <w:trPr>
          <w:trHeight w:val="168"/>
        </w:trPr>
        <w:tc>
          <w:tcPr>
            <w:tcW w:w="63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$0.008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1,963</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4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1,963</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245"/>
        </w:trPr>
        <w:tc>
          <w:tcPr>
            <w:tcW w:w="1920" w:type="dxa"/>
            <w:vAlign w:val="bottom"/>
            <w:vMerge w:val="restart"/>
          </w:tcPr>
          <w:p>
            <w:pPr>
              <w:jc w:val="center"/>
              <w:ind w:right="447"/>
              <w:spacing w:after="0"/>
              <w:rPr>
                <w:sz w:val="20"/>
                <w:szCs w:val="20"/>
                <w:color w:val="auto"/>
              </w:rPr>
            </w:pPr>
            <w:r>
              <w:rPr>
                <w:rFonts w:ascii="Courier New" w:cs="Courier New" w:eastAsia="Courier New" w:hAnsi="Courier New"/>
                <w:sz w:val="15"/>
                <w:szCs w:val="15"/>
                <w:color w:val="auto"/>
                <w:w w:val="97"/>
              </w:rPr>
              <w:t>Weighted Average</w:t>
            </w:r>
          </w:p>
        </w:tc>
        <w:tc>
          <w:tcPr>
            <w:tcW w:w="4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920" w:type="dxa"/>
            <w:vAlign w:val="bottom"/>
            <w:vMerge w:val="continue"/>
          </w:tcPr>
          <w:p>
            <w:pPr>
              <w:spacing w:after="0"/>
              <w:rPr>
                <w:sz w:val="7"/>
                <w:szCs w:val="7"/>
                <w:color w:val="auto"/>
              </w:rPr>
            </w:pP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$0.008</w:t>
            </w:r>
          </w:p>
        </w:tc>
        <w:tc>
          <w:tcPr>
            <w:tcW w:w="1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$0.008</w:t>
            </w: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92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8"/>
              </w:rPr>
              <w:t>Exercise Price</w:t>
            </w:r>
          </w:p>
        </w:tc>
        <w:tc>
          <w:tcPr>
            <w:tcW w:w="13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27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620" w:hanging="610"/>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401(k) PLAN</w:t>
      </w:r>
    </w:p>
    <w:p>
      <w:pPr>
        <w:spacing w:after="0" w:line="16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The Company has a defined contribution pension plan ("401(k) Plan") that covers substantially all employees. Employees can elect to have a portion of their wages withheld and contributed to the plan. The 401(k) Plan also allows for a discretionary contribution by the Company. Total expense under the 401(k) Plan was approximately $140,000 in 1998.</w:t>
      </w: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6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54</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right="5859" w:firstLine="10"/>
        <w:spacing w:after="0" w:line="475" w:lineRule="auto"/>
        <w:tabs>
          <w:tab w:leader="none" w:pos="61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 (UNAUDITED) ACQUISITIONS</w:t>
      </w:r>
    </w:p>
    <w:p>
      <w:pPr>
        <w:ind w:right="3239"/>
        <w:spacing w:after="0" w:line="258" w:lineRule="auto"/>
        <w:rPr>
          <w:sz w:val="20"/>
          <w:szCs w:val="20"/>
          <w:color w:val="auto"/>
        </w:rPr>
      </w:pPr>
      <w:r>
        <w:rPr>
          <w:rFonts w:ascii="Courier New" w:cs="Courier New" w:eastAsia="Courier New" w:hAnsi="Courier New"/>
          <w:sz w:val="15"/>
          <w:szCs w:val="15"/>
          <w:color w:val="auto"/>
        </w:rPr>
        <w:t>On March 30, 1998, the Company acquired a regional and state news and sports information network (The Michigan Radio Network) for approximately $1,100,000, including approximately $234,000 of the Company's Class A common stock. The acquisition is subject to certain adjustments based on operating performance levels that could result in an additional acquisition amount of $450,000 payable in cash and shares of the Company's Class A common stock.</w:t>
      </w:r>
    </w:p>
    <w:p>
      <w:pPr>
        <w:spacing w:after="0" w:line="81"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On December 1, 1998, the Company acquired an AM and FM radio station (KGMI-AM and KISM-FM) serving the Bellingham, Washington market for approximately $8,000,000.</w:t>
      </w:r>
    </w:p>
    <w:p>
      <w:pPr>
        <w:spacing w:after="0" w:line="57" w:lineRule="exact"/>
        <w:rPr>
          <w:sz w:val="20"/>
          <w:szCs w:val="20"/>
          <w:color w:val="auto"/>
        </w:rPr>
      </w:pPr>
    </w:p>
    <w:p>
      <w:pPr>
        <w:ind w:right="3319"/>
        <w:spacing w:after="0" w:line="298" w:lineRule="auto"/>
        <w:rPr>
          <w:sz w:val="20"/>
          <w:szCs w:val="20"/>
          <w:color w:val="auto"/>
        </w:rPr>
      </w:pPr>
      <w:r>
        <w:rPr>
          <w:rFonts w:ascii="Courier New" w:cs="Courier New" w:eastAsia="Courier New" w:hAnsi="Courier New"/>
          <w:sz w:val="14"/>
          <w:szCs w:val="14"/>
          <w:color w:val="auto"/>
        </w:rPr>
        <w:t>The Company acquired an FM radio station (KAZR-FM) serving the Des Moines, Iowa market on March 14, 1997. The purchase price was approximately $2,700,000. The Company began operating the radio station under the terms of a local market agreement on August 1, 1996, which remained in effect until the acquisition.</w:t>
      </w:r>
    </w:p>
    <w:p>
      <w:pPr>
        <w:spacing w:after="0" w:line="53" w:lineRule="exact"/>
        <w:rPr>
          <w:sz w:val="20"/>
          <w:szCs w:val="20"/>
          <w:color w:val="auto"/>
        </w:rPr>
      </w:pPr>
    </w:p>
    <w:p>
      <w:pPr>
        <w:ind w:right="3319"/>
        <w:spacing w:after="0" w:line="298" w:lineRule="auto"/>
        <w:rPr>
          <w:sz w:val="20"/>
          <w:szCs w:val="20"/>
          <w:color w:val="auto"/>
        </w:rPr>
      </w:pPr>
      <w:r>
        <w:rPr>
          <w:rFonts w:ascii="Courier New" w:cs="Courier New" w:eastAsia="Courier New" w:hAnsi="Courier New"/>
          <w:sz w:val="14"/>
          <w:szCs w:val="14"/>
          <w:color w:val="auto"/>
        </w:rPr>
        <w:t>The Company acquired an FM radio station (KLTI-FM) serving the Des Moines, Iowa market on April 17, 1997. The purchase price was approximately $3,200,000. The Company began operating the radio station under the terms of a local market agreement on January 1, 1997, which remained in effect until the acquisition.</w:t>
      </w:r>
    </w:p>
    <w:p>
      <w:pPr>
        <w:spacing w:after="0" w:line="53"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Company acquired two AM and two FM radio stations (WTAX-AM, WDBR-FM, WVAX-AM, and WYXY-FM) serving the Springfield, Illinois market on May 5, 1997. The purchase price was approximately $6,000,000. The Company began operating the radio stations under the terms of a local market agreement on July 1, 1996, which remained in effect until the acquisition.</w:t>
      </w:r>
    </w:p>
    <w:p>
      <w:pPr>
        <w:spacing w:after="0" w:line="75"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The Company acquired two FM radio stations (WFMR-FM and WPNT-FM) serving the Milwaukee, Wisconsin market on May 9, 1997. The purchase price was approximately $5,000,000.</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acquired an FM radio station (WQLL-FM) serving the Manchester, New</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Hampshire market on November 18, 1997. The purchase price was approximately</w:t>
      </w:r>
    </w:p>
    <w:p>
      <w:pPr>
        <w:spacing w:after="0"/>
        <w:rPr>
          <w:sz w:val="20"/>
          <w:szCs w:val="20"/>
          <w:color w:val="auto"/>
        </w:rPr>
      </w:pPr>
      <w:r>
        <w:rPr>
          <w:rFonts w:ascii="Courier New" w:cs="Courier New" w:eastAsia="Courier New" w:hAnsi="Courier New"/>
          <w:sz w:val="14"/>
          <w:szCs w:val="14"/>
          <w:color w:val="auto"/>
        </w:rPr>
        <w:t>$3,400,000. The Company began operating the radio station under the terms of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local market agreement on July 1, 1997, which remained in effect until the</w:t>
      </w:r>
    </w:p>
    <w:p>
      <w:pPr>
        <w:spacing w:after="0"/>
        <w:rPr>
          <w:sz w:val="20"/>
          <w:szCs w:val="20"/>
          <w:color w:val="auto"/>
        </w:rPr>
      </w:pPr>
      <w:r>
        <w:rPr>
          <w:rFonts w:ascii="Courier New" w:cs="Courier New" w:eastAsia="Courier New" w:hAnsi="Courier New"/>
          <w:sz w:val="15"/>
          <w:szCs w:val="15"/>
          <w:color w:val="auto"/>
        </w:rPr>
        <w:t>acquisition.</w:t>
      </w:r>
    </w:p>
    <w:p>
      <w:pPr>
        <w:spacing w:after="0" w:line="140"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The Company acquired the assets of a regional and state news and sports information network (The Illinois Radio Network) serving more than 45 radio stations throughout the state of Illinois, on November 25, 1997. The purchase price was approximately $1,750,000.</w:t>
      </w:r>
    </w:p>
    <w:p>
      <w:pPr>
        <w:spacing w:after="0" w:line="2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6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55</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right="4799" w:firstLine="10"/>
        <w:spacing w:after="0" w:line="475" w:lineRule="auto"/>
        <w:tabs>
          <w:tab w:leader="none" w:pos="61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 (UNAUDITED) (CONTINUED) ACQUISITIONS (CONTINUED)</w:t>
      </w:r>
    </w:p>
    <w:p>
      <w:pPr>
        <w:ind w:right="3239"/>
        <w:spacing w:after="0" w:line="252" w:lineRule="auto"/>
        <w:rPr>
          <w:sz w:val="20"/>
          <w:szCs w:val="20"/>
          <w:color w:val="auto"/>
        </w:rPr>
      </w:pPr>
      <w:r>
        <w:rPr>
          <w:rFonts w:ascii="Courier New" w:cs="Courier New" w:eastAsia="Courier New" w:hAnsi="Courier New"/>
          <w:sz w:val="15"/>
          <w:szCs w:val="15"/>
          <w:color w:val="auto"/>
        </w:rPr>
        <w:t>All acquisitions have been accounted for as purchases and, accordingly, the total costs were allocated to the acquired assets and assumed liabilities based on their estimated fair values as of the acquisition dates. The excess of the consideration paid over the estimated fair value of net assets acquired has been recorded as broadcast licenses, other intangibles, and goodwill. The consolidated statements of income include the operating results of the acquired businesses from their respective dates of acquisition or operation under the terms of local market agreements.</w:t>
      </w:r>
    </w:p>
    <w:p>
      <w:pPr>
        <w:spacing w:after="0" w:line="86" w:lineRule="exact"/>
        <w:rPr>
          <w:sz w:val="20"/>
          <w:szCs w:val="20"/>
          <w:color w:val="auto"/>
        </w:rPr>
      </w:pPr>
    </w:p>
    <w:p>
      <w:pPr>
        <w:ind w:right="3399"/>
        <w:spacing w:after="0" w:line="270" w:lineRule="auto"/>
        <w:rPr>
          <w:sz w:val="20"/>
          <w:szCs w:val="20"/>
          <w:color w:val="auto"/>
        </w:rPr>
      </w:pPr>
      <w:r>
        <w:rPr>
          <w:rFonts w:ascii="Courier New" w:cs="Courier New" w:eastAsia="Courier New" w:hAnsi="Courier New"/>
          <w:sz w:val="14"/>
          <w:szCs w:val="14"/>
          <w:color w:val="auto"/>
        </w:rPr>
        <w:t>The following unaudited pro forma results of operations of the Company for the years ended December 31, 1998 and 1997 assume the acquisitions occurred as of the beginning of the immediately preceding year. The pro forma results give effect to certain adjustments, including depreciation, amortization of intangible assets, increased interest expense on acquisition debt and related income tax effects. The pro forma results have been prepared for comparative purposes only and do not purport to indicate the results of operations which would actually have occurred had the combinations been in effect on the dates indicated, or which may occur in the future.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3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23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w:t>
            </w:r>
          </w:p>
        </w:tc>
        <w:tc>
          <w:tcPr>
            <w:tcW w:w="0" w:type="dxa"/>
            <w:vAlign w:val="bottom"/>
          </w:tcPr>
          <w:p>
            <w:pPr>
              <w:spacing w:after="0"/>
              <w:rPr>
                <w:sz w:val="1"/>
                <w:szCs w:val="1"/>
                <w:color w:val="auto"/>
              </w:rPr>
            </w:pPr>
          </w:p>
        </w:tc>
      </w:tr>
      <w:tr>
        <w:trPr>
          <w:trHeight w:val="245"/>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RESULTS OF OPERATIONS FOR ACQUISITIONS:</w:t>
            </w:r>
          </w:p>
        </w:tc>
        <w:tc>
          <w:tcPr>
            <w:tcW w:w="480" w:type="dxa"/>
            <w:vAlign w:val="bottom"/>
          </w:tcPr>
          <w:p>
            <w:pPr>
              <w:spacing w:after="0"/>
              <w:rPr>
                <w:sz w:val="21"/>
                <w:szCs w:val="21"/>
                <w:color w:val="auto"/>
              </w:rPr>
            </w:pPr>
          </w:p>
        </w:tc>
        <w:tc>
          <w:tcPr>
            <w:tcW w:w="18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share data)</w:t>
            </w:r>
          </w:p>
        </w:tc>
        <w:tc>
          <w:tcPr>
            <w:tcW w:w="0" w:type="dxa"/>
            <w:vAlign w:val="bottom"/>
          </w:tcPr>
          <w:p>
            <w:pPr>
              <w:spacing w:after="0"/>
              <w:rPr>
                <w:sz w:val="1"/>
                <w:szCs w:val="1"/>
                <w:color w:val="auto"/>
              </w:rPr>
            </w:pPr>
          </w:p>
        </w:tc>
      </w:tr>
      <w:tr>
        <w:trPr>
          <w:trHeight w:val="91"/>
        </w:trPr>
        <w:tc>
          <w:tcPr>
            <w:tcW w:w="4560" w:type="dxa"/>
            <w:vAlign w:val="bottom"/>
            <w:vMerge w:val="continue"/>
          </w:tcPr>
          <w:p>
            <w:pPr>
              <w:spacing w:after="0"/>
              <w:rPr>
                <w:sz w:val="7"/>
                <w:szCs w:val="7"/>
                <w:color w:val="auto"/>
              </w:rPr>
            </w:pPr>
          </w:p>
        </w:tc>
        <w:tc>
          <w:tcPr>
            <w:tcW w:w="126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$78,728</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71,371</w:t>
            </w: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operating revenue</w:t>
            </w:r>
          </w:p>
        </w:tc>
        <w:tc>
          <w:tcPr>
            <w:tcW w:w="126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$ 6,323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4,241</w:t>
            </w:r>
          </w:p>
        </w:tc>
        <w:tc>
          <w:tcPr>
            <w:tcW w:w="0" w:type="dxa"/>
            <w:vAlign w:val="bottom"/>
          </w:tcPr>
          <w:p>
            <w:pPr>
              <w:spacing w:after="0"/>
              <w:rPr>
                <w:sz w:val="1"/>
                <w:szCs w:val="1"/>
                <w:color w:val="auto"/>
              </w:rPr>
            </w:pPr>
          </w:p>
        </w:tc>
      </w:tr>
      <w:tr>
        <w:trPr>
          <w:trHeight w:val="168"/>
        </w:trPr>
        <w:tc>
          <w:tcPr>
            <w:tcW w:w="45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Basic earnings per share</w:t>
            </w:r>
          </w:p>
        </w:tc>
        <w:tc>
          <w:tcPr>
            <w:tcW w:w="23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45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Diluted earnings per share</w:t>
            </w:r>
          </w:p>
        </w:tc>
        <w:tc>
          <w:tcPr>
            <w:tcW w:w="23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60" w:type="dxa"/>
            <w:vAlign w:val="bottom"/>
            <w:vMerge w:val="continue"/>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245"/>
        </w:trPr>
        <w:tc>
          <w:tcPr>
            <w:tcW w:w="4560" w:type="dxa"/>
            <w:vAlign w:val="bottom"/>
          </w:tcPr>
          <w:p>
            <w:pPr>
              <w:spacing w:after="0"/>
              <w:rPr>
                <w:sz w:val="21"/>
                <w:szCs w:val="21"/>
                <w:color w:val="auto"/>
              </w:rPr>
            </w:pPr>
          </w:p>
        </w:tc>
        <w:tc>
          <w:tcPr>
            <w:tcW w:w="23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620" w:hanging="610"/>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CREDIT RISK</w:t>
      </w:r>
    </w:p>
    <w:p>
      <w:pPr>
        <w:spacing w:after="0" w:line="16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The Company sells advertising to local and national companies throughout the United States. The Company performs ongoing credit evaluations of its customers and generally does not require collateral. The Company maintains an allowance for doubtful accounts at a level which management believes is sufficient to cover potential credit losses.</w:t>
      </w:r>
    </w:p>
    <w:p>
      <w:pPr>
        <w:spacing w:after="0" w:line="200" w:lineRule="exact"/>
        <w:rPr>
          <w:sz w:val="20"/>
          <w:szCs w:val="20"/>
          <w:color w:val="auto"/>
        </w:rPr>
      </w:pPr>
    </w:p>
    <w:p>
      <w:pPr>
        <w:spacing w:after="0" w:line="2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6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56</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left="620" w:hanging="610"/>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RECEIVABLE FROM PRINCIPAL STOCKHOLDER</w:t>
      </w:r>
    </w:p>
    <w:p>
      <w:pPr>
        <w:spacing w:after="0" w:line="16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The loan from the Company to the principal stockholder bears interest at a rate per annum equal to the lowest rate necessary to avoid the imputation of income for federal income tax purposes. During 1998, the pledge agreement to secure the loan from the Company was terminated.</w:t>
      </w:r>
    </w:p>
    <w:p>
      <w:pPr>
        <w:spacing w:after="0" w:line="6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During 1998, the Company amended the five year employment agreement with the principal stockholder. As part of the amendment, the Company will forgive 20% of the note balance ratably over five years, and pay him an amount in cash equal to such amount as is necessary to enable the principal stockholder or his estate to pay all related federal and state income tax liabilities. The Company recorded compensation expense of approximately $326,000 and $210,000, in 1998 and 1997, respectively, relative to the agreement.</w:t>
      </w:r>
    </w:p>
    <w:p>
      <w:pPr>
        <w:spacing w:after="0" w:line="250" w:lineRule="exact"/>
        <w:rPr>
          <w:sz w:val="20"/>
          <w:szCs w:val="20"/>
          <w:color w:val="auto"/>
        </w:rPr>
      </w:pPr>
    </w:p>
    <w:p>
      <w:pPr>
        <w:ind w:left="620" w:hanging="610"/>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66" w:lineRule="exact"/>
        <w:rPr>
          <w:sz w:val="20"/>
          <w:szCs w:val="20"/>
          <w:color w:val="auto"/>
        </w:rPr>
      </w:pPr>
    </w:p>
    <w:p>
      <w:pPr>
        <w:ind w:right="3319"/>
        <w:spacing w:after="0" w:line="269" w:lineRule="auto"/>
        <w:rPr>
          <w:sz w:val="20"/>
          <w:szCs w:val="20"/>
          <w:color w:val="auto"/>
        </w:rPr>
      </w:pPr>
      <w:r>
        <w:rPr>
          <w:rFonts w:ascii="Courier New" w:cs="Courier New" w:eastAsia="Courier New" w:hAnsi="Courier New"/>
          <w:sz w:val="14"/>
          <w:szCs w:val="14"/>
          <w:color w:val="auto"/>
        </w:rPr>
        <w:t>Dividends. Stockholders are entitled to receive such dividends as may be declared by the Company's Board of Directors out of funds legally available for such purpose. No dividend may be declared or paid in cash or property on any share of any class of Common Stock, however, unless simultaneously the same dividend is declared or paid on each share of the other class of common stock. In the case of any stock dividend, holders of Class A Common Stock are entitled to receive the same percentage dividend (payable in shares of Class A Common Stock) as the holders of Class B Common Stock receive (payable in shares of Class B Common Stock). The payment of dividends is prohibited by the terms of the Company's bank loan agreement, without the banks' prior consent.</w:t>
      </w:r>
    </w:p>
    <w:p>
      <w:pPr>
        <w:spacing w:after="0" w:line="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Voting Rights. Holders of shares of Common Stock vote as a single class on all matters submitted to a vote of the stockholders, with each share of Class A Common Stock entitled to one vote and each share of Class B Common Stock entitled to ten votes, except (i) in the election for directors, (ii) with respect to any "going private" transaction between the Company and the principal stockholder, and (iii) as otherwise provided by law.</w:t>
      </w:r>
    </w:p>
    <w:p>
      <w:pPr>
        <w:spacing w:after="0" w:line="8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In the election of directors, the holders of Class A Common Stock, voting as a separate class, are entitled to elect two of the Company's directors. The holders of the Common Stock, voting as a single class with each share of Class A Common Stock entitled to one vote and each share of Class B Common Stock entitled to ten votes, are entitled to elect the remaining directors. The Board of Directors consists of six members. Holders of Common Stock are not entitled to cumulative votes in the election of directors.</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6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57</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09" w:lineRule="exact"/>
        <w:rPr>
          <w:sz w:val="20"/>
          <w:szCs w:val="20"/>
          <w:color w:val="auto"/>
        </w:rPr>
      </w:pPr>
    </w:p>
    <w:p>
      <w:pPr>
        <w:ind w:left="620" w:hanging="610"/>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(CONTINUED)</w:t>
      </w:r>
    </w:p>
    <w:p>
      <w:pPr>
        <w:spacing w:after="0" w:line="166"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The holders of the Common Stock vote as a single class with respect to any proposed "going private" transaction with the principal stockholder, with each share of each class of Common Stock entitled to one vote per share.</w:t>
      </w:r>
    </w:p>
    <w:p>
      <w:pPr>
        <w:spacing w:after="0" w:line="57"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Under Delaware law, the affirmative vote of the holders of a majority of the outstanding shares of any class of common stock is required to approve, among other things, a change in the designations, preferences and limitations of the shares of such class of common stock.</w:t>
      </w:r>
    </w:p>
    <w:p>
      <w:pPr>
        <w:spacing w:after="0" w:line="68"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Liquidation Rights. Upon liquidation, dissolution, or winding-up of the Company, the holders of Class A Common Stock are entitled to share ratably with the holders of Class B Common Stock in all assets available for distribution after payment in full of creditors.</w:t>
      </w:r>
    </w:p>
    <w:p>
      <w:pPr>
        <w:spacing w:after="0" w:line="68"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5"/>
          <w:szCs w:val="15"/>
          <w:color w:val="auto"/>
        </w:rPr>
        <w:t>Other Provisions. Each share of Class B Common Stock is convertible, at the option of its holder, into one share of Class A Common Stock at any time. One share of Class B Common Stock converts automatically into one share of Class A Common Stock upon its sale or other transfer to a party unaffiliated with the principal stockholder or, in the event of a transfer to an affiliated party, upon the death of the transferor.</w:t>
      </w:r>
    </w:p>
    <w:p>
      <w:pPr>
        <w:spacing w:after="0" w:line="250" w:lineRule="exact"/>
        <w:rPr>
          <w:sz w:val="20"/>
          <w:szCs w:val="20"/>
          <w:color w:val="auto"/>
        </w:rPr>
      </w:pPr>
    </w:p>
    <w:p>
      <w:pPr>
        <w:ind w:left="620" w:hanging="610"/>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CONTINGENCY</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leases certain land, buildings and equipment under noncancellable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leases. Rent expense for the year ended December 31, 1998 was</w:t>
      </w:r>
    </w:p>
    <w:p>
      <w:pPr>
        <w:spacing w:after="0" w:line="237" w:lineRule="auto"/>
        <w:rPr>
          <w:sz w:val="20"/>
          <w:szCs w:val="20"/>
          <w:color w:val="auto"/>
        </w:rPr>
      </w:pPr>
      <w:r>
        <w:rPr>
          <w:rFonts w:ascii="Courier New" w:cs="Courier New" w:eastAsia="Courier New" w:hAnsi="Courier New"/>
          <w:sz w:val="15"/>
          <w:szCs w:val="15"/>
          <w:color w:val="auto"/>
        </w:rPr>
        <w:t>$1,353,000 ($1,191,000 and $977,000 for the years ended December 31, 1997 and</w:t>
      </w:r>
    </w:p>
    <w:p>
      <w:pPr>
        <w:spacing w:after="0" w:line="238" w:lineRule="auto"/>
        <w:rPr>
          <w:sz w:val="20"/>
          <w:szCs w:val="20"/>
          <w:color w:val="auto"/>
        </w:rPr>
      </w:pPr>
      <w:r>
        <w:rPr>
          <w:rFonts w:ascii="Courier New" w:cs="Courier New" w:eastAsia="Courier New" w:hAnsi="Courier New"/>
          <w:sz w:val="15"/>
          <w:szCs w:val="15"/>
          <w:color w:val="auto"/>
        </w:rPr>
        <w:t>1996, respectively). Minimum annual rental commitments under noncancellable</w:t>
      </w:r>
    </w:p>
    <w:p>
      <w:pPr>
        <w:spacing w:after="0"/>
        <w:rPr>
          <w:sz w:val="20"/>
          <w:szCs w:val="20"/>
          <w:color w:val="auto"/>
        </w:rPr>
      </w:pPr>
      <w:r>
        <w:rPr>
          <w:rFonts w:ascii="Courier New" w:cs="Courier New" w:eastAsia="Courier New" w:hAnsi="Courier New"/>
          <w:sz w:val="15"/>
          <w:szCs w:val="15"/>
          <w:color w:val="auto"/>
        </w:rPr>
        <w:t>operating leases consisted of the following at December 31, 1998:</w:t>
      </w:r>
    </w:p>
    <w:p>
      <w:pPr>
        <w:spacing w:after="0" w:line="139"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3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OPERATING</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LEASES</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3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1999</w:t>
            </w:r>
          </w:p>
        </w:tc>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68"/>
        </w:trPr>
        <w:tc>
          <w:tcPr>
            <w:tcW w:w="960" w:type="dxa"/>
            <w:vAlign w:val="bottom"/>
            <w:vMerge w:val="continue"/>
          </w:tcPr>
          <w:p>
            <w:pPr>
              <w:spacing w:after="0"/>
              <w:rPr>
                <w:sz w:val="14"/>
                <w:szCs w:val="14"/>
                <w:color w:val="auto"/>
              </w:rPr>
            </w:pP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$1,071</w:t>
            </w:r>
          </w:p>
        </w:tc>
        <w:tc>
          <w:tcPr>
            <w:tcW w:w="0" w:type="dxa"/>
            <w:vAlign w:val="bottom"/>
          </w:tcPr>
          <w:p>
            <w:pPr>
              <w:spacing w:after="0"/>
              <w:rPr>
                <w:sz w:val="1"/>
                <w:szCs w:val="1"/>
                <w:color w:val="auto"/>
              </w:rPr>
            </w:pP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561</w:t>
            </w:r>
          </w:p>
        </w:tc>
        <w:tc>
          <w:tcPr>
            <w:tcW w:w="0" w:type="dxa"/>
            <w:vAlign w:val="bottom"/>
          </w:tcPr>
          <w:p>
            <w:pPr>
              <w:spacing w:after="0"/>
              <w:rPr>
                <w:sz w:val="1"/>
                <w:szCs w:val="1"/>
                <w:color w:val="auto"/>
              </w:rPr>
            </w:pP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412</w:t>
            </w:r>
          </w:p>
        </w:tc>
        <w:tc>
          <w:tcPr>
            <w:tcW w:w="0" w:type="dxa"/>
            <w:vAlign w:val="bottom"/>
          </w:tcPr>
          <w:p>
            <w:pPr>
              <w:spacing w:after="0"/>
              <w:rPr>
                <w:sz w:val="1"/>
                <w:szCs w:val="1"/>
                <w:color w:val="auto"/>
              </w:rPr>
            </w:pP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382</w:t>
            </w:r>
          </w:p>
        </w:tc>
        <w:tc>
          <w:tcPr>
            <w:tcW w:w="0" w:type="dxa"/>
            <w:vAlign w:val="bottom"/>
          </w:tcPr>
          <w:p>
            <w:pPr>
              <w:spacing w:after="0"/>
              <w:rPr>
                <w:sz w:val="1"/>
                <w:szCs w:val="1"/>
                <w:color w:val="auto"/>
              </w:rPr>
            </w:pP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207</w:t>
            </w:r>
          </w:p>
        </w:tc>
        <w:tc>
          <w:tcPr>
            <w:tcW w:w="0" w:type="dxa"/>
            <w:vAlign w:val="bottom"/>
          </w:tcPr>
          <w:p>
            <w:pPr>
              <w:spacing w:after="0"/>
              <w:rPr>
                <w:sz w:val="1"/>
                <w:szCs w:val="1"/>
                <w:color w:val="auto"/>
              </w:rPr>
            </w:pP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3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$2,903</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3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960" w:type="dxa"/>
            <w:vAlign w:val="bottom"/>
          </w:tcPr>
          <w:p>
            <w:pPr>
              <w:spacing w:after="0"/>
              <w:rPr>
                <w:sz w:val="24"/>
                <w:szCs w:val="24"/>
                <w:color w:val="auto"/>
              </w:rPr>
            </w:pPr>
          </w:p>
        </w:tc>
        <w:tc>
          <w:tcPr>
            <w:tcW w:w="3500" w:type="dxa"/>
            <w:vAlign w:val="bottom"/>
          </w:tcPr>
          <w:p>
            <w:pPr>
              <w:jc w:val="right"/>
              <w:ind w:right="316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58</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right="6199" w:firstLine="10"/>
        <w:spacing w:after="0" w:line="475" w:lineRule="auto"/>
        <w:tabs>
          <w:tab w:leader="none" w:pos="61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CONTINGENCY (CONTINUED) BROADCAST PROGRAM RIGHTS</w:t>
      </w:r>
    </w:p>
    <w:p>
      <w:pPr>
        <w:ind w:right="3319"/>
        <w:spacing w:after="0" w:line="320" w:lineRule="auto"/>
        <w:rPr>
          <w:sz w:val="20"/>
          <w:szCs w:val="20"/>
          <w:color w:val="auto"/>
        </w:rPr>
      </w:pPr>
      <w:r>
        <w:rPr>
          <w:rFonts w:ascii="Courier New" w:cs="Courier New" w:eastAsia="Courier New" w:hAnsi="Courier New"/>
          <w:sz w:val="14"/>
          <w:szCs w:val="14"/>
          <w:color w:val="auto"/>
        </w:rPr>
        <w:t>The Company has entered into contracts for broadcast program rights that expire at various dates during the next five years. The aggregate minimum payments relating to these commitments consisted of the following at December 31, 1998:</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5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6"/>
              </w:rPr>
              <w:t>BROADCAST</w:t>
            </w:r>
          </w:p>
        </w:tc>
        <w:tc>
          <w:tcPr>
            <w:tcW w:w="0" w:type="dxa"/>
            <w:vAlign w:val="bottom"/>
          </w:tcPr>
          <w:p>
            <w:pPr>
              <w:spacing w:after="0"/>
              <w:rPr>
                <w:sz w:val="1"/>
                <w:szCs w:val="1"/>
                <w:color w:val="auto"/>
              </w:rPr>
            </w:pPr>
          </w:p>
        </w:tc>
      </w:tr>
      <w:tr>
        <w:trPr>
          <w:trHeight w:val="168"/>
        </w:trPr>
        <w:tc>
          <w:tcPr>
            <w:tcW w:w="544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PROGRAM</w:t>
            </w:r>
          </w:p>
        </w:tc>
        <w:tc>
          <w:tcPr>
            <w:tcW w:w="0" w:type="dxa"/>
            <w:vAlign w:val="bottom"/>
          </w:tcPr>
          <w:p>
            <w:pPr>
              <w:spacing w:after="0"/>
              <w:rPr>
                <w:sz w:val="1"/>
                <w:szCs w:val="1"/>
                <w:color w:val="auto"/>
              </w:rPr>
            </w:pPr>
          </w:p>
        </w:tc>
      </w:tr>
      <w:tr>
        <w:trPr>
          <w:trHeight w:val="168"/>
        </w:trPr>
        <w:tc>
          <w:tcPr>
            <w:tcW w:w="544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RIGHTS</w:t>
            </w:r>
          </w:p>
        </w:tc>
        <w:tc>
          <w:tcPr>
            <w:tcW w:w="0" w:type="dxa"/>
            <w:vAlign w:val="bottom"/>
          </w:tcPr>
          <w:p>
            <w:pPr>
              <w:spacing w:after="0"/>
              <w:rPr>
                <w:sz w:val="1"/>
                <w:szCs w:val="1"/>
                <w:color w:val="auto"/>
              </w:rPr>
            </w:pPr>
          </w:p>
        </w:tc>
      </w:tr>
      <w:tr>
        <w:trPr>
          <w:trHeight w:val="168"/>
        </w:trPr>
        <w:tc>
          <w:tcPr>
            <w:tcW w:w="544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5440" w:type="dxa"/>
            <w:vAlign w:val="bottom"/>
            <w:vMerge w:val="restart"/>
          </w:tcPr>
          <w:p>
            <w:pPr>
              <w:jc w:val="center"/>
              <w:ind w:right="267"/>
              <w:spacing w:after="0"/>
              <w:rPr>
                <w:sz w:val="20"/>
                <w:szCs w:val="20"/>
                <w:color w:val="auto"/>
              </w:rPr>
            </w:pPr>
            <w:r>
              <w:rPr>
                <w:rFonts w:ascii="Courier New" w:cs="Courier New" w:eastAsia="Courier New" w:hAnsi="Courier New"/>
                <w:sz w:val="15"/>
                <w:szCs w:val="15"/>
                <w:color w:val="auto"/>
                <w:w w:val="94"/>
              </w:rPr>
              <w:t>1999</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68"/>
        </w:trPr>
        <w:tc>
          <w:tcPr>
            <w:tcW w:w="5440" w:type="dxa"/>
            <w:vAlign w:val="bottom"/>
            <w:vMerge w:val="continue"/>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168"/>
        </w:trPr>
        <w:tc>
          <w:tcPr>
            <w:tcW w:w="54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2000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169</w:t>
            </w:r>
          </w:p>
        </w:tc>
        <w:tc>
          <w:tcPr>
            <w:tcW w:w="0" w:type="dxa"/>
            <w:vAlign w:val="bottom"/>
          </w:tcPr>
          <w:p>
            <w:pPr>
              <w:spacing w:after="0"/>
              <w:rPr>
                <w:sz w:val="1"/>
                <w:szCs w:val="1"/>
                <w:color w:val="auto"/>
              </w:rPr>
            </w:pPr>
          </w:p>
        </w:tc>
      </w:tr>
      <w:tr>
        <w:trPr>
          <w:trHeight w:val="168"/>
        </w:trPr>
        <w:tc>
          <w:tcPr>
            <w:tcW w:w="54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2001</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68"/>
        </w:trPr>
        <w:tc>
          <w:tcPr>
            <w:tcW w:w="54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2002</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544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40" w:type="dxa"/>
            <w:vAlign w:val="bottom"/>
            <w:vMerge w:val="restart"/>
          </w:tcPr>
          <w:p>
            <w:pPr>
              <w:jc w:val="center"/>
              <w:ind w:right="287"/>
              <w:spacing w:after="0"/>
              <w:rPr>
                <w:sz w:val="20"/>
                <w:szCs w:val="20"/>
                <w:color w:val="auto"/>
              </w:rPr>
            </w:pPr>
            <w:r>
              <w:rPr>
                <w:rFonts w:ascii="Courier New" w:cs="Courier New" w:eastAsia="Courier New" w:hAnsi="Courier New"/>
                <w:sz w:val="15"/>
                <w:szCs w:val="15"/>
                <w:color w:val="auto"/>
                <w:w w:val="97"/>
              </w:rPr>
              <w:t>Amounts due within one year (included in accounts payable)</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$509</w:t>
            </w:r>
          </w:p>
        </w:tc>
        <w:tc>
          <w:tcPr>
            <w:tcW w:w="0" w:type="dxa"/>
            <w:vAlign w:val="bottom"/>
          </w:tcPr>
          <w:p>
            <w:pPr>
              <w:spacing w:after="0"/>
              <w:rPr>
                <w:sz w:val="1"/>
                <w:szCs w:val="1"/>
                <w:color w:val="auto"/>
              </w:rPr>
            </w:pPr>
          </w:p>
        </w:tc>
      </w:tr>
      <w:tr>
        <w:trPr>
          <w:trHeight w:val="168"/>
        </w:trPr>
        <w:tc>
          <w:tcPr>
            <w:tcW w:w="5440" w:type="dxa"/>
            <w:vAlign w:val="bottom"/>
            <w:vMerge w:val="continue"/>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168"/>
        </w:trPr>
        <w:tc>
          <w:tcPr>
            <w:tcW w:w="544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40" w:type="dxa"/>
            <w:vAlign w:val="bottom"/>
          </w:tcPr>
          <w:p>
            <w:pPr>
              <w:spacing w:after="0"/>
              <w:rPr>
                <w:sz w:val="14"/>
                <w:szCs w:val="14"/>
                <w:color w:val="auto"/>
              </w:rPr>
            </w:pP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$295</w:t>
            </w:r>
          </w:p>
        </w:tc>
        <w:tc>
          <w:tcPr>
            <w:tcW w:w="0" w:type="dxa"/>
            <w:vAlign w:val="bottom"/>
          </w:tcPr>
          <w:p>
            <w:pPr>
              <w:spacing w:after="0"/>
              <w:rPr>
                <w:sz w:val="1"/>
                <w:szCs w:val="1"/>
                <w:color w:val="auto"/>
              </w:rPr>
            </w:pPr>
          </w:p>
        </w:tc>
      </w:tr>
      <w:tr>
        <w:trPr>
          <w:trHeight w:val="245"/>
        </w:trPr>
        <w:tc>
          <w:tcPr>
            <w:tcW w:w="5440" w:type="dxa"/>
            <w:vAlign w:val="bottom"/>
          </w:tcPr>
          <w:p>
            <w:pPr>
              <w:spacing w:after="0"/>
              <w:rPr>
                <w:sz w:val="21"/>
                <w:szCs w:val="21"/>
                <w:color w:val="auto"/>
              </w:rPr>
            </w:pP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STOCKHOLDER EMPLOYMENT AGREEMENT</w:t>
      </w:r>
    </w:p>
    <w:p>
      <w:pPr>
        <w:spacing w:after="0" w:line="166"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In April, 1997 the Company entered into a five year employment agreement with its principal stockholder which provides that, upon the consummation of a sale or transfer of control of the Company, the principal stockholder's employment will be terminated and the Company will pay the principal stockholder an amount equal to five times the average of his total annual compensation for the preceding three years, plus an additional amount as is necessary for applicable income taxes related to the payment. At December 31, 1998 the stockholders average compensation was approximately $615,000.</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On July 7, 1998, the Company entered into an agreement to purchase KAVU-TV (an ABC affiliate) and a low power Univision affiliate, serving the Victoria, Texas market for approximately $11,875,000, including approximately $2,000,000 of the Company's Class A common stock. The Company will also assume an existing Local Marketing Agreement for KVCT-TV (a Fox affiliate). The transaction is subject to the approval of the Federal Communications Commission and is expected to close during the second quarter of 1999.</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6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59</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right="6199" w:firstLine="10"/>
        <w:spacing w:after="0" w:line="475" w:lineRule="auto"/>
        <w:tabs>
          <w:tab w:leader="none" w:pos="61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CONTINGENCY (CONTINUED) ACQUISITIONS (CONTINUED)</w:t>
      </w:r>
    </w:p>
    <w:p>
      <w:pPr>
        <w:ind w:right="3499"/>
        <w:spacing w:after="0" w:line="264" w:lineRule="auto"/>
        <w:rPr>
          <w:sz w:val="20"/>
          <w:szCs w:val="20"/>
          <w:color w:val="auto"/>
        </w:rPr>
      </w:pPr>
      <w:r>
        <w:rPr>
          <w:rFonts w:ascii="Courier New" w:cs="Courier New" w:eastAsia="Courier New" w:hAnsi="Courier New"/>
          <w:sz w:val="15"/>
          <w:szCs w:val="15"/>
          <w:color w:val="auto"/>
        </w:rPr>
        <w:t>On September 21, 1998, the Company signed a letter of intent to purchase a regional and state farm information network (The Michigan Farm Radio Network) for approximately $1,750,000, including approximately $1,125,000 of the Company's Class A common stock. The Company closed on the transaction in January, 1999.</w:t>
      </w:r>
    </w:p>
    <w:p>
      <w:pPr>
        <w:spacing w:after="0" w:line="75" w:lineRule="exact"/>
        <w:rPr>
          <w:sz w:val="20"/>
          <w:szCs w:val="20"/>
          <w:color w:val="auto"/>
        </w:rPr>
      </w:pPr>
    </w:p>
    <w:p>
      <w:pPr>
        <w:jc w:val="both"/>
        <w:ind w:right="3239"/>
        <w:spacing w:after="0" w:line="273" w:lineRule="auto"/>
        <w:rPr>
          <w:sz w:val="20"/>
          <w:szCs w:val="20"/>
          <w:color w:val="auto"/>
        </w:rPr>
      </w:pPr>
      <w:r>
        <w:rPr>
          <w:rFonts w:ascii="Courier New" w:cs="Courier New" w:eastAsia="Courier New" w:hAnsi="Courier New"/>
          <w:sz w:val="15"/>
          <w:szCs w:val="15"/>
          <w:color w:val="auto"/>
        </w:rPr>
        <w:t>On October 22, 1998, the Company entered into an agreement to purchase an AM and FM radio station (KAFE-FM and KPUG-AM) serving the Bellingham, Washington market for approximately $6,000,000. The Company closed on the transaction in January, 1999.</w:t>
      </w:r>
    </w:p>
    <w:p>
      <w:pPr>
        <w:spacing w:after="0" w:line="68" w:lineRule="exact"/>
        <w:rPr>
          <w:sz w:val="20"/>
          <w:szCs w:val="20"/>
          <w:color w:val="auto"/>
        </w:rPr>
      </w:pPr>
    </w:p>
    <w:p>
      <w:pPr>
        <w:ind w:right="3579"/>
        <w:spacing w:after="0" w:line="264" w:lineRule="auto"/>
        <w:rPr>
          <w:sz w:val="20"/>
          <w:szCs w:val="20"/>
          <w:color w:val="auto"/>
        </w:rPr>
      </w:pPr>
      <w:r>
        <w:rPr>
          <w:rFonts w:ascii="Courier New" w:cs="Courier New" w:eastAsia="Courier New" w:hAnsi="Courier New"/>
          <w:sz w:val="15"/>
          <w:szCs w:val="15"/>
          <w:color w:val="auto"/>
        </w:rPr>
        <w:t>On December 2, 1998, the Company entered into an agreement to purchase an AM radio station (KBFW-AM) serving the Bellingham, Washington market for approximately $1,000,000. The transaction is subject to the approval of the Federal Communications Commission and is expected to close during the second quarter of 1999.</w:t>
      </w:r>
    </w:p>
    <w:p>
      <w:pPr>
        <w:spacing w:after="0" w:line="243" w:lineRule="exact"/>
        <w:rPr>
          <w:sz w:val="20"/>
          <w:szCs w:val="20"/>
          <w:color w:val="auto"/>
        </w:rPr>
      </w:pPr>
    </w:p>
    <w:p>
      <w:pPr>
        <w:ind w:left="800" w:hanging="790"/>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66"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4"/>
          <w:szCs w:val="14"/>
          <w:color w:val="auto"/>
        </w:rPr>
        <w:t>In February, 1999 the Company entered into an agreement to purchase WXVT TV (a CBS affiliate), serving the Greenville, Mississippi market for approximately $5,200,000 including approximately $600,000 of the Company's Class A common stock. The transaction is subject to the approval of the Federal Communications Commission and is expected to close during the third quarter of 1999.</w:t>
      </w:r>
    </w:p>
    <w:p>
      <w:pPr>
        <w:spacing w:after="0" w:line="2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6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790"/>
        <w:spacing w:after="0"/>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MARCH 31,</w:t>
            </w:r>
          </w:p>
        </w:tc>
        <w:tc>
          <w:tcPr>
            <w:tcW w:w="320" w:type="dxa"/>
            <w:vAlign w:val="bottom"/>
          </w:tcPr>
          <w:p>
            <w:pPr>
              <w:spacing w:after="0"/>
              <w:rPr>
                <w:sz w:val="14"/>
                <w:szCs w:val="14"/>
                <w:color w:val="auto"/>
              </w:rPr>
            </w:pPr>
          </w:p>
        </w:tc>
        <w:tc>
          <w:tcPr>
            <w:tcW w:w="16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17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SEPTEMBER 30,</w:t>
            </w:r>
          </w:p>
        </w:tc>
        <w:tc>
          <w:tcPr>
            <w:tcW w:w="260" w:type="dxa"/>
            <w:vAlign w:val="bottom"/>
          </w:tcPr>
          <w:p>
            <w:pPr>
              <w:spacing w:after="0"/>
              <w:rPr>
                <w:sz w:val="14"/>
                <w:szCs w:val="14"/>
                <w:color w:val="auto"/>
              </w:rPr>
            </w:pPr>
          </w:p>
        </w:tc>
        <w:tc>
          <w:tcPr>
            <w:tcW w:w="15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77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6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w w:val="96"/>
              </w:rPr>
              <w:t>(In thousands, except per share data)</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operating revenue</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$15,620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13,515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20,159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17,508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19,941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17,091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20,151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18,144</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 operating expense: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Programming and</w:t>
            </w:r>
          </w:p>
        </w:tc>
        <w:tc>
          <w:tcPr>
            <w:tcW w:w="26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4,019</w:t>
            </w:r>
          </w:p>
        </w:tc>
        <w:tc>
          <w:tcPr>
            <w:tcW w:w="34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3,668</w:t>
            </w:r>
          </w:p>
        </w:tc>
        <w:tc>
          <w:tcPr>
            <w:tcW w:w="32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4,129</w:t>
            </w:r>
          </w:p>
        </w:tc>
        <w:tc>
          <w:tcPr>
            <w:tcW w:w="26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3,686</w:t>
            </w:r>
          </w:p>
        </w:tc>
        <w:tc>
          <w:tcPr>
            <w:tcW w:w="26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4,342</w:t>
            </w:r>
          </w:p>
        </w:tc>
        <w:tc>
          <w:tcPr>
            <w:tcW w:w="30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3,928</w:t>
            </w:r>
          </w:p>
        </w:tc>
        <w:tc>
          <w:tcPr>
            <w:tcW w:w="260" w:type="dxa"/>
            <w:vAlign w:val="bottom"/>
          </w:tcPr>
          <w:p>
            <w:pPr>
              <w:spacing w:after="0"/>
              <w:rPr>
                <w:sz w:val="14"/>
                <w:szCs w:val="14"/>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4,410</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3,952</w:t>
            </w:r>
          </w:p>
        </w:tc>
        <w:tc>
          <w:tcPr>
            <w:tcW w:w="0" w:type="dxa"/>
            <w:vAlign w:val="bottom"/>
          </w:tcPr>
          <w:p>
            <w:pPr>
              <w:spacing w:after="0"/>
              <w:rPr>
                <w:sz w:val="1"/>
                <w:szCs w:val="1"/>
                <w:color w:val="auto"/>
              </w:rPr>
            </w:pPr>
          </w:p>
        </w:tc>
      </w:tr>
      <w:tr>
        <w:trPr>
          <w:trHeight w:val="168"/>
        </w:trPr>
        <w:tc>
          <w:tcPr>
            <w:tcW w:w="2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technical</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4,447</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3,798</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5,810</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5,132</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4,796</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4,317</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5,622</w:t>
            </w:r>
          </w:p>
        </w:tc>
        <w:tc>
          <w:tcPr>
            <w:tcW w:w="3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5,358</w:t>
            </w:r>
          </w:p>
        </w:tc>
        <w:tc>
          <w:tcPr>
            <w:tcW w:w="0" w:type="dxa"/>
            <w:vAlign w:val="bottom"/>
          </w:tcPr>
          <w:p>
            <w:pPr>
              <w:spacing w:after="0"/>
              <w:rPr>
                <w:sz w:val="1"/>
                <w:szCs w:val="1"/>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Station general and</w:t>
            </w:r>
          </w:p>
        </w:tc>
        <w:tc>
          <w:tcPr>
            <w:tcW w:w="26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2,736</w:t>
            </w:r>
          </w:p>
        </w:tc>
        <w:tc>
          <w:tcPr>
            <w:tcW w:w="34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2,541</w:t>
            </w:r>
          </w:p>
        </w:tc>
        <w:tc>
          <w:tcPr>
            <w:tcW w:w="32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2,807</w:t>
            </w:r>
          </w:p>
        </w:tc>
        <w:tc>
          <w:tcPr>
            <w:tcW w:w="26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2,414</w:t>
            </w:r>
          </w:p>
        </w:tc>
        <w:tc>
          <w:tcPr>
            <w:tcW w:w="26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2,687</w:t>
            </w:r>
          </w:p>
        </w:tc>
        <w:tc>
          <w:tcPr>
            <w:tcW w:w="30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2,486</w:t>
            </w:r>
          </w:p>
        </w:tc>
        <w:tc>
          <w:tcPr>
            <w:tcW w:w="260" w:type="dxa"/>
            <w:vAlign w:val="bottom"/>
          </w:tcPr>
          <w:p>
            <w:pPr>
              <w:spacing w:after="0"/>
              <w:rPr>
                <w:sz w:val="14"/>
                <w:szCs w:val="14"/>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2,739</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2,516</w:t>
            </w:r>
          </w:p>
        </w:tc>
        <w:tc>
          <w:tcPr>
            <w:tcW w:w="0" w:type="dxa"/>
            <w:vAlign w:val="bottom"/>
          </w:tcPr>
          <w:p>
            <w:pPr>
              <w:spacing w:after="0"/>
              <w:rPr>
                <w:sz w:val="1"/>
                <w:szCs w:val="1"/>
                <w:color w:val="auto"/>
              </w:rPr>
            </w:pPr>
          </w:p>
        </w:tc>
      </w:tr>
      <w:tr>
        <w:trPr>
          <w:trHeight w:val="168"/>
        </w:trPr>
        <w:tc>
          <w:tcPr>
            <w:tcW w:w="2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Total station operating</w:t>
            </w:r>
          </w:p>
        </w:tc>
        <w:tc>
          <w:tcPr>
            <w:tcW w:w="7780" w:type="dxa"/>
            <w:vAlign w:val="bottom"/>
            <w:gridSpan w:val="1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2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2"/>
              </w:rPr>
              <w:t>11,202</w:t>
            </w:r>
          </w:p>
        </w:tc>
        <w:tc>
          <w:tcPr>
            <w:tcW w:w="340" w:type="dxa"/>
            <w:vAlign w:val="bottom"/>
          </w:tcPr>
          <w:p>
            <w:pPr>
              <w:spacing w:after="0"/>
              <w:rPr>
                <w:sz w:val="7"/>
                <w:szCs w:val="7"/>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2"/>
              </w:rPr>
              <w:t>10,007</w:t>
            </w:r>
          </w:p>
        </w:tc>
        <w:tc>
          <w:tcPr>
            <w:tcW w:w="320" w:type="dxa"/>
            <w:vAlign w:val="bottom"/>
          </w:tcPr>
          <w:p>
            <w:pPr>
              <w:spacing w:after="0"/>
              <w:rPr>
                <w:sz w:val="7"/>
                <w:szCs w:val="7"/>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12,746</w:t>
            </w:r>
          </w:p>
        </w:tc>
        <w:tc>
          <w:tcPr>
            <w:tcW w:w="260" w:type="dxa"/>
            <w:vAlign w:val="bottom"/>
          </w:tcPr>
          <w:p>
            <w:pPr>
              <w:spacing w:after="0"/>
              <w:rPr>
                <w:sz w:val="7"/>
                <w:szCs w:val="7"/>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11,232</w:t>
            </w:r>
          </w:p>
        </w:tc>
        <w:tc>
          <w:tcPr>
            <w:tcW w:w="260" w:type="dxa"/>
            <w:vAlign w:val="bottom"/>
          </w:tcPr>
          <w:p>
            <w:pPr>
              <w:spacing w:after="0"/>
              <w:rPr>
                <w:sz w:val="7"/>
                <w:szCs w:val="7"/>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2"/>
              </w:rPr>
              <w:t>11,825</w:t>
            </w:r>
          </w:p>
        </w:tc>
        <w:tc>
          <w:tcPr>
            <w:tcW w:w="300" w:type="dxa"/>
            <w:vAlign w:val="bottom"/>
          </w:tcPr>
          <w:p>
            <w:pPr>
              <w:spacing w:after="0"/>
              <w:rPr>
                <w:sz w:val="7"/>
                <w:szCs w:val="7"/>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6"/>
              </w:rPr>
              <w:t>10,731</w:t>
            </w:r>
          </w:p>
        </w:tc>
        <w:tc>
          <w:tcPr>
            <w:tcW w:w="260" w:type="dxa"/>
            <w:vAlign w:val="bottom"/>
          </w:tcPr>
          <w:p>
            <w:pPr>
              <w:spacing w:after="0"/>
              <w:rPr>
                <w:sz w:val="7"/>
                <w:szCs w:val="7"/>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6"/>
              </w:rPr>
              <w:t>12,771</w:t>
            </w:r>
          </w:p>
        </w:tc>
        <w:tc>
          <w:tcPr>
            <w:tcW w:w="3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11,826</w:t>
            </w: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Station operating</w:t>
            </w:r>
          </w:p>
        </w:tc>
        <w:tc>
          <w:tcPr>
            <w:tcW w:w="7780" w:type="dxa"/>
            <w:vAlign w:val="bottom"/>
            <w:gridSpan w:val="1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2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income before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corporate general</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administrative,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4,418</w:t>
            </w:r>
          </w:p>
        </w:tc>
        <w:tc>
          <w:tcPr>
            <w:tcW w:w="34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3,508</w:t>
            </w:r>
          </w:p>
        </w:tc>
        <w:tc>
          <w:tcPr>
            <w:tcW w:w="32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7,413</w:t>
            </w:r>
          </w:p>
        </w:tc>
        <w:tc>
          <w:tcPr>
            <w:tcW w:w="26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6,276</w:t>
            </w:r>
          </w:p>
        </w:tc>
        <w:tc>
          <w:tcPr>
            <w:tcW w:w="26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8,116</w:t>
            </w:r>
          </w:p>
        </w:tc>
        <w:tc>
          <w:tcPr>
            <w:tcW w:w="30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6,360</w:t>
            </w:r>
          </w:p>
        </w:tc>
        <w:tc>
          <w:tcPr>
            <w:tcW w:w="260" w:type="dxa"/>
            <w:vAlign w:val="bottom"/>
          </w:tcPr>
          <w:p>
            <w:pPr>
              <w:spacing w:after="0"/>
              <w:rPr>
                <w:sz w:val="14"/>
                <w:szCs w:val="14"/>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7,380</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6,318</w:t>
            </w:r>
          </w:p>
        </w:tc>
        <w:tc>
          <w:tcPr>
            <w:tcW w:w="0" w:type="dxa"/>
            <w:vAlign w:val="bottom"/>
          </w:tcPr>
          <w:p>
            <w:pPr>
              <w:spacing w:after="0"/>
              <w:rPr>
                <w:sz w:val="1"/>
                <w:szCs w:val="1"/>
                <w:color w:val="auto"/>
              </w:rPr>
            </w:pPr>
          </w:p>
        </w:tc>
      </w:tr>
      <w:tr>
        <w:trPr>
          <w:trHeight w:val="168"/>
        </w:trPr>
        <w:tc>
          <w:tcPr>
            <w:tcW w:w="2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general and</w:t>
            </w:r>
          </w:p>
        </w:tc>
        <w:tc>
          <w:tcPr>
            <w:tcW w:w="26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1,017</w:t>
            </w:r>
          </w:p>
        </w:tc>
        <w:tc>
          <w:tcPr>
            <w:tcW w:w="34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807</w:t>
            </w:r>
          </w:p>
        </w:tc>
        <w:tc>
          <w:tcPr>
            <w:tcW w:w="32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1,244</w:t>
            </w:r>
          </w:p>
        </w:tc>
        <w:tc>
          <w:tcPr>
            <w:tcW w:w="26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1,074</w:t>
            </w:r>
          </w:p>
        </w:tc>
        <w:tc>
          <w:tcPr>
            <w:tcW w:w="26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1,017</w:t>
            </w:r>
          </w:p>
        </w:tc>
        <w:tc>
          <w:tcPr>
            <w:tcW w:w="30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959</w:t>
            </w:r>
          </w:p>
        </w:tc>
        <w:tc>
          <w:tcPr>
            <w:tcW w:w="260" w:type="dxa"/>
            <w:vAlign w:val="bottom"/>
          </w:tcPr>
          <w:p>
            <w:pPr>
              <w:spacing w:after="0"/>
              <w:rPr>
                <w:sz w:val="14"/>
                <w:szCs w:val="14"/>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1,219</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1,113</w:t>
            </w: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1,628</w:t>
            </w:r>
          </w:p>
        </w:tc>
        <w:tc>
          <w:tcPr>
            <w:tcW w:w="34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1,282</w:t>
            </w:r>
          </w:p>
        </w:tc>
        <w:tc>
          <w:tcPr>
            <w:tcW w:w="32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1,539</w:t>
            </w:r>
          </w:p>
        </w:tc>
        <w:tc>
          <w:tcPr>
            <w:tcW w:w="26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1,450</w:t>
            </w:r>
          </w:p>
        </w:tc>
        <w:tc>
          <w:tcPr>
            <w:tcW w:w="26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1,633</w:t>
            </w:r>
          </w:p>
        </w:tc>
        <w:tc>
          <w:tcPr>
            <w:tcW w:w="30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1,520</w:t>
            </w:r>
          </w:p>
        </w:tc>
        <w:tc>
          <w:tcPr>
            <w:tcW w:w="260" w:type="dxa"/>
            <w:vAlign w:val="bottom"/>
          </w:tcPr>
          <w:p>
            <w:pPr>
              <w:spacing w:after="0"/>
              <w:rPr>
                <w:sz w:val="14"/>
                <w:szCs w:val="14"/>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1,620</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1,620</w:t>
            </w: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profit</w:t>
            </w:r>
          </w:p>
        </w:tc>
        <w:tc>
          <w:tcPr>
            <w:tcW w:w="77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24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1,773</w:t>
            </w:r>
          </w:p>
        </w:tc>
        <w:tc>
          <w:tcPr>
            <w:tcW w:w="340" w:type="dxa"/>
            <w:vAlign w:val="bottom"/>
          </w:tcPr>
          <w:p>
            <w:pPr>
              <w:spacing w:after="0"/>
              <w:rPr>
                <w:sz w:val="21"/>
                <w:szCs w:val="21"/>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1,419</w:t>
            </w:r>
          </w:p>
        </w:tc>
        <w:tc>
          <w:tcPr>
            <w:tcW w:w="320" w:type="dxa"/>
            <w:vAlign w:val="bottom"/>
          </w:tcPr>
          <w:p>
            <w:pPr>
              <w:spacing w:after="0"/>
              <w:rPr>
                <w:sz w:val="21"/>
                <w:szCs w:val="21"/>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4,630</w:t>
            </w:r>
          </w:p>
        </w:tc>
        <w:tc>
          <w:tcPr>
            <w:tcW w:w="260" w:type="dxa"/>
            <w:vAlign w:val="bottom"/>
          </w:tcPr>
          <w:p>
            <w:pPr>
              <w:spacing w:after="0"/>
              <w:rPr>
                <w:sz w:val="21"/>
                <w:szCs w:val="21"/>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3,752</w:t>
            </w:r>
          </w:p>
        </w:tc>
        <w:tc>
          <w:tcPr>
            <w:tcW w:w="260" w:type="dxa"/>
            <w:vAlign w:val="bottom"/>
          </w:tcPr>
          <w:p>
            <w:pPr>
              <w:spacing w:after="0"/>
              <w:rPr>
                <w:sz w:val="21"/>
                <w:szCs w:val="21"/>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5,466</w:t>
            </w:r>
          </w:p>
        </w:tc>
        <w:tc>
          <w:tcPr>
            <w:tcW w:w="300" w:type="dxa"/>
            <w:vAlign w:val="bottom"/>
          </w:tcPr>
          <w:p>
            <w:pPr>
              <w:spacing w:after="0"/>
              <w:rPr>
                <w:sz w:val="21"/>
                <w:szCs w:val="21"/>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3,881</w:t>
            </w:r>
          </w:p>
        </w:tc>
        <w:tc>
          <w:tcPr>
            <w:tcW w:w="260" w:type="dxa"/>
            <w:vAlign w:val="bottom"/>
          </w:tcPr>
          <w:p>
            <w:pPr>
              <w:spacing w:after="0"/>
              <w:rPr>
                <w:sz w:val="21"/>
                <w:szCs w:val="21"/>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4,541</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3,585</w:t>
            </w: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expenses:</w:t>
            </w:r>
          </w:p>
        </w:tc>
        <w:tc>
          <w:tcPr>
            <w:tcW w:w="260" w:type="dxa"/>
            <w:vAlign w:val="bottom"/>
          </w:tcPr>
          <w:p>
            <w:pPr>
              <w:spacing w:after="0"/>
              <w:rPr>
                <w:sz w:val="22"/>
                <w:szCs w:val="22"/>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1,140</w:t>
            </w:r>
          </w:p>
        </w:tc>
        <w:tc>
          <w:tcPr>
            <w:tcW w:w="340" w:type="dxa"/>
            <w:vAlign w:val="bottom"/>
          </w:tcPr>
          <w:p>
            <w:pPr>
              <w:spacing w:after="0"/>
              <w:rPr>
                <w:sz w:val="22"/>
                <w:szCs w:val="22"/>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1,211</w:t>
            </w:r>
          </w:p>
        </w:tc>
        <w:tc>
          <w:tcPr>
            <w:tcW w:w="320" w:type="dxa"/>
            <w:vAlign w:val="bottom"/>
          </w:tcPr>
          <w:p>
            <w:pPr>
              <w:spacing w:after="0"/>
              <w:rPr>
                <w:sz w:val="22"/>
                <w:szCs w:val="22"/>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1,143</w:t>
            </w:r>
          </w:p>
        </w:tc>
        <w:tc>
          <w:tcPr>
            <w:tcW w:w="260" w:type="dxa"/>
            <w:vAlign w:val="bottom"/>
          </w:tcPr>
          <w:p>
            <w:pPr>
              <w:spacing w:after="0"/>
              <w:rPr>
                <w:sz w:val="22"/>
                <w:szCs w:val="22"/>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1,172</w:t>
            </w:r>
          </w:p>
        </w:tc>
        <w:tc>
          <w:tcPr>
            <w:tcW w:w="260" w:type="dxa"/>
            <w:vAlign w:val="bottom"/>
          </w:tcPr>
          <w:p>
            <w:pPr>
              <w:spacing w:after="0"/>
              <w:rPr>
                <w:sz w:val="22"/>
                <w:szCs w:val="22"/>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1,159</w:t>
            </w:r>
          </w:p>
        </w:tc>
        <w:tc>
          <w:tcPr>
            <w:tcW w:w="300" w:type="dxa"/>
            <w:vAlign w:val="bottom"/>
          </w:tcPr>
          <w:p>
            <w:pPr>
              <w:spacing w:after="0"/>
              <w:rPr>
                <w:sz w:val="22"/>
                <w:szCs w:val="22"/>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1,325</w:t>
            </w:r>
          </w:p>
        </w:tc>
        <w:tc>
          <w:tcPr>
            <w:tcW w:w="260" w:type="dxa"/>
            <w:vAlign w:val="bottom"/>
          </w:tcPr>
          <w:p>
            <w:pPr>
              <w:spacing w:after="0"/>
              <w:rPr>
                <w:sz w:val="22"/>
                <w:szCs w:val="22"/>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1,167</w:t>
            </w:r>
          </w:p>
        </w:tc>
        <w:tc>
          <w:tcPr>
            <w:tcW w:w="300" w:type="dxa"/>
            <w:vAlign w:val="bottom"/>
          </w:tcPr>
          <w:p>
            <w:pPr>
              <w:spacing w:after="0"/>
              <w:rPr>
                <w:sz w:val="22"/>
                <w:szCs w:val="22"/>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1,061</w:t>
            </w: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w:t>
            </w:r>
          </w:p>
        </w:tc>
        <w:tc>
          <w:tcPr>
            <w:tcW w:w="3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w:t>
            </w:r>
          </w:p>
        </w:tc>
        <w:tc>
          <w:tcPr>
            <w:tcW w:w="77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622</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3,405</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2,579</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4,055</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2,556</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3,149</w:t>
            </w:r>
          </w:p>
        </w:tc>
        <w:tc>
          <w:tcPr>
            <w:tcW w:w="3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2,515</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w:t>
            </w:r>
          </w:p>
        </w:tc>
        <w:tc>
          <w:tcPr>
            <w:tcW w:w="3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w:t>
            </w:r>
          </w:p>
        </w:tc>
        <w:tc>
          <w:tcPr>
            <w:tcW w:w="3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1,491</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1,663</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1,077</w:t>
            </w: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1,460</w:t>
            </w:r>
          </w:p>
        </w:tc>
        <w:tc>
          <w:tcPr>
            <w:tcW w:w="3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1,108</w:t>
            </w:r>
          </w:p>
        </w:tc>
        <w:tc>
          <w:tcPr>
            <w:tcW w:w="0" w:type="dxa"/>
            <w:vAlign w:val="bottom"/>
          </w:tcPr>
          <w:p>
            <w:pPr>
              <w:spacing w:after="0"/>
              <w:rPr>
                <w:sz w:val="1"/>
                <w:szCs w:val="1"/>
                <w:color w:val="auto"/>
              </w:rPr>
            </w:pPr>
          </w:p>
        </w:tc>
      </w:tr>
      <w:tr>
        <w:trPr>
          <w:trHeight w:val="168"/>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77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46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1,407</w:t>
            </w:r>
          </w:p>
        </w:tc>
        <w:tc>
          <w:tcPr>
            <w:tcW w:w="0" w:type="dxa"/>
            <w:vAlign w:val="bottom"/>
          </w:tcPr>
          <w:p>
            <w:pPr>
              <w:spacing w:after="0"/>
              <w:rPr>
                <w:sz w:val="1"/>
                <w:szCs w:val="1"/>
                <w:color w:val="auto"/>
              </w:rPr>
            </w:pPr>
          </w:p>
        </w:tc>
      </w:tr>
      <w:tr>
        <w:trPr>
          <w:trHeight w:val="245"/>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7780" w:type="dxa"/>
            <w:vAlign w:val="bottom"/>
            <w:gridSpan w:val="1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460" w:type="dxa"/>
            <w:vAlign w:val="bottom"/>
            <w:vMerge w:val="continue"/>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91"/>
        </w:trPr>
        <w:tc>
          <w:tcPr>
            <w:tcW w:w="24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w:t>
            </w:r>
          </w:p>
        </w:tc>
        <w:tc>
          <w:tcPr>
            <w:tcW w:w="7780" w:type="dxa"/>
            <w:vAlign w:val="bottom"/>
            <w:gridSpan w:val="1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2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2"/>
              </w:rPr>
              <w:t>12,695</w:t>
            </w:r>
          </w:p>
        </w:tc>
        <w:tc>
          <w:tcPr>
            <w:tcW w:w="340" w:type="dxa"/>
            <w:vAlign w:val="bottom"/>
          </w:tcPr>
          <w:p>
            <w:pPr>
              <w:spacing w:after="0"/>
              <w:rPr>
                <w:sz w:val="7"/>
                <w:szCs w:val="7"/>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2"/>
              </w:rPr>
              <w:t>12,586</w:t>
            </w:r>
          </w:p>
        </w:tc>
        <w:tc>
          <w:tcPr>
            <w:tcW w:w="320" w:type="dxa"/>
            <w:vAlign w:val="bottom"/>
          </w:tcPr>
          <w:p>
            <w:pPr>
              <w:spacing w:after="0"/>
              <w:rPr>
                <w:sz w:val="7"/>
                <w:szCs w:val="7"/>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12,710</w:t>
            </w:r>
          </w:p>
        </w:tc>
        <w:tc>
          <w:tcPr>
            <w:tcW w:w="260" w:type="dxa"/>
            <w:vAlign w:val="bottom"/>
          </w:tcPr>
          <w:p>
            <w:pPr>
              <w:spacing w:after="0"/>
              <w:rPr>
                <w:sz w:val="7"/>
                <w:szCs w:val="7"/>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12,586</w:t>
            </w:r>
          </w:p>
        </w:tc>
        <w:tc>
          <w:tcPr>
            <w:tcW w:w="260" w:type="dxa"/>
            <w:vAlign w:val="bottom"/>
          </w:tcPr>
          <w:p>
            <w:pPr>
              <w:spacing w:after="0"/>
              <w:rPr>
                <w:sz w:val="7"/>
                <w:szCs w:val="7"/>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2"/>
              </w:rPr>
              <w:t>12,711</w:t>
            </w:r>
          </w:p>
        </w:tc>
        <w:tc>
          <w:tcPr>
            <w:tcW w:w="300" w:type="dxa"/>
            <w:vAlign w:val="bottom"/>
          </w:tcPr>
          <w:p>
            <w:pPr>
              <w:spacing w:after="0"/>
              <w:rPr>
                <w:sz w:val="7"/>
                <w:szCs w:val="7"/>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6"/>
              </w:rPr>
              <w:t>12,678</w:t>
            </w:r>
          </w:p>
        </w:tc>
        <w:tc>
          <w:tcPr>
            <w:tcW w:w="260" w:type="dxa"/>
            <w:vAlign w:val="bottom"/>
          </w:tcPr>
          <w:p>
            <w:pPr>
              <w:spacing w:after="0"/>
              <w:rPr>
                <w:sz w:val="7"/>
                <w:szCs w:val="7"/>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6"/>
              </w:rPr>
              <w:t>12,752</w:t>
            </w:r>
          </w:p>
        </w:tc>
        <w:tc>
          <w:tcPr>
            <w:tcW w:w="3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12,695</w:t>
            </w:r>
          </w:p>
        </w:tc>
        <w:tc>
          <w:tcPr>
            <w:tcW w:w="0" w:type="dxa"/>
            <w:vAlign w:val="bottom"/>
          </w:tcPr>
          <w:p>
            <w:pPr>
              <w:spacing w:after="0"/>
              <w:rPr>
                <w:sz w:val="1"/>
                <w:szCs w:val="1"/>
                <w:color w:val="auto"/>
              </w:rPr>
            </w:pP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w:t>
            </w:r>
          </w:p>
        </w:tc>
        <w:tc>
          <w:tcPr>
            <w:tcW w:w="7780" w:type="dxa"/>
            <w:vAlign w:val="bottom"/>
            <w:gridSpan w:val="1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460" w:type="dxa"/>
            <w:vAlign w:val="bottom"/>
            <w:vMerge w:val="continue"/>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91"/>
        </w:trPr>
        <w:tc>
          <w:tcPr>
            <w:tcW w:w="24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common</w:t>
            </w:r>
          </w:p>
        </w:tc>
        <w:tc>
          <w:tcPr>
            <w:tcW w:w="7780" w:type="dxa"/>
            <w:vAlign w:val="bottom"/>
            <w:gridSpan w:val="1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2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common equivalents</w:t>
            </w:r>
          </w:p>
        </w:tc>
        <w:tc>
          <w:tcPr>
            <w:tcW w:w="26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2"/>
              </w:rPr>
              <w:t>12,960</w:t>
            </w:r>
          </w:p>
        </w:tc>
        <w:tc>
          <w:tcPr>
            <w:tcW w:w="34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2"/>
              </w:rPr>
              <w:t>12,841</w:t>
            </w:r>
          </w:p>
        </w:tc>
        <w:tc>
          <w:tcPr>
            <w:tcW w:w="32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12,980</w:t>
            </w:r>
          </w:p>
        </w:tc>
        <w:tc>
          <w:tcPr>
            <w:tcW w:w="26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2"/>
              </w:rPr>
              <w:t>12,856</w:t>
            </w:r>
          </w:p>
        </w:tc>
        <w:tc>
          <w:tcPr>
            <w:tcW w:w="26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2"/>
              </w:rPr>
              <w:t>12,979</w:t>
            </w:r>
          </w:p>
        </w:tc>
        <w:tc>
          <w:tcPr>
            <w:tcW w:w="30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6"/>
              </w:rPr>
              <w:t>12,911</w:t>
            </w:r>
          </w:p>
        </w:tc>
        <w:tc>
          <w:tcPr>
            <w:tcW w:w="260" w:type="dxa"/>
            <w:vAlign w:val="bottom"/>
          </w:tcPr>
          <w:p>
            <w:pPr>
              <w:spacing w:after="0"/>
              <w:rPr>
                <w:sz w:val="14"/>
                <w:szCs w:val="14"/>
                <w:color w:val="auto"/>
              </w:rPr>
            </w:pPr>
          </w:p>
        </w:tc>
        <w:tc>
          <w:tcPr>
            <w:tcW w:w="7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6"/>
              </w:rPr>
              <w:t>13,059</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2"/>
              </w:rPr>
              <w:t>12,930</w:t>
            </w:r>
          </w:p>
        </w:tc>
        <w:tc>
          <w:tcPr>
            <w:tcW w:w="0" w:type="dxa"/>
            <w:vAlign w:val="bottom"/>
          </w:tcPr>
          <w:p>
            <w:pPr>
              <w:spacing w:after="0"/>
              <w:rPr>
                <w:sz w:val="1"/>
                <w:szCs w:val="1"/>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7780" w:type="dxa"/>
            <w:vAlign w:val="bottom"/>
            <w:gridSpan w:val="16"/>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841"/>
        </w:trPr>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20" w:top="261" w:right="1439"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4(b)</w:t>
      </w:r>
    </w:p>
    <w:p>
      <w:pPr>
        <w:spacing w:after="0" w:line="30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SECOND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AMENDED AND RESTATED</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CREDIT AGREEMENT</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DATED AS OF December 30, 1998</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SAGA COMMUNICATIONS, INC.,</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CERTAIN OF ITS SUBSIDIARIES,</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LENDERS PARTY HERETO</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BANKBOSTON, N.A., as Agent</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FLEET BANK, N.A.,</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SUMMIT BANK, 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BANK OF NEW YORK, as Co-Agents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BANCBOSTON ROBERTSON STEPHENS INC., as Arranger</w:t>
      </w:r>
    </w:p>
    <w:p>
      <w:pPr>
        <w:sectPr>
          <w:pgSz w:w="11900" w:h="16838" w:orient="portrait"/>
          <w:cols w:equalWidth="0" w:num="1">
            <w:col w:w="9959"/>
          </w:cols>
          <w:pgMar w:left="500" w:top="115"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45"/>
        </w:trPr>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1540" w:type="dxa"/>
            <w:vAlign w:val="bottom"/>
          </w:tcPr>
          <w:p>
            <w:pPr>
              <w:spacing w:after="0"/>
              <w:rPr>
                <w:sz w:val="24"/>
                <w:szCs w:val="24"/>
                <w:color w:val="auto"/>
              </w:rPr>
            </w:pPr>
          </w:p>
        </w:tc>
        <w:tc>
          <w:tcPr>
            <w:tcW w:w="5460" w:type="dxa"/>
            <w:vAlign w:val="bottom"/>
          </w:tcPr>
          <w:p>
            <w:pPr>
              <w:jc w:val="right"/>
              <w:ind w:right="262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5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Definitions; Designation of Unrestricted Subsidiaries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59"/>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Section 1.1.</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Definitions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Section 1.2.</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General Provisions Pertaining to Definitions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Section 1.3.</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Subsidiaries; Designation of Unrestricted Subsidiaries;</w:t>
            </w:r>
          </w:p>
        </w:tc>
        <w:tc>
          <w:tcPr>
            <w:tcW w:w="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Certain Obligations Respecting Restricted Subsidiaries ....</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54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Commitments; Loans; Collateral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259"/>
        </w:trPr>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Section 2.1.</w:t>
            </w:r>
          </w:p>
        </w:tc>
        <w:tc>
          <w:tcPr>
            <w:tcW w:w="54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Loans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Section 2.2.</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Notices Relating to Loans;</w:t>
            </w:r>
          </w:p>
        </w:tc>
        <w:tc>
          <w:tcPr>
            <w:tcW w:w="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68"/>
        </w:trPr>
        <w:tc>
          <w:tcPr>
            <w:tcW w:w="1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99"/>
              </w:rPr>
              <w:t>Section 2.3.</w:t>
            </w: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Requests for Eurodollar Loans .............................</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vMerge w:val="continue"/>
          </w:tcPr>
          <w:p>
            <w:pPr>
              <w:spacing w:after="0"/>
              <w:rPr>
                <w:sz w:val="14"/>
                <w:szCs w:val="14"/>
                <w:color w:val="auto"/>
              </w:rPr>
            </w:pP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Disbursement of Loan Proceeds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Section 2.4.</w:t>
            </w: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Notes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Section 2.5.</w:t>
            </w: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Mandatory Principal Payments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Section 2.6.</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Reduction or Termination of Commitments;</w:t>
            </w:r>
          </w:p>
        </w:tc>
        <w:tc>
          <w:tcPr>
            <w:tcW w:w="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1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99"/>
              </w:rPr>
              <w:t>Section 2.7.</w:t>
            </w: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Voluntary Payments ........................................</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vMerge w:val="continue"/>
          </w:tcPr>
          <w:p>
            <w:pPr>
              <w:spacing w:after="0"/>
              <w:rPr>
                <w:sz w:val="14"/>
                <w:szCs w:val="14"/>
                <w:color w:val="auto"/>
              </w:rPr>
            </w:pP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Interest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Section 2.8.</w:t>
            </w: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Fees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Section 2.9.</w:t>
            </w: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Use of Proceeds of Loans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2.10. Computations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Section 2.11. Minimum Amounts of Borrowings, Conversions and</w:t>
            </w:r>
          </w:p>
        </w:tc>
        <w:tc>
          <w:tcPr>
            <w:tcW w:w="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Prepayments ...............................................</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2.12. Time and Method of Payments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2.13. Lending Offices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2.14. Several Obligations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2.15. Security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2.16. Pro Rata Treatment Among Lenders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2.17. Non-Receipt of Funds by Agent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2.18. Sharing of Payments and Set-Off Among Lenders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2.19. Conversion of Loans; Continuation of Loans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2.20. Additional Costs; Capital Requirements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2.21. Limitation of Types of Loans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2.22. Illegality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Section 2.23. Certain Conversions Pursuant to</w:t>
            </w:r>
          </w:p>
        </w:tc>
        <w:tc>
          <w:tcPr>
            <w:tcW w:w="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Sections 2.20 and 2.22 ....................................</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2.24. Indemnification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68"/>
        </w:trPr>
        <w:tc>
          <w:tcPr>
            <w:tcW w:w="70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Section 2.25. Waiver of Claims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245"/>
        </w:trPr>
        <w:tc>
          <w:tcPr>
            <w:tcW w:w="70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Section 2.26. Reallocation of Existing Loans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5420" w:type="dxa"/>
            <w:vAlign w:val="bottom"/>
          </w:tcPr>
          <w:p>
            <w:pPr>
              <w:ind w:left="1760"/>
              <w:spacing w:after="0"/>
              <w:rPr>
                <w:sz w:val="20"/>
                <w:szCs w:val="20"/>
                <w:color w:val="auto"/>
              </w:rPr>
            </w:pPr>
            <w:r>
              <w:rPr>
                <w:rFonts w:ascii="Courier New" w:cs="Courier New" w:eastAsia="Courier New" w:hAnsi="Courier New"/>
                <w:sz w:val="15"/>
                <w:szCs w:val="15"/>
                <w:color w:val="auto"/>
              </w:rPr>
              <w:t>-ii-</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Letters of Credit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259"/>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Section 3.1.</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Letter of Credit Commitment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3.2.</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Issuance of Letters of Credit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3.3.</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Participation by Lenders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3.4.</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Letter of Credit Disbursements....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3.5.</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 to Repay Letter of Credit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8"/>
        </w:trPr>
        <w:tc>
          <w:tcPr>
            <w:tcW w:w="15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Section 3.6.</w:t>
            </w: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Disbursements, etc. .......................................</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Letter of Credit Fees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245"/>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Section 3.7.</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Letter of Credit Applications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Representations and Warranties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259"/>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Section 4.1.</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Organization, Etc.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4.2.</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Power; Authority; Consents; No Conflicts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4.3.</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Due Execution, Validity and Enforceability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4.4.</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Priority of Liens; Condition of Assets.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4.5.</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Judgments, Actions, Proceedings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4.6.</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 Defaults; Compliance with Laws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4.7.</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Burdensome Documents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4.8.</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Governing Documents.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4.9.</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Financial Information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4.10.</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 Material Changes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4.11.</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Taxes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4.12.</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Intangible Assets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4.13.</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Licenses and Approvals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4.14.</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Environmental Compliance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4.15.</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Employee Benefit Plans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4.16.</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Labor Disputes; Collective Bargaining Agreements;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68"/>
        </w:trPr>
        <w:tc>
          <w:tcPr>
            <w:tcW w:w="15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Section 4.17.</w:t>
            </w: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Employee Grievances .......................................</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Insurance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4.18.</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Absence of Certain Restrictions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4.19.</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Ancillary Documents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4.20.</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Solvency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4.21.</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Application of Certain Laws and Regulations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4.22.</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Year 2000 Problem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4.23.</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 Material Real Property; No Material Intellectual</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68"/>
        </w:trPr>
        <w:tc>
          <w:tcPr>
            <w:tcW w:w="15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Section 4.24.</w:t>
            </w: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Full Disclosure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245"/>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Section 4.25.</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Letters of Credit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Conditions to Credit Extensions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259"/>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Section 5.1.</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Conditions to Initial Credit Extensions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245"/>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Section 5.2.</w:t>
            </w:r>
          </w:p>
        </w:tc>
        <w:tc>
          <w:tcPr>
            <w:tcW w:w="5420" w:type="dxa"/>
            <w:vAlign w:val="bottom"/>
          </w:tcPr>
          <w:p>
            <w:pPr>
              <w:ind w:left="100"/>
              <w:spacing w:after="0"/>
              <w:rPr>
                <w:sz w:val="20"/>
                <w:szCs w:val="20"/>
                <w:color w:val="auto"/>
              </w:rPr>
            </w:pPr>
            <w:r>
              <w:rPr>
                <w:rFonts w:ascii="Courier New" w:cs="Courier New" w:eastAsia="Courier New" w:hAnsi="Courier New"/>
                <w:sz w:val="15"/>
                <w:szCs w:val="15"/>
                <w:color w:val="auto"/>
                <w:w w:val="98"/>
              </w:rPr>
              <w:t>Conditions Precedent to Each Credit Extension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5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1540" w:type="dxa"/>
            <w:vAlign w:val="bottom"/>
          </w:tcPr>
          <w:p>
            <w:pPr>
              <w:spacing w:after="0"/>
              <w:rPr>
                <w:sz w:val="24"/>
                <w:szCs w:val="24"/>
                <w:color w:val="auto"/>
              </w:rPr>
            </w:pPr>
          </w:p>
        </w:tc>
        <w:tc>
          <w:tcPr>
            <w:tcW w:w="5460" w:type="dxa"/>
            <w:vAlign w:val="bottom"/>
          </w:tcPr>
          <w:p>
            <w:pPr>
              <w:ind w:left="1800"/>
              <w:spacing w:after="0"/>
              <w:rPr>
                <w:sz w:val="20"/>
                <w:szCs w:val="20"/>
                <w:color w:val="auto"/>
              </w:rPr>
            </w:pPr>
            <w:r>
              <w:rPr>
                <w:rFonts w:ascii="Courier New" w:cs="Courier New" w:eastAsia="Courier New" w:hAnsi="Courier New"/>
                <w:sz w:val="15"/>
                <w:szCs w:val="15"/>
                <w:color w:val="auto"/>
              </w:rPr>
              <w:t>-iii-</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Guaranty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259"/>
        </w:trPr>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Section 6.1.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Guaranty of Payment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6.2.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Waivers of Notice, Etc.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6.3.</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Election of Remedies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6.4.</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Expenses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6.5.</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Unenforceability of Obligations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6.6.</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Subrogation Rights; Subordination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68"/>
        </w:trPr>
        <w:tc>
          <w:tcPr>
            <w:tcW w:w="15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Section 6.7.</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of Subrogation Rights ......................................</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40" w:type="dxa"/>
            <w:vAlign w:val="bottom"/>
            <w:vMerge w:val="continue"/>
          </w:tcPr>
          <w:p>
            <w:pPr>
              <w:spacing w:after="0"/>
              <w:rPr>
                <w:sz w:val="21"/>
                <w:szCs w:val="21"/>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Limitation on Obligations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Delivery of Financial Reports,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w w:val="98"/>
              </w:rPr>
              <w:t>Documents and Other Information ............................</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Section 7.1.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Annual Financial Statements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7.2.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Quarterly Financial Statements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7.3.</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Compliance Information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7.4.</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Accountants' Reports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7.5.</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Copies of Documents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7.6.</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Annual Budget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245"/>
        </w:trPr>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Section 7.7.</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Additional Information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Affirmative Covenants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259"/>
        </w:trPr>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rPr>
              <w:t>Section 8.1.</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Payment and Performance of</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68"/>
        </w:trPr>
        <w:tc>
          <w:tcPr>
            <w:tcW w:w="15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Section 8.2.</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Obligations ................................................</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vMerge w:val="continue"/>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Conduct of Business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8.3.</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Books and Records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8.4.</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Inspections and Audits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8.5.</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Insurance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8.6.</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Notice of Defaults, Litigation; Etc.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8.7.</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ERISA Notices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8.8.</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 Termination of Loan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68"/>
        </w:trPr>
        <w:tc>
          <w:tcPr>
            <w:tcW w:w="15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Section 8.9.</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Documents, Etc. ............................................</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vMerge w:val="continue"/>
          </w:tcPr>
          <w:p>
            <w:pPr>
              <w:spacing w:after="0"/>
              <w:rPr>
                <w:sz w:val="14"/>
                <w:szCs w:val="14"/>
                <w:color w:val="auto"/>
              </w:rPr>
            </w:pP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Environmental Laws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Section 8.10.</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Interest Rate Protection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Section 8.11.</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Governmental Approvals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Section 8.12.</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Collateral for Loans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Section 8.13.</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Dividends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Section 8.14.</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Appraisals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Section 8.15.</w:t>
            </w:r>
          </w:p>
        </w:tc>
        <w:tc>
          <w:tcPr>
            <w:tcW w:w="5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Permitted Acquisitions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245"/>
        </w:trPr>
        <w:tc>
          <w:tcPr>
            <w:tcW w:w="1540" w:type="dxa"/>
            <w:vAlign w:val="bottom"/>
          </w:tcPr>
          <w:p>
            <w:pPr>
              <w:ind w:left="360"/>
              <w:spacing w:after="0"/>
              <w:rPr>
                <w:sz w:val="20"/>
                <w:szCs w:val="20"/>
                <w:color w:val="auto"/>
              </w:rPr>
            </w:pPr>
            <w:r>
              <w:rPr>
                <w:rFonts w:ascii="Courier New" w:cs="Courier New" w:eastAsia="Courier New" w:hAnsi="Courier New"/>
                <w:sz w:val="15"/>
                <w:szCs w:val="15"/>
                <w:color w:val="auto"/>
                <w:w w:val="99"/>
              </w:rPr>
              <w:t>Section 8.16.</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w w:val="98"/>
              </w:rPr>
              <w:t>Further Assurances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500" w:type="dxa"/>
            <w:vAlign w:val="bottom"/>
          </w:tcPr>
          <w:p>
            <w:pPr>
              <w:jc w:val="right"/>
              <w:ind w:right="3247"/>
              <w:spacing w:after="0"/>
              <w:rPr>
                <w:sz w:val="20"/>
                <w:szCs w:val="20"/>
                <w:color w:val="auto"/>
              </w:rPr>
            </w:pPr>
            <w:r>
              <w:rPr>
                <w:rFonts w:ascii="Courier New" w:cs="Courier New" w:eastAsia="Courier New" w:hAnsi="Courier New"/>
                <w:sz w:val="15"/>
                <w:szCs w:val="15"/>
                <w:color w:val="auto"/>
              </w:rPr>
              <w:t>-iv-</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440" w:type="dxa"/>
            <w:vAlign w:val="bottom"/>
          </w:tcPr>
          <w:p>
            <w:pPr>
              <w:spacing w:after="0"/>
              <w:rPr>
                <w:sz w:val="24"/>
                <w:szCs w:val="24"/>
                <w:color w:val="auto"/>
              </w:rPr>
            </w:pPr>
          </w:p>
        </w:tc>
        <w:tc>
          <w:tcPr>
            <w:tcW w:w="5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Negative Covenants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259"/>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5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Indebtedness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Liens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Mergers, Consolidations, Sales of Assets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Investments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Restricted Payments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9.6.</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Issuance of Capital Stock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9.7.</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Sale and Leaseback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9.8.</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ERISA Compliance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9.9.</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Amendment or Termination of Documents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9.10. Restrictive Agreements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9.11. Transactions with Affiliates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245"/>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w w:val="98"/>
              </w:rPr>
              <w:t>9.12. Limitations on Operation of Saga Real Estate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X.</w:t>
            </w:r>
          </w:p>
        </w:tc>
        <w:tc>
          <w:tcPr>
            <w:tcW w:w="440" w:type="dxa"/>
            <w:vAlign w:val="bottom"/>
          </w:tcPr>
          <w:p>
            <w:pPr>
              <w:spacing w:after="0"/>
              <w:rPr>
                <w:sz w:val="24"/>
                <w:szCs w:val="24"/>
                <w:color w:val="auto"/>
              </w:rPr>
            </w:pPr>
          </w:p>
        </w:tc>
        <w:tc>
          <w:tcPr>
            <w:tcW w:w="5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Financial Covenants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259"/>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w w:val="98"/>
              </w:rPr>
              <w:t>10.1. Maximum Total Funded Debt Leverage Ratio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10.2. Pro Forma Fixed Charges Coverage Ratio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10.3. Minimum Interest Coverage Ratio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68"/>
        </w:trPr>
        <w:tc>
          <w:tcPr>
            <w:tcW w:w="70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Section 10.4. General Provisions Relating to</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Financial Terms and Covenants ..............................</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ARTICLE XI.</w:t>
            </w:r>
          </w:p>
        </w:tc>
        <w:tc>
          <w:tcPr>
            <w:tcW w:w="440" w:type="dxa"/>
            <w:vAlign w:val="bottom"/>
          </w:tcPr>
          <w:p>
            <w:pPr>
              <w:spacing w:after="0"/>
              <w:rPr>
                <w:sz w:val="24"/>
                <w:szCs w:val="24"/>
                <w:color w:val="auto"/>
              </w:rPr>
            </w:pPr>
          </w:p>
        </w:tc>
        <w:tc>
          <w:tcPr>
            <w:tcW w:w="5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Events of Default; Acceleration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259"/>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w w:val="98"/>
              </w:rPr>
              <w:t>11.1. Events of Default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68"/>
        </w:trPr>
        <w:tc>
          <w:tcPr>
            <w:tcW w:w="70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Section 11.2. Termination of Commitments;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Acceleration of Obligations ................................</w:t>
            </w: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8"/>
              </w:rPr>
              <w:t>Section 11.3. No Implied Waivers; Rights Cumulative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245"/>
        </w:trPr>
        <w:tc>
          <w:tcPr>
            <w:tcW w:w="700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8"/>
              </w:rPr>
              <w:t>Section 11.4. Letters of Credit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ARTICLE XII.</w:t>
            </w:r>
          </w:p>
        </w:tc>
        <w:tc>
          <w:tcPr>
            <w:tcW w:w="440" w:type="dxa"/>
            <w:vAlign w:val="bottom"/>
          </w:tcPr>
          <w:p>
            <w:pPr>
              <w:spacing w:after="0"/>
              <w:rPr>
                <w:sz w:val="24"/>
                <w:szCs w:val="24"/>
                <w:color w:val="auto"/>
              </w:rPr>
            </w:pPr>
          </w:p>
        </w:tc>
        <w:tc>
          <w:tcPr>
            <w:tcW w:w="5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The Agent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259"/>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w w:val="98"/>
              </w:rPr>
              <w:t>12.1. Appointment, Powers and Immunities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12.2. Reliance by Agent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12.3. Events of Default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12.4. Rights as a Lender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12.5. Indemnification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12.6. Non-Reliance on Agent and Other Lenders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12.7. Failure to Act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12.8. Resignation or Removal of Agent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245"/>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Section</w:t>
            </w:r>
          </w:p>
        </w:tc>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w w:val="98"/>
              </w:rPr>
              <w:t>12.9. Sharing of Collateral and Payments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5420" w:type="dxa"/>
            <w:vAlign w:val="bottom"/>
          </w:tcPr>
          <w:p>
            <w:pPr>
              <w:jc w:val="right"/>
              <w:ind w:right="3247"/>
              <w:spacing w:after="0"/>
              <w:rPr>
                <w:sz w:val="20"/>
                <w:szCs w:val="20"/>
                <w:color w:val="auto"/>
              </w:rPr>
            </w:pPr>
            <w:r>
              <w:rPr>
                <w:rFonts w:ascii="Courier New" w:cs="Courier New" w:eastAsia="Courier New" w:hAnsi="Courier New"/>
                <w:sz w:val="15"/>
                <w:szCs w:val="15"/>
                <w:color w:val="auto"/>
              </w:rPr>
              <w:t>-v-</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ARTICLE XIII.</w:t>
            </w:r>
          </w:p>
        </w:tc>
        <w:tc>
          <w:tcPr>
            <w:tcW w:w="5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Miscellaneous Provisions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259"/>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Section 13.1.</w:t>
            </w:r>
          </w:p>
        </w:tc>
        <w:tc>
          <w:tcPr>
            <w:tcW w:w="5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Fees and Expenses; Indemnity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13.2.</w:t>
            </w: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Taxes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13.3.</w:t>
            </w: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Survival of Agreements and Representations;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68"/>
        </w:trPr>
        <w:tc>
          <w:tcPr>
            <w:tcW w:w="15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Section 13.4.</w:t>
            </w: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Construction ..............................................</w:t>
            </w: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5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Modifications, Consents and Waivers;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68"/>
        </w:trPr>
        <w:tc>
          <w:tcPr>
            <w:tcW w:w="15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Section 13.5.</w:t>
            </w: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Entire Agreement ..........................................</w:t>
            </w: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Remedies Cumulative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13.6.</w:t>
            </w: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Further Assurances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13.7.</w:t>
            </w: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Notices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13.8.</w:t>
            </w: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Counterparts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Section 13.9.</w:t>
            </w: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Severability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Section 13.10. Binding Effect; No Assignment or Delegation</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by Borrower ...............................................</w:t>
            </w: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Section 13.11. Assignments and Participations by</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Lenders ...................................................</w:t>
            </w: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Section 13.12. FCC Approval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Section 13.13. Usury Provision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Section 13.14. Certain Lien Releases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8"/>
              </w:rPr>
              <w:t>Section 13.15. Confidentiality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Section 13.16. Governing Law; Consent to Jurisdiction</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5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Waiver of Trial by Jury ...................................</w:t>
            </w: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Section 13.17. Integration of Schedules and Exhibits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2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LIST OF SCHEDULES AND EXHIBITS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ectPr>
          <w:pgSz w:w="11900" w:h="16838" w:orient="portrait"/>
          <w:cols w:equalWidth="0" w:num="2">
            <w:col w:w="980" w:space="340"/>
            <w:col w:w="8919"/>
          </w:cols>
          <w:pgMar w:left="220" w:top="261" w:right="1440" w:bottom="1440" w:gutter="0" w:footer="0" w:header="0"/>
          <w:type w:val="continuous"/>
        </w:sectPr>
      </w:pPr>
    </w:p>
    <w:p>
      <w:pPr>
        <w:ind w:left="1320" w:hanging="1048"/>
        <w:spacing w:after="0"/>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66"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8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Organization; Capitalization</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Approvals and Consents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4.4(a)</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w w:val="98"/>
              </w:rPr>
              <w:t>Assets Excluded From Grant of Security Interest</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Judgments, Actions, Proceedings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Burdensome Documents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4.11</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Tax Matters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4.12</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Intellectual Property</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4.13</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FCC Licenses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4.14(a)</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Violation of Environmental Laws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4.14(b)</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Environmental Violation Notices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4.14(c)</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Release of Hazardous Substances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4.15</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Employee Benefit Plans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4.16</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w w:val="96"/>
              </w:rPr>
              <w:t>Labor Disputes; Collective Bargaining Agreements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4.17</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Insurance</w:t>
            </w:r>
          </w:p>
        </w:tc>
      </w:tr>
      <w:tr>
        <w:trPr>
          <w:trHeight w:val="259"/>
        </w:trPr>
        <w:tc>
          <w:tcPr>
            <w:tcW w:w="82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w w:val="98"/>
              </w:rPr>
              <w:t>Location of Principal Place of Business of Each</w:t>
            </w:r>
          </w:p>
        </w:tc>
      </w:tr>
      <w:tr>
        <w:trPr>
          <w:trHeight w:val="245"/>
        </w:trPr>
        <w:tc>
          <w:tcPr>
            <w:tcW w:w="820" w:type="dxa"/>
            <w:vAlign w:val="bottom"/>
          </w:tcPr>
          <w:p>
            <w:pPr>
              <w:spacing w:after="0"/>
              <w:rPr>
                <w:sz w:val="21"/>
                <w:szCs w:val="21"/>
                <w:color w:val="auto"/>
              </w:rPr>
            </w:pPr>
          </w:p>
        </w:tc>
        <w:tc>
          <w:tcPr>
            <w:tcW w:w="4420" w:type="dxa"/>
            <w:vAlign w:val="bottom"/>
          </w:tcPr>
          <w:p>
            <w:pPr>
              <w:ind w:left="300"/>
              <w:spacing w:after="0"/>
              <w:rPr>
                <w:sz w:val="20"/>
                <w:szCs w:val="20"/>
                <w:color w:val="auto"/>
              </w:rPr>
            </w:pPr>
            <w:r>
              <w:rPr>
                <w:rFonts w:ascii="Courier New" w:cs="Courier New" w:eastAsia="Courier New" w:hAnsi="Courier New"/>
                <w:sz w:val="15"/>
                <w:szCs w:val="15"/>
                <w:color w:val="auto"/>
              </w:rPr>
              <w:t>Principal Company</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8.2(a)</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Local Market Agreements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8.2(b)</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Time Brokerage Agreements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9.1(i)</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Existing Indebtedness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Liens</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9.3</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Corporate Structure and Organization</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9.4</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Investments</w:t>
            </w:r>
          </w:p>
        </w:tc>
      </w:tr>
    </w:tbl>
    <w:p>
      <w:pPr>
        <w:sectPr>
          <w:pgSz w:w="11900" w:h="16838" w:orient="portrait"/>
          <w:cols w:equalWidth="0" w:num="1">
            <w:col w:w="10239"/>
          </w:cols>
          <w:pgMar w:left="220" w:top="261" w:right="1440" w:bottom="1440" w:gutter="0" w:footer="0" w:header="0"/>
          <w:type w:val="continuous"/>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88"/>
              </w:rPr>
              <w:t>8</w:t>
            </w:r>
          </w:p>
        </w:tc>
        <w:tc>
          <w:tcPr>
            <w:tcW w:w="3540" w:type="dxa"/>
            <w:vAlign w:val="bottom"/>
          </w:tcPr>
          <w:p>
            <w:pPr>
              <w:spacing w:after="0"/>
              <w:rPr>
                <w:sz w:val="21"/>
                <w:szCs w:val="21"/>
                <w:color w:val="auto"/>
              </w:rPr>
            </w:pPr>
          </w:p>
        </w:tc>
      </w:tr>
      <w:tr>
        <w:trPr>
          <w:trHeight w:val="673"/>
        </w:trPr>
        <w:tc>
          <w:tcPr>
            <w:tcW w:w="1100" w:type="dxa"/>
            <w:vAlign w:val="bottom"/>
          </w:tcPr>
          <w:p>
            <w:pPr>
              <w:spacing w:after="0"/>
              <w:rPr>
                <w:sz w:val="24"/>
                <w:szCs w:val="24"/>
                <w:color w:val="auto"/>
              </w:rPr>
            </w:pPr>
          </w:p>
        </w:tc>
        <w:tc>
          <w:tcPr>
            <w:tcW w:w="3540" w:type="dxa"/>
            <w:vAlign w:val="bottom"/>
          </w:tcPr>
          <w:p>
            <w:pPr>
              <w:ind w:left="2240"/>
              <w:spacing w:after="0"/>
              <w:rPr>
                <w:sz w:val="20"/>
                <w:szCs w:val="20"/>
                <w:color w:val="auto"/>
              </w:rPr>
            </w:pPr>
            <w:r>
              <w:rPr>
                <w:rFonts w:ascii="Courier New" w:cs="Courier New" w:eastAsia="Courier New" w:hAnsi="Courier New"/>
                <w:sz w:val="15"/>
                <w:szCs w:val="15"/>
                <w:color w:val="auto"/>
              </w:rPr>
              <w:t>-vii-</w:t>
            </w:r>
          </w:p>
        </w:tc>
      </w:tr>
      <w:tr>
        <w:trPr>
          <w:trHeight w:val="259"/>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354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r>
      <w:tr>
        <w:trPr>
          <w:trHeight w:val="245"/>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505"/>
        </w:trPr>
        <w:tc>
          <w:tcPr>
            <w:tcW w:w="11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6"/>
              </w:rPr>
              <w:t>A-1</w:t>
            </w:r>
          </w:p>
        </w:tc>
        <w:tc>
          <w:tcPr>
            <w:tcW w:w="3540" w:type="dxa"/>
            <w:vAlign w:val="bottom"/>
          </w:tcPr>
          <w:p>
            <w:pPr>
              <w:ind w:left="220"/>
              <w:spacing w:after="0"/>
              <w:rPr>
                <w:sz w:val="20"/>
                <w:szCs w:val="20"/>
                <w:color w:val="auto"/>
              </w:rPr>
            </w:pPr>
            <w:r>
              <w:rPr>
                <w:rFonts w:ascii="Courier New" w:cs="Courier New" w:eastAsia="Courier New" w:hAnsi="Courier New"/>
                <w:sz w:val="15"/>
                <w:szCs w:val="15"/>
                <w:color w:val="auto"/>
              </w:rPr>
              <w:t>Form of Revolving Credit Note</w:t>
            </w:r>
          </w:p>
        </w:tc>
      </w:tr>
      <w:tr>
        <w:trPr>
          <w:trHeight w:val="336"/>
        </w:trPr>
        <w:tc>
          <w:tcPr>
            <w:tcW w:w="11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6"/>
              </w:rPr>
              <w:t>A-2</w:t>
            </w:r>
          </w:p>
        </w:tc>
        <w:tc>
          <w:tcPr>
            <w:tcW w:w="3540" w:type="dxa"/>
            <w:vAlign w:val="bottom"/>
          </w:tcPr>
          <w:p>
            <w:pPr>
              <w:ind w:left="220"/>
              <w:spacing w:after="0"/>
              <w:rPr>
                <w:sz w:val="20"/>
                <w:szCs w:val="20"/>
                <w:color w:val="auto"/>
              </w:rPr>
            </w:pPr>
            <w:r>
              <w:rPr>
                <w:rFonts w:ascii="Courier New" w:cs="Courier New" w:eastAsia="Courier New" w:hAnsi="Courier New"/>
                <w:sz w:val="15"/>
                <w:szCs w:val="15"/>
                <w:color w:val="auto"/>
              </w:rPr>
              <w:t>Form of Term Loan Note</w:t>
            </w:r>
          </w:p>
        </w:tc>
      </w:tr>
      <w:tr>
        <w:trPr>
          <w:trHeight w:val="336"/>
        </w:trPr>
        <w:tc>
          <w:tcPr>
            <w:tcW w:w="11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6"/>
              </w:rPr>
              <w:t>A-3</w:t>
            </w:r>
          </w:p>
        </w:tc>
        <w:tc>
          <w:tcPr>
            <w:tcW w:w="3540" w:type="dxa"/>
            <w:vAlign w:val="bottom"/>
          </w:tcPr>
          <w:p>
            <w:pPr>
              <w:ind w:left="220"/>
              <w:spacing w:after="0"/>
              <w:rPr>
                <w:sz w:val="20"/>
                <w:szCs w:val="20"/>
                <w:color w:val="auto"/>
              </w:rPr>
            </w:pPr>
            <w:r>
              <w:rPr>
                <w:rFonts w:ascii="Courier New" w:cs="Courier New" w:eastAsia="Courier New" w:hAnsi="Courier New"/>
                <w:sz w:val="15"/>
                <w:szCs w:val="15"/>
                <w:color w:val="auto"/>
              </w:rPr>
              <w:t>Form of Acquisition Loan Note</w:t>
            </w:r>
          </w:p>
        </w:tc>
      </w:tr>
      <w:tr>
        <w:trPr>
          <w:trHeight w:val="336"/>
        </w:trPr>
        <w:tc>
          <w:tcPr>
            <w:tcW w:w="110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6"/>
              </w:rPr>
              <w:t>A-4</w:t>
            </w:r>
          </w:p>
        </w:tc>
        <w:tc>
          <w:tcPr>
            <w:tcW w:w="3540" w:type="dxa"/>
            <w:vAlign w:val="bottom"/>
          </w:tcPr>
          <w:p>
            <w:pPr>
              <w:ind w:left="220"/>
              <w:spacing w:after="0"/>
              <w:rPr>
                <w:sz w:val="20"/>
                <w:szCs w:val="20"/>
                <w:color w:val="auto"/>
              </w:rPr>
            </w:pPr>
            <w:r>
              <w:rPr>
                <w:rFonts w:ascii="Courier New" w:cs="Courier New" w:eastAsia="Courier New" w:hAnsi="Courier New"/>
                <w:sz w:val="15"/>
                <w:szCs w:val="15"/>
                <w:color w:val="auto"/>
                <w:w w:val="96"/>
              </w:rPr>
              <w:t>Form of Incremental Facility Loan Note</w:t>
            </w:r>
          </w:p>
        </w:tc>
      </w:tr>
    </w:tbl>
    <w:p>
      <w:pPr>
        <w:spacing w:after="0" w:line="91" w:lineRule="exact"/>
        <w:rPr>
          <w:sz w:val="20"/>
          <w:szCs w:val="20"/>
          <w:color w:val="auto"/>
        </w:rPr>
      </w:pPr>
    </w:p>
    <w:p>
      <w:pPr>
        <w:ind w:left="1320" w:hanging="1135"/>
        <w:spacing w:after="0"/>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Indemnity, Contribution and Subrogation Agreement</w:t>
      </w:r>
    </w:p>
    <w:p>
      <w:pPr>
        <w:spacing w:after="0" w:line="178" w:lineRule="exact"/>
        <w:rPr>
          <w:sz w:val="20"/>
          <w:szCs w:val="20"/>
          <w:color w:val="auto"/>
        </w:rPr>
      </w:pPr>
    </w:p>
    <w:p>
      <w:pPr>
        <w:ind w:left="1320" w:hanging="1135"/>
        <w:spacing w:after="0"/>
        <w:tabs>
          <w:tab w:leader="none" w:pos="13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Effective Date Certificate</w:t>
      </w:r>
    </w:p>
    <w:p>
      <w:pPr>
        <w:spacing w:after="0" w:line="166" w:lineRule="exact"/>
        <w:rPr>
          <w:sz w:val="20"/>
          <w:szCs w:val="20"/>
          <w:color w:val="auto"/>
        </w:rPr>
      </w:pPr>
    </w:p>
    <w:p>
      <w:pPr>
        <w:ind w:left="1320" w:hanging="1135"/>
        <w:spacing w:after="0"/>
        <w:tabs>
          <w:tab w:leader="none" w:pos="13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Assignment and Acceptance Agreement</w:t>
      </w:r>
    </w:p>
    <w:p>
      <w:pPr>
        <w:spacing w:after="0" w:line="166" w:lineRule="exact"/>
        <w:rPr>
          <w:sz w:val="20"/>
          <w:szCs w:val="20"/>
          <w:color w:val="auto"/>
        </w:rPr>
      </w:pPr>
    </w:p>
    <w:p>
      <w:pPr>
        <w:ind w:left="1320" w:hanging="1135"/>
        <w:spacing w:after="0"/>
        <w:tabs>
          <w:tab w:leader="none" w:pos="13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Amended and Restated Collateral Trust Agreement</w:t>
      </w:r>
    </w:p>
    <w:p>
      <w:pPr>
        <w:spacing w:after="0" w:line="166"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Form of Lender Assignment Agreement</w:t>
      </w:r>
    </w:p>
    <w:p>
      <w:pPr>
        <w:sectPr>
          <w:pgSz w:w="11900" w:h="16838" w:orient="portrait"/>
          <w:cols w:equalWidth="0" w:num="1">
            <w:col w:w="10239"/>
          </w:cols>
          <w:pgMar w:left="220" w:top="26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SECOND</w:t>
      </w:r>
    </w:p>
    <w:p>
      <w:pPr>
        <w:spacing w:after="0" w:line="2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w:t>
      </w:r>
    </w:p>
    <w:p>
      <w:pPr>
        <w:jc w:val="center"/>
        <w:ind w:right="3239"/>
        <w:spacing w:after="0"/>
        <w:rPr>
          <w:sz w:val="20"/>
          <w:szCs w:val="20"/>
          <w:color w:val="auto"/>
        </w:rPr>
      </w:pPr>
      <w:r>
        <w:rPr>
          <w:rFonts w:ascii="Courier New" w:cs="Courier New" w:eastAsia="Courier New" w:hAnsi="Courier New"/>
          <w:sz w:val="15"/>
          <w:szCs w:val="15"/>
          <w:color w:val="auto"/>
        </w:rPr>
        <w:t>CREDIT AGREEMENT</w:t>
      </w:r>
    </w:p>
    <w:p>
      <w:pPr>
        <w:spacing w:after="0" w:line="140"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4"/>
          <w:szCs w:val="14"/>
          <w:color w:val="auto"/>
        </w:rPr>
        <w:t>THIS SECOND AMENDED AND RESTATED CREDIT AGREEMENT is made as of December 30, 1998, by and among (1) SAGA COMMUNICATIONS, INC., a Delaware corporation (the "BORROWER"); (2) the Subsidiaries of the Borrower party hereto; (3) the various financial institutions which are now, or in accordance with SECTION</w:t>
      </w:r>
    </w:p>
    <w:p>
      <w:pPr>
        <w:spacing w:after="0" w:line="1"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5"/>
          <w:szCs w:val="15"/>
          <w:color w:val="auto"/>
        </w:rPr>
        <w:t>13.11 hereafter become, parties hereto as Lenders (individually, a "LENDER" and collectively, the "LENDERS"); (4) BANKBOSTON, N.A., a national banking association, as agent for the Lenders (the "AGENT"); (5) FLEET BANK, N.A., THE BANK OF NEW YORK, and SUMMIT BANK, as co-agents for the Lenders (each a "CO-AGENT" and, collectively, the "CO-AGENTS") and (6) BANCBOSTON ROBERTSON STEPHENS INC., a Massachusetts corporation, as syndication agent and arranger (the "ARRANGER").</w:t>
      </w:r>
    </w:p>
    <w:p>
      <w:pPr>
        <w:spacing w:after="0" w:line="8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 I T N E S S E T H:</w:t>
      </w:r>
    </w:p>
    <w:p>
      <w:pPr>
        <w:spacing w:after="0" w:line="166" w:lineRule="exact"/>
        <w:rPr>
          <w:sz w:val="20"/>
          <w:szCs w:val="20"/>
          <w:color w:val="auto"/>
        </w:rPr>
      </w:pPr>
    </w:p>
    <w:p>
      <w:pPr>
        <w:ind w:right="3319" w:firstLine="525"/>
        <w:spacing w:after="0" w:line="262" w:lineRule="auto"/>
        <w:rPr>
          <w:sz w:val="20"/>
          <w:szCs w:val="20"/>
          <w:color w:val="auto"/>
        </w:rPr>
      </w:pPr>
      <w:r>
        <w:rPr>
          <w:rFonts w:ascii="Courier New" w:cs="Courier New" w:eastAsia="Courier New" w:hAnsi="Courier New"/>
          <w:sz w:val="14"/>
          <w:szCs w:val="14"/>
          <w:color w:val="auto"/>
        </w:rPr>
        <w:t>WHEREAS, the Borrower, certain Subsidiaries of the Borrower, various financial institutions (collectively, the "EXISTING LENDERS") and BankBoston, N.A., as agent for the Existing Lenders, entered into an Amended and Restated Credit Agreement, dated as of June 17, 1996 (as heretofore amended, restated or otherwise modified, together with all the Schedules and Exhibits thereto,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CREDIT AGREEMENT");</w:t>
      </w:r>
    </w:p>
    <w:p>
      <w:pPr>
        <w:spacing w:after="0" w:line="140"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WHEREAS, in connection with the transactions contemplated by the Existing Credit Agreement, the Borrower and certain Subsidiaries of the Borrower, granted to BankBoston, as Collateral Trustee, a first priority, perfected pledge, security interest and/or mortgage in the Collateral (as defined in the Existing Credit Agreement) pursuant to the Security Documents (as defined in the Existing Credit Agreement), all as more particularly set forth in such Security Documents;</w:t>
      </w:r>
    </w:p>
    <w:p>
      <w:pPr>
        <w:spacing w:after="0" w:line="82" w:lineRule="exact"/>
        <w:rPr>
          <w:sz w:val="20"/>
          <w:szCs w:val="20"/>
          <w:color w:val="auto"/>
        </w:rPr>
      </w:pPr>
    </w:p>
    <w:p>
      <w:pPr>
        <w:ind w:right="3399" w:firstLine="525"/>
        <w:spacing w:after="0" w:line="250" w:lineRule="auto"/>
        <w:rPr>
          <w:sz w:val="20"/>
          <w:szCs w:val="20"/>
          <w:color w:val="auto"/>
        </w:rPr>
      </w:pPr>
      <w:r>
        <w:rPr>
          <w:rFonts w:ascii="Courier New" w:cs="Courier New" w:eastAsia="Courier New" w:hAnsi="Courier New"/>
          <w:sz w:val="15"/>
          <w:szCs w:val="15"/>
          <w:color w:val="auto"/>
        </w:rPr>
        <w:t>WHEREAS, the Borrower has requested the Agent, the Co-Agents and the Lenders to amend and restate the Existing Credit Agreement in its entirety and to provide the Borrower with senior secured revolving credit, term loan and acquisition loan facilities (collectively, the "INITIAL FACILITIES") in the maximum aggregate principal amount of $150,000,000, consisting of a senior secured term loan facility in the aggregate principal amount of $70,000,000, a senior secured revolving credit facility in the aggregate principal amount of $20,000,000, and a senior secured acquisition loan facility in the aggregate principal amount of $60,000,000;</w:t>
      </w:r>
    </w:p>
    <w:p>
      <w:pPr>
        <w:spacing w:after="0" w:line="89"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WHEREAS, the Borrower has further requested the Agent, the Co-Agents and the Lenders to consider providing the Borrower with an additional</w:t>
      </w:r>
    </w:p>
    <w:p>
      <w:pPr>
        <w:sectPr>
          <w:pgSz w:w="11900" w:h="16838" w:orient="portrait"/>
          <w:cols w:equalWidth="0" w:num="1">
            <w:col w:w="10239"/>
          </w:cols>
          <w:pgMar w:left="220" w:top="26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10</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2</w:t>
      </w:r>
    </w:p>
    <w:p>
      <w:pPr>
        <w:spacing w:after="0" w:line="140"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credit facility (the "INCREMENTAL FACILITY") in the aggregate principal amount of up to $50,000,000;</w:t>
      </w:r>
    </w:p>
    <w:p>
      <w:pPr>
        <w:spacing w:after="0" w:line="17"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WHEREAS, the Agent, the Co-Agents and the Lenders are willing, subject to the terms and conditions set forth herein, to amend and restate the Existing Credit Agreement, to provide to the Borrower the Initial Facilities and to consider providing to the Borrower the Incremental Facility; and</w:t>
      </w:r>
    </w:p>
    <w:p>
      <w:pPr>
        <w:spacing w:after="0" w:line="68"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WHEREAS, in order to induce the Agent, the Co-Agents and the Lenders to amend and restate the Existing Credit Agreement, the Borrower desires, and it is a condition to the effectiveness hereof, that the Principal Companies under the Existing Credit Agreement confirm and reaffirm their respective grants to the Collateral Trustee of the aforementioned first priority, perfected pledges, security interests and/or mortgages in such Collateral to secure all Obligations under and in connection with this Agreement and the other Loan Documents, all as more particularly set forth in the Security Documents, as amended and restated in connection herewith;</w:t>
      </w:r>
    </w:p>
    <w:p>
      <w:pPr>
        <w:spacing w:after="0" w:line="89"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NOW, THEREFORE, in consideration of the premises and the mutual agreements herein contained, the parties hereto hereby agree that, upon the execution of this Agreement, the Existing Credit Agreement (including all Schedules and Exhibits thereto) shall be, and the same hereby is, amended and restated in its entirety to read as set forth above and as follows (and, in the case of SCHEDULES and EXHIBITS, in the form attached hereto):</w:t>
      </w:r>
    </w:p>
    <w:p>
      <w:pPr>
        <w:spacing w:after="0" w:line="8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DEFINITIONS; DESIGNATION OF</w:t>
      </w:r>
    </w:p>
    <w:p>
      <w:pPr>
        <w:jc w:val="center"/>
        <w:ind w:right="3139"/>
        <w:spacing w:after="0"/>
        <w:rPr>
          <w:sz w:val="20"/>
          <w:szCs w:val="20"/>
          <w:color w:val="auto"/>
        </w:rPr>
      </w:pPr>
      <w:r>
        <w:rPr>
          <w:rFonts w:ascii="Courier New" w:cs="Courier New" w:eastAsia="Courier New" w:hAnsi="Courier New"/>
          <w:sz w:val="15"/>
          <w:szCs w:val="15"/>
          <w:color w:val="auto"/>
        </w:rPr>
        <w:t>UNRESTRICTED SUBSIDIARIES</w:t>
      </w:r>
    </w:p>
    <w:p>
      <w:pPr>
        <w:spacing w:after="0" w:line="140"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Section 1.1. DEFINITIONS. As used in this Agreement, the following terms shall have the following meanings:</w:t>
      </w:r>
    </w:p>
    <w:p>
      <w:pPr>
        <w:spacing w:after="0" w:line="17" w:lineRule="exact"/>
        <w:rPr>
          <w:sz w:val="20"/>
          <w:szCs w:val="20"/>
          <w:color w:val="auto"/>
        </w:rPr>
      </w:pPr>
    </w:p>
    <w:p>
      <w:pPr>
        <w:ind w:right="3239" w:firstLine="525"/>
        <w:spacing w:after="0" w:line="248" w:lineRule="auto"/>
        <w:rPr>
          <w:sz w:val="20"/>
          <w:szCs w:val="20"/>
          <w:color w:val="auto"/>
        </w:rPr>
      </w:pPr>
      <w:r>
        <w:rPr>
          <w:rFonts w:ascii="Courier New" w:cs="Courier New" w:eastAsia="Courier New" w:hAnsi="Courier New"/>
          <w:sz w:val="15"/>
          <w:szCs w:val="15"/>
          <w:color w:val="auto"/>
        </w:rPr>
        <w:t>"ACQUISITION" - shall mean any transaction, or any series of related transactions, consummated on, prior to, or after the date of this Agreement, in which the Borrower or any Restricted Subsidiary (in one transaction or as the most recent transaction in a series of transactions) (i) acquires any Communications System, any business or all or substantially all of the assets of any Person or any division or business unit thereof, whether through purchase of assets, merger or otherwise, (ii) directly or indirectly acquires control of at least a majority (in number of votes) of the securities of a corporation which have ordinary voting power for the election of directors or (iii) directly or indirectly acquires control of a majority ownership interest in any partnership or joint venture.</w:t>
      </w:r>
    </w:p>
    <w:p>
      <w:pPr>
        <w:sectPr>
          <w:pgSz w:w="11900" w:h="16838" w:orient="portrait"/>
          <w:cols w:equalWidth="0" w:num="1">
            <w:col w:w="10239"/>
          </w:cols>
          <w:pgMar w:left="220" w:top="26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11</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3</w:t>
      </w:r>
    </w:p>
    <w:p>
      <w:pPr>
        <w:spacing w:after="0" w:line="140" w:lineRule="exact"/>
        <w:rPr>
          <w:sz w:val="20"/>
          <w:szCs w:val="20"/>
          <w:color w:val="auto"/>
        </w:rPr>
      </w:pPr>
    </w:p>
    <w:p>
      <w:pPr>
        <w:ind w:right="3679" w:firstLine="525"/>
        <w:spacing w:after="0" w:line="290" w:lineRule="auto"/>
        <w:rPr>
          <w:sz w:val="20"/>
          <w:szCs w:val="20"/>
          <w:color w:val="auto"/>
        </w:rPr>
      </w:pPr>
      <w:r>
        <w:rPr>
          <w:rFonts w:ascii="Courier New" w:cs="Courier New" w:eastAsia="Courier New" w:hAnsi="Courier New"/>
          <w:sz w:val="15"/>
          <w:szCs w:val="15"/>
          <w:color w:val="auto"/>
        </w:rPr>
        <w:t>"ACQUISITION DOCUMENTS" - all agreements, documents and instruments executed and/or delivered in connection with any Acquisition, including the Scheduled Acquisition Documents.</w:t>
      </w:r>
    </w:p>
    <w:p>
      <w:pPr>
        <w:spacing w:after="0" w:line="57"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"ACQUISITION LOAN COMMITMENT" - with respect to a Lender, the commitment of such Lender to make Acquisition Loans to the Borrower in the amount set forth on SCHEDULE 1 hereto, as the same may be reduced from time to time or terminated in accordance with the terms hereof.</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"ACQUISITION LOAN COMMITMENT FEES" - as defined in SUBSECTION 2.8(b).</w:t>
      </w:r>
    </w:p>
    <w:p>
      <w:pPr>
        <w:spacing w:after="0" w:line="166"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"ACQUISITION LOAN COMMITMENT PERIOD" - the period from and including the Effective Date to the earlier to occur of (i) the day before the Conversion Date and (ii) the termination of the Acquisition Loan Commitments.</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"ACQUISITION LOAN PAYMENT DATE" - as defined in SUBSECTION 2.5(c).</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"ACQUISITION LOANS" - as defined in SUBSECTION 2.1(b).</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"ACQUISITION LOAN NOTES" - as defined in SUBSECTION 2.4(c).</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"AFFECTED LOANS" - as defined in SECTION 2.23.</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"AFFECTED TYPE" - as defined in SECTION 2.23.</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"AFFILIATE" - any Person that directly or indirectly controls, or is under common control with, or is controlled by, the Borrower. As used in this definition, "CONTROL" (including, with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PROVIDED THAT, in any event, any Person that owns directly or indirectly securities having 5% or more of the voting power for the election of directors or other governing body of a corporation or 5% or more of the partnership or other ownership interests of any other Person (other than as a limited partner of such other Person) will be deemed to control such corporation or other Person. Notwithstanding the foregoing, (a) no wholly-owned Restricted Subsidiary of the Borrower shall be an Affiliate and (b) neither the Agent, nor any Lender, shall be an Affiliate.</w:t>
      </w:r>
    </w:p>
    <w:p>
      <w:pPr>
        <w:spacing w:after="0" w:line="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"AGENT" - as defined in the preamble hereof.</w:t>
      </w:r>
    </w:p>
    <w:p>
      <w:pPr>
        <w:spacing w:after="0" w:line="166" w:lineRule="exact"/>
        <w:rPr>
          <w:sz w:val="20"/>
          <w:szCs w:val="20"/>
          <w:color w:val="auto"/>
        </w:rPr>
      </w:pPr>
    </w:p>
    <w:p>
      <w:pPr>
        <w:ind w:right="3239" w:firstLine="525"/>
        <w:spacing w:after="0" w:line="320" w:lineRule="auto"/>
        <w:rPr>
          <w:sz w:val="20"/>
          <w:szCs w:val="20"/>
          <w:color w:val="auto"/>
        </w:rPr>
      </w:pPr>
      <w:r>
        <w:rPr>
          <w:rFonts w:ascii="Courier New" w:cs="Courier New" w:eastAsia="Courier New" w:hAnsi="Courier New"/>
          <w:sz w:val="14"/>
          <w:szCs w:val="14"/>
          <w:color w:val="auto"/>
        </w:rPr>
        <w:t>"AGENT'S SPECIAL COUNSEL" - Bingham Dana LLP and such other counsel as the Agent may from time to time retain as special counsel in connection with the financing arrangements contemplated by or arising under the Loan Documents.</w:t>
      </w:r>
    </w:p>
    <w:p>
      <w:pPr>
        <w:spacing w:after="0" w:line="3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"AGREEMENT" - this Credit Agreement.</w:t>
      </w:r>
    </w:p>
    <w:p>
      <w:pPr>
        <w:sectPr>
          <w:pgSz w:w="11900" w:h="16838" w:orient="portrait"/>
          <w:cols w:equalWidth="0" w:num="1">
            <w:col w:w="10239"/>
          </w:cols>
          <w:pgMar w:left="220" w:top="26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12</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pacing w:after="0" w:line="140"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"ANCILLARY DOCUMENTS" - collectively, (i) the Seller Debt Documents and (ii) the Acquisition Documents.</w:t>
      </w:r>
    </w:p>
    <w:p>
      <w:pPr>
        <w:spacing w:after="0" w:line="17"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"APPLICABLE LENDING OFFICE" - with respect to each Lender, with respect to each type of Loan, the lending office as designated for such type of Loan below its name on the signature pages hereof or such other office of such Lender or of an affiliate of such Lender as such Lender may from time to time specify to the Agent and the Borrower as the office at which its Loans of such type are to be made and maintained.</w:t>
      </w:r>
    </w:p>
    <w:p>
      <w:pPr>
        <w:spacing w:after="0" w:line="8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"APPLICABLE MARGIN" - for any calendar quarter, the applicable percentage set forth in the table below opposite the Total Funded Debt Leverage Ratio as of the end of the Most Recent Reference Period prior to the commencement of such calendar quarter:</w:t>
      </w:r>
    </w:p>
    <w:p>
      <w:pPr>
        <w:spacing w:after="0" w:line="68"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2060" w:type="dxa"/>
            <w:vAlign w:val="bottom"/>
          </w:tcPr>
          <w:p>
            <w:pPr>
              <w:spacing w:after="0"/>
              <w:rPr>
                <w:sz w:val="21"/>
                <w:szCs w:val="21"/>
                <w:color w:val="auto"/>
              </w:rPr>
            </w:pPr>
          </w:p>
        </w:tc>
        <w:tc>
          <w:tcPr>
            <w:tcW w:w="2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APPLICABLE MARGINS</w:t>
            </w:r>
          </w:p>
        </w:tc>
        <w:tc>
          <w:tcPr>
            <w:tcW w:w="1840" w:type="dxa"/>
            <w:vAlign w:val="bottom"/>
          </w:tcPr>
          <w:p>
            <w:pPr>
              <w:spacing w:after="0"/>
              <w:rPr>
                <w:sz w:val="21"/>
                <w:szCs w:val="21"/>
                <w:color w:val="auto"/>
              </w:rPr>
            </w:pPr>
          </w:p>
        </w:tc>
      </w:tr>
      <w:tr>
        <w:trPr>
          <w:trHeight w:val="259"/>
        </w:trPr>
        <w:tc>
          <w:tcPr>
            <w:tcW w:w="20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Total Funded Debt</w:t>
            </w:r>
          </w:p>
        </w:tc>
        <w:tc>
          <w:tcPr>
            <w:tcW w:w="2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Applicable Margin</w:t>
            </w:r>
          </w:p>
        </w:tc>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Applicable Margin</w:t>
            </w:r>
          </w:p>
        </w:tc>
      </w:tr>
      <w:tr>
        <w:trPr>
          <w:trHeight w:val="168"/>
        </w:trPr>
        <w:tc>
          <w:tcPr>
            <w:tcW w:w="20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Leverage Ratio</w:t>
            </w:r>
          </w:p>
        </w:tc>
        <w:tc>
          <w:tcPr>
            <w:tcW w:w="2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for Base Rate Loans</w:t>
            </w:r>
          </w:p>
        </w:tc>
        <w:tc>
          <w:tcPr>
            <w:tcW w:w="1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for Eurodollar Loans</w:t>
            </w:r>
          </w:p>
        </w:tc>
      </w:tr>
      <w:tr>
        <w:trPr>
          <w:trHeight w:val="245"/>
        </w:trPr>
        <w:tc>
          <w:tcPr>
            <w:tcW w:w="20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w:t>
            </w:r>
          </w:p>
        </w:tc>
        <w:tc>
          <w:tcPr>
            <w:tcW w:w="2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20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Greater than or equal</w:t>
            </w:r>
          </w:p>
        </w:tc>
        <w:tc>
          <w:tcPr>
            <w:tcW w:w="22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0.750%</w:t>
            </w:r>
          </w:p>
        </w:tc>
        <w:tc>
          <w:tcPr>
            <w:tcW w:w="18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1.750%</w:t>
            </w:r>
          </w:p>
        </w:tc>
      </w:tr>
      <w:tr>
        <w:trPr>
          <w:trHeight w:val="245"/>
        </w:trPr>
        <w:tc>
          <w:tcPr>
            <w:tcW w:w="20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5"/>
              </w:rPr>
              <w:t>to 5.0:1.0</w:t>
            </w:r>
          </w:p>
        </w:tc>
        <w:tc>
          <w:tcPr>
            <w:tcW w:w="2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9"/>
        </w:trPr>
        <w:tc>
          <w:tcPr>
            <w:tcW w:w="20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Less than 5.0:1.0 but</w:t>
            </w:r>
          </w:p>
        </w:tc>
        <w:tc>
          <w:tcPr>
            <w:tcW w:w="22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0.500%</w:t>
            </w:r>
          </w:p>
        </w:tc>
        <w:tc>
          <w:tcPr>
            <w:tcW w:w="18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1.500%</w:t>
            </w:r>
          </w:p>
        </w:tc>
      </w:tr>
      <w:tr>
        <w:trPr>
          <w:trHeight w:val="168"/>
        </w:trPr>
        <w:tc>
          <w:tcPr>
            <w:tcW w:w="20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greater than or equal</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5"/>
        </w:trPr>
        <w:tc>
          <w:tcPr>
            <w:tcW w:w="20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5"/>
              </w:rPr>
              <w:t>to 4.0:1.0</w:t>
            </w:r>
          </w:p>
        </w:tc>
        <w:tc>
          <w:tcPr>
            <w:tcW w:w="2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9"/>
        </w:trPr>
        <w:tc>
          <w:tcPr>
            <w:tcW w:w="20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Less than 4.0:1.0 but</w:t>
            </w:r>
          </w:p>
        </w:tc>
        <w:tc>
          <w:tcPr>
            <w:tcW w:w="22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0.375%</w:t>
            </w:r>
          </w:p>
        </w:tc>
        <w:tc>
          <w:tcPr>
            <w:tcW w:w="18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1.375%</w:t>
            </w:r>
          </w:p>
        </w:tc>
      </w:tr>
      <w:tr>
        <w:trPr>
          <w:trHeight w:val="168"/>
        </w:trPr>
        <w:tc>
          <w:tcPr>
            <w:tcW w:w="20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greater than or equal</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5"/>
        </w:trPr>
        <w:tc>
          <w:tcPr>
            <w:tcW w:w="20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5"/>
              </w:rPr>
              <w:t>to 3.5:1.0</w:t>
            </w:r>
          </w:p>
        </w:tc>
        <w:tc>
          <w:tcPr>
            <w:tcW w:w="2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59"/>
        </w:trPr>
        <w:tc>
          <w:tcPr>
            <w:tcW w:w="20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Less than 3.5:1.0 but</w:t>
            </w:r>
          </w:p>
        </w:tc>
        <w:tc>
          <w:tcPr>
            <w:tcW w:w="22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0.250%</w:t>
            </w:r>
          </w:p>
        </w:tc>
        <w:tc>
          <w:tcPr>
            <w:tcW w:w="18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1.250%</w:t>
            </w:r>
          </w:p>
        </w:tc>
      </w:tr>
      <w:tr>
        <w:trPr>
          <w:trHeight w:val="168"/>
        </w:trPr>
        <w:tc>
          <w:tcPr>
            <w:tcW w:w="20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greater than or equal</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5"/>
        </w:trPr>
        <w:tc>
          <w:tcPr>
            <w:tcW w:w="20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to 3.0 to 1.0</w:t>
            </w:r>
          </w:p>
        </w:tc>
        <w:tc>
          <w:tcPr>
            <w:tcW w:w="2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336"/>
        </w:trPr>
        <w:tc>
          <w:tcPr>
            <w:tcW w:w="20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Less than 3.0:1.0</w:t>
            </w:r>
          </w:p>
        </w:tc>
        <w:tc>
          <w:tcPr>
            <w:tcW w:w="22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0.000%</w:t>
            </w:r>
          </w:p>
        </w:tc>
        <w:tc>
          <w:tcPr>
            <w:tcW w:w="18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1.000%</w:t>
            </w:r>
          </w:p>
        </w:tc>
      </w:tr>
    </w:tbl>
    <w:p>
      <w:pPr>
        <w:spacing w:after="0" w:line="9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Notwithstanding the foregoing, in the event that the Lenders shall not have received the most recent financial statements and certificates required to be delivered to them pursuant to ARTICLE VII prior to the first day of such calendar quarter, the Applicable Margins for such calendar quarter shall (until all of such financial statements and certificates are delivered to the Lenders) be the highest of the Applicable Margins specified above.</w:t>
      </w:r>
    </w:p>
    <w:p>
      <w:pPr>
        <w:spacing w:after="0" w:line="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"ARRANGER" - as defined in the preamble hereof.</w:t>
      </w:r>
    </w:p>
    <w:p>
      <w:pPr>
        <w:sectPr>
          <w:pgSz w:w="11900" w:h="16838" w:orient="portrait"/>
          <w:cols w:equalWidth="0" w:num="1">
            <w:col w:w="10239"/>
          </w:cols>
          <w:pgMar w:left="220" w:top="26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13</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pacing w:after="0" w:line="140"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"ASSET" - any asset, property, interest (including equity interests) or effect, real or personal, tangible or intangible, wherever situated.</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"ASSIGNING LENDER" - as defined in SUBSECTION 13.11(b).</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"ASSIGNMENT" - as defined in SUBSECTION 13.11(b).</w:t>
      </w:r>
    </w:p>
    <w:p>
      <w:pPr>
        <w:spacing w:after="0" w:line="166"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"ASSIGNMENT AND ACCEPTANCE AGREEMENT" - as defined in SUBSECTION 13.11(b).</w:t>
      </w:r>
    </w:p>
    <w:p>
      <w:pPr>
        <w:spacing w:after="0" w:line="17"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"AVAILABLE ACQUISITION LOAN COMMITMENTS" - at any time, an amount equal to the excess, if any, of (i) the aggregate Acquisition Loan Commitments at such time over (ii) the aggregate outstanding Acquisition Loans at such time.</w:t>
      </w:r>
    </w:p>
    <w:p>
      <w:pPr>
        <w:spacing w:after="0" w:line="57"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"AVAILABLE REVOLVING CREDIT COMMITMENTS" - at any time, an amount equal to the excess, if any, of (i) the aggregate Revolving Credit Commitments at such time over (ii) the Revolving Credit Outstandings at such time.</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"BALANCE SHEET DATE" - December 31, 1997.</w:t>
      </w:r>
    </w:p>
    <w:p>
      <w:pPr>
        <w:spacing w:after="0" w:line="166"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"BANKBOSTON" - BankBoston, N.A., a national banking association organized under the laws of the United States of America.</w:t>
      </w:r>
    </w:p>
    <w:p>
      <w:pPr>
        <w:spacing w:after="0" w:line="17"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"BASE RATE" - a fluctuating rate of interest per annum equal to the greater of (i) the rate established by the Agent from time to time at its office in Boston as its "base rate" and (ii) the Federal Funds Rate plus 1/2%; in each case, including any applicable adjustments for reserves or FDIC requirements. The Base Rate is not necessarily intended to be the lowest rate of interest determined by the Agent in connection with extensions of credit.</w:t>
      </w:r>
    </w:p>
    <w:p>
      <w:pPr>
        <w:spacing w:after="0" w:line="81"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"BASE RATE LOANS" - Loans which bear interest at a rate based upon the Base Rate.</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"BORROWER" - as defined in the preamble hereof.</w:t>
      </w:r>
    </w:p>
    <w:p>
      <w:pPr>
        <w:spacing w:after="0" w:line="166"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"BORROWER AFFILIATED COMPANIES" - collectively, the Borrower and each of its Subsidiaries.</w:t>
      </w:r>
    </w:p>
    <w:p>
      <w:pPr>
        <w:spacing w:after="0" w:line="17"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"BORROWER SECURITY AGREEMENT" - the Amended and Restated Borrower Security Agreement, dated as of the Effective Date, by and between the Borrower and the Collateral Trustee.</w:t>
      </w:r>
    </w:p>
    <w:p>
      <w:pPr>
        <w:spacing w:after="0" w:line="57"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"BORROWER STOCK PLEDGE AGREEMENT" the Amended and Restated Borrower Stock Pledge Agreement, dated as of the Effective Date, by and between the Borrower and the Collateral Trustee.</w:t>
      </w:r>
    </w:p>
    <w:p>
      <w:pPr>
        <w:sectPr>
          <w:pgSz w:w="11900" w:h="16838" w:orient="portrait"/>
          <w:cols w:equalWidth="0" w:num="1">
            <w:col w:w="10239"/>
          </w:cols>
          <w:pgMar w:left="220" w:top="26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"BORROWER SUBSIDIARY SECURITY AGREEMENT" - the Amended and Restated Borrower Subsidiary Security Agreement, dated as of the Effective Date, by and among the Restricted Subsidiaries and the Collateral Trustee.</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"BORROWING NOTICE" - as defined in SECTION 2.2.</w:t>
      </w:r>
    </w:p>
    <w:p>
      <w:pPr>
        <w:spacing w:after="0" w:line="166"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"BUSINESS DAY" - any day other than Saturday, Sunday or any other day on which commercial banks in Boston are authorized or required to close.</w:t>
      </w:r>
    </w:p>
    <w:p>
      <w:pPr>
        <w:spacing w:after="0" w:line="17" w:lineRule="exact"/>
        <w:rPr>
          <w:sz w:val="20"/>
          <w:szCs w:val="20"/>
          <w:color w:val="auto"/>
        </w:rPr>
      </w:pPr>
    </w:p>
    <w:p>
      <w:pPr>
        <w:jc w:val="both"/>
        <w:ind w:right="3319" w:firstLine="525"/>
        <w:spacing w:after="0" w:line="298" w:lineRule="auto"/>
        <w:rPr>
          <w:sz w:val="20"/>
          <w:szCs w:val="20"/>
          <w:color w:val="auto"/>
        </w:rPr>
      </w:pPr>
      <w:r>
        <w:rPr>
          <w:rFonts w:ascii="Courier New" w:cs="Courier New" w:eastAsia="Courier New" w:hAnsi="Courier New"/>
          <w:sz w:val="14"/>
          <w:szCs w:val="14"/>
          <w:color w:val="auto"/>
        </w:rPr>
        <w:t>"CAPITAL EXPENDITURES" - as to any Person for any period, the sum of all amounts which would, in accordance with GAAP consistently applied, be included as additions to property, plant and equipment and other capital expenditures on a consolidated statement of cash flows for such Person for such period.</w:t>
      </w:r>
    </w:p>
    <w:p>
      <w:pPr>
        <w:spacing w:after="0" w:line="53" w:lineRule="exact"/>
        <w:rPr>
          <w:sz w:val="20"/>
          <w:szCs w:val="20"/>
          <w:color w:val="auto"/>
        </w:rPr>
      </w:pPr>
    </w:p>
    <w:p>
      <w:pPr>
        <w:ind w:right="3319" w:firstLine="525"/>
        <w:spacing w:after="0" w:line="298" w:lineRule="auto"/>
        <w:rPr>
          <w:sz w:val="20"/>
          <w:szCs w:val="20"/>
          <w:color w:val="auto"/>
        </w:rPr>
      </w:pPr>
      <w:r>
        <w:rPr>
          <w:rFonts w:ascii="Courier New" w:cs="Courier New" w:eastAsia="Courier New" w:hAnsi="Courier New"/>
          <w:sz w:val="14"/>
          <w:szCs w:val="14"/>
          <w:color w:val="auto"/>
        </w:rPr>
        <w:t>"CAPITAL STOCK" - any and all shares, interests, participations or other equivalents (however designated) of capital stock of a corporation, any and all similar ownership interests in any Person which is not a corporation, and any and all warrants, options or other rights to acquire any of the foregoing.</w:t>
      </w:r>
    </w:p>
    <w:p>
      <w:pPr>
        <w:spacing w:after="0" w:line="53" w:lineRule="exact"/>
        <w:rPr>
          <w:sz w:val="20"/>
          <w:szCs w:val="20"/>
          <w:color w:val="auto"/>
        </w:rPr>
      </w:pPr>
    </w:p>
    <w:p>
      <w:pPr>
        <w:ind w:right="3319" w:firstLine="525"/>
        <w:spacing w:after="0" w:line="381" w:lineRule="auto"/>
        <w:rPr>
          <w:sz w:val="20"/>
          <w:szCs w:val="20"/>
          <w:color w:val="auto"/>
        </w:rPr>
      </w:pPr>
      <w:r>
        <w:rPr>
          <w:rFonts w:ascii="Courier New" w:cs="Courier New" w:eastAsia="Courier New" w:hAnsi="Courier New"/>
          <w:sz w:val="14"/>
          <w:szCs w:val="14"/>
          <w:color w:val="auto"/>
        </w:rPr>
        <w:t>"CAPITALIZED LEASE" - any lease or similar instrument the obligations to pay rent or other amounts under which constitute Capitalized Lease Obligations.</w:t>
      </w:r>
    </w:p>
    <w:p>
      <w:pPr>
        <w:spacing w:after="0" w:line="1"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"CAPITALIZED LEASE OBLIGATIONS" -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in accordance with GAAP.</w:t>
      </w:r>
    </w:p>
    <w:p>
      <w:pPr>
        <w:spacing w:after="0" w:line="82"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"CASH" - as to any Person, such Person's cash and cash equivalents, as defined in accordance with GAAP.</w:t>
      </w:r>
    </w:p>
    <w:p>
      <w:pPr>
        <w:spacing w:after="0" w:line="17" w:lineRule="exact"/>
        <w:rPr>
          <w:sz w:val="20"/>
          <w:szCs w:val="20"/>
          <w:color w:val="auto"/>
        </w:rPr>
      </w:pPr>
    </w:p>
    <w:p>
      <w:pPr>
        <w:ind w:right="3679" w:firstLine="525"/>
        <w:spacing w:after="0" w:line="344" w:lineRule="auto"/>
        <w:rPr>
          <w:sz w:val="20"/>
          <w:szCs w:val="20"/>
          <w:color w:val="auto"/>
        </w:rPr>
      </w:pPr>
      <w:r>
        <w:rPr>
          <w:rFonts w:ascii="Courier New" w:cs="Courier New" w:eastAsia="Courier New" w:hAnsi="Courier New"/>
          <w:sz w:val="15"/>
          <w:szCs w:val="15"/>
          <w:color w:val="auto"/>
        </w:rPr>
        <w:t>"CERCLA" - the Comprehensive Environmental Response, Compensation and Liability Act of 1980, as amended.</w:t>
      </w:r>
    </w:p>
    <w:p>
      <w:pPr>
        <w:spacing w:after="0" w:line="17"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"CHANGE IN CONTROL" - shall be deemed to have occurred if: (i) any Person (other than a Permitted Holder) or any group (within the meaning of Section 13(d)(3) of the Exchange Act) of Persons (other than any Permitted Holders) shall have acquired beneficial ownership (within the meaning of Rule 13d-3 of the Securities and Exchange Commission under the Exchange Act), directly or indirectly, in one or more transactions, of Capital Stock of the Borrower (including other Capital Stock convertible into such Capital Stock) representing 35% or more of the combined voting power of all Capital Stock of the Borrower (on a fully-diluted basis) entitled to vote in the election of directors, other than Capital Stock having such power only by reason of the happening of a</w:t>
      </w:r>
    </w:p>
    <w:p>
      <w:pPr>
        <w:sectPr>
          <w:pgSz w:w="11900" w:h="16838" w:orient="portrait"/>
          <w:cols w:equalWidth="0" w:num="1">
            <w:col w:w="10239"/>
          </w:cols>
          <w:pgMar w:left="220" w:top="26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contingency, or (ii) a change in the composition of the board of directors of the Borrower shall have occurred such that a majority of the members of the board of directors are not Continuing Directors.</w:t>
      </w:r>
    </w:p>
    <w:p>
      <w:pPr>
        <w:spacing w:after="0" w:line="57"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"CHIEF FINANCIAL OFFICER" - Mr. Samuel D. Bush or such other individual as may perform the duties of "chief financial officer" (as commonly understood) of the Borrower.</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"CHRISTIAN" - Edward K. Christian.</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"CHRISTIAN NOTE" - the promissory note dated December 10, 1992, in the original principal amount of $690,700, issued by Christian to the Borrower, as amended by the First Amendment to Promissory Note, dated as of December 6, 1995, between the Borrower and Christian.</w:t>
      </w:r>
    </w:p>
    <w:p>
      <w:pPr>
        <w:spacing w:after="0" w:line="68"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"CLASS A COMMON STOCK" - the Class A Common Stock of the Borrower, par value $.01 per share.</w:t>
      </w:r>
    </w:p>
    <w:p>
      <w:pPr>
        <w:spacing w:after="0" w:line="17"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"CLASS B COMMON STOCK" - the Class B Common Stock of the Borrower, par value $.01 per share.</w:t>
      </w:r>
    </w:p>
    <w:p>
      <w:pPr>
        <w:spacing w:after="0" w:line="1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"CLOSING COSTS" - for any period, all fees and costs (including legal, accounting, appraisal, environmental site assessments and travel fees and costs) incurred by the Borrower or any of its Restricted Subsidiaries in connection with the financing contemplated by this Agreement or any Permitted Acquisition, in each case to the extent expensed during such period.</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"CO-AGENTS" - as defined in the preamble hereof.</w:t>
      </w:r>
    </w:p>
    <w:p>
      <w:pPr>
        <w:spacing w:after="0" w:line="166"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"CODE" - the Internal Revenue Code of 1986, as it may be amended from time to time.</w:t>
      </w:r>
    </w:p>
    <w:p>
      <w:pPr>
        <w:spacing w:after="0" w:line="17"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"COLLATERAL" - collectively, all of the agreements, instruments, contracts, assets, accounts, moneys and all of the income, proceeds and products of any thereof, under or in respect of which the Agent or the Collateral Trustee, for the benefit of the Lenders, shall have, at the time of reference to the term "Collateral", any rights or interests as security for the payment or performance of all or any part of the Obligations and shall, in any event, include the Collateral (as defined in the respective Security Documents).</w:t>
      </w:r>
    </w:p>
    <w:p>
      <w:pPr>
        <w:spacing w:after="0" w:line="69" w:lineRule="exact"/>
        <w:rPr>
          <w:sz w:val="20"/>
          <w:szCs w:val="20"/>
          <w:color w:val="auto"/>
        </w:rPr>
      </w:pPr>
    </w:p>
    <w:p>
      <w:pPr>
        <w:jc w:val="both"/>
        <w:ind w:right="3319" w:firstLine="525"/>
        <w:spacing w:after="0" w:line="273" w:lineRule="auto"/>
        <w:rPr>
          <w:sz w:val="20"/>
          <w:szCs w:val="20"/>
          <w:color w:val="auto"/>
        </w:rPr>
      </w:pPr>
      <w:r>
        <w:rPr>
          <w:rFonts w:ascii="Courier New" w:cs="Courier New" w:eastAsia="Courier New" w:hAnsi="Courier New"/>
          <w:sz w:val="15"/>
          <w:szCs w:val="15"/>
          <w:color w:val="auto"/>
        </w:rPr>
        <w:t>"COLLATERAL TRUST AGREEMENT" - the Amended and Restated Collateral Trust Agreement, dated as of the Effective Date, by and among the Collateral Trustee, the Lenders, the Issuing Bank and the Agent, and countersigned by the Principal Companies, substantially in form attached hereto as EXHIBIT E.</w:t>
      </w:r>
    </w:p>
    <w:p>
      <w:pPr>
        <w:spacing w:after="0" w:line="68"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"COLLATERAL TRUSTEE" - BankBoston, or any other Person succeeding to the duties of Collateral Trustee under the Collateral Trust Agreement.</w:t>
      </w:r>
    </w:p>
    <w:p>
      <w:pPr>
        <w:sectPr>
          <w:pgSz w:w="11900" w:h="16838" w:orient="portrait"/>
          <w:cols w:equalWidth="0" w:num="1">
            <w:col w:w="10239"/>
          </w:cols>
          <w:pgMar w:left="220" w:top="26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16</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pacing w:after="0" w:line="140"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"COMMITMENT FEES" - collectively, the Acquisition Loan Commitment Fees and the Revolving Credit Commitment Fees.</w:t>
      </w:r>
    </w:p>
    <w:p>
      <w:pPr>
        <w:spacing w:after="0" w:line="17"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"COMMITMENTS" - as to any Lender, collectively, such Lender's (i) Revolving Credit Commitment, (ii) Term Loan Commitment, (iii) Acquisition Loan Commitment and (iv) Incremental Facility Commitment of each Series of Incremental Facility Loans.</w:t>
      </w:r>
    </w:p>
    <w:p>
      <w:pPr>
        <w:spacing w:after="0" w:line="68"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"COMMON STOCK" - collectively, (i) the Class A Common Stock, (ii) the Class B Common Stock and (iii) any other Permitted Capital Stock having economic attributes substantially equivalent to the Class A Common Stock and the Class B Common Stock.</w:t>
      </w:r>
    </w:p>
    <w:p>
      <w:pPr>
        <w:spacing w:after="0" w:line="68"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"COMMUNICATIONS ACT" - the Federal Communications Act of 1934, as amended, and the rules and regulations of the FCC thereunder, as now or hereafter in effect.</w:t>
      </w:r>
    </w:p>
    <w:p>
      <w:pPr>
        <w:spacing w:after="0" w:line="57" w:lineRule="exact"/>
        <w:rPr>
          <w:sz w:val="20"/>
          <w:szCs w:val="20"/>
          <w:color w:val="auto"/>
        </w:rPr>
      </w:pPr>
    </w:p>
    <w:p>
      <w:pPr>
        <w:ind w:right="3579" w:firstLine="525"/>
        <w:spacing w:after="0" w:line="264" w:lineRule="auto"/>
        <w:rPr>
          <w:sz w:val="20"/>
          <w:szCs w:val="20"/>
          <w:color w:val="auto"/>
        </w:rPr>
      </w:pPr>
      <w:r>
        <w:rPr>
          <w:rFonts w:ascii="Courier New" w:cs="Courier New" w:eastAsia="Courier New" w:hAnsi="Courier New"/>
          <w:sz w:val="15"/>
          <w:szCs w:val="15"/>
          <w:color w:val="auto"/>
        </w:rPr>
        <w:t>"COMMUNICATIONS SYSTEM" - all of the properties and operating rights constituting a complete, fully integrated system for transmitting radio or television signals from a transmitter licensed by the FCC, together with any subsystem which is ancillary to such system, and including any radio or television network.</w:t>
      </w:r>
    </w:p>
    <w:p>
      <w:pPr>
        <w:spacing w:after="0" w:line="75"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"CONSOLIDATED OR CONSOLIDATED" - as to any term used in this Agreement, the relevant figures for any Person and its Subsidiaries on a consolidated basis determined in accordance with GAAP after eliminating all intercompany items and minority interests.</w:t>
      </w:r>
    </w:p>
    <w:p>
      <w:pPr>
        <w:spacing w:after="0" w:line="68" w:lineRule="exact"/>
        <w:rPr>
          <w:sz w:val="20"/>
          <w:szCs w:val="20"/>
          <w:color w:val="auto"/>
        </w:rPr>
      </w:pPr>
    </w:p>
    <w:p>
      <w:pPr>
        <w:ind w:right="3319" w:firstLine="525"/>
        <w:spacing w:after="0" w:line="265" w:lineRule="auto"/>
        <w:rPr>
          <w:sz w:val="20"/>
          <w:szCs w:val="20"/>
          <w:color w:val="auto"/>
        </w:rPr>
      </w:pPr>
      <w:r>
        <w:rPr>
          <w:rFonts w:ascii="Courier New" w:cs="Courier New" w:eastAsia="Courier New" w:hAnsi="Courier New"/>
          <w:sz w:val="14"/>
          <w:szCs w:val="14"/>
          <w:color w:val="auto"/>
        </w:rPr>
        <w:t>"CONSOLIDATED ADJUSTED NET INCOME" - for any period, net earnings (or loss) of the Borrower and its Restricted Subsidiaries determined on a consolidated basis in accordance with GAAP, but excluding: (i) any net gain or loss arising from the sale of capital assets; (ii) any gain arising from any write-up of assets; (iii) net earnings of any Person (other than a wholly-owned Restricted Subsidiary of the Borrower) in which the Borrower or any of its Subsidiaries has an ownership interest (including any such net earnings which have actually been received by the Borrower or wholly-owned Restricted Subsidiary in the form of cash distributions); (iv) any extraordinary earnings or extraordinary losses, as such terms are interpreted under GAAP; (v) any interest or other non-operating income of the Borrower or any of its Subsidiaries; (vi) the effect of all barter transactions for such period; and (vii) proceeds of any Interest Rate Contracts.</w:t>
      </w:r>
    </w:p>
    <w:p>
      <w:pPr>
        <w:spacing w:after="0" w:line="253"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"CONSOLIDATED CURRENT ASSETS"- as of any date, all assets (other than Cash) of the Borrower and its Restricted Subsidiaries on a consolidated basis that, in accordance with GAAP, are properly classified as current assets as of such date.</w:t>
      </w:r>
    </w:p>
    <w:p>
      <w:pPr>
        <w:sectPr>
          <w:pgSz w:w="11900" w:h="16838" w:orient="portrait"/>
          <w:cols w:equalWidth="0" w:num="1">
            <w:col w:w="10239"/>
          </w:cols>
          <w:pgMar w:left="220" w:top="26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17</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pacing w:after="0" w:line="140"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"CONSOLIDATED CURRENT LIABILITIES" - as of any date, all liabilities of the Borrower and its Restricted Subsidiaries on a consolidated basis properly classified as current liabilities in accordance with GAAP (other than the current portion of long-term Indebtedness for Borrowed Money, and calculated without regard to (i) any repayment of Revolving Credit Loans with Net Proceeds and (ii) any borrowing of Revolving Credit Loans the proceeds of which are used to finance any Permitted Acquisition).</w:t>
      </w:r>
    </w:p>
    <w:p>
      <w:pPr>
        <w:spacing w:after="0" w:line="82" w:lineRule="exact"/>
        <w:rPr>
          <w:sz w:val="20"/>
          <w:szCs w:val="20"/>
          <w:color w:val="auto"/>
        </w:rPr>
      </w:pPr>
    </w:p>
    <w:p>
      <w:pPr>
        <w:ind w:right="3319" w:firstLine="525"/>
        <w:spacing w:after="0" w:line="261" w:lineRule="auto"/>
        <w:rPr>
          <w:sz w:val="20"/>
          <w:szCs w:val="20"/>
          <w:color w:val="auto"/>
        </w:rPr>
      </w:pPr>
      <w:r>
        <w:rPr>
          <w:rFonts w:ascii="Courier New" w:cs="Courier New" w:eastAsia="Courier New" w:hAnsi="Courier New"/>
          <w:sz w:val="14"/>
          <w:szCs w:val="14"/>
          <w:color w:val="auto"/>
        </w:rPr>
        <w:t>"CONSOLIDATED EBITDA" - for any period (subject to any adjustments required by SECTION 10.4 and determined on a consolidated basis in accordance with GAAP), Consolidated Adjusted Net Income for such period PLUS (A) (to the extent, but only to the extent, the following amounts have reduced Consolidated Adjusted Net Income for such period) the sum of (without duplication) (i) Consolidated Total Interest Expense of the Borrower and its Restricted Subsidiaries for such period, (ii) the aggregate amount of all federal, state and local income taxes accrued by the Borrower and its Restricted Subsidiaries for such period, (iii) the aggregate amount of depreciation and amortization expense (including programming amortization expense) of the Borrower and its Restricted Subsidiaries for such period, (iv) the aggregate amount of Closing Costs, if any, incurred by the Borrower and its Restricted Subsidiaries during such period, to the extent that such costs are non-recurring, and (v) the aggregate amount of any non-cash charges of the Borrower during such period relating to the issuance or vesting of stock options granted by the Borrower to its employees or directors MINUS (B) the sum of (i) the aggregate amount of all cash television programming payments made by the Borrower and its Restricted Subsidiaries during such period and (ii) the aggregate amount of any cash payments made by the Borrower during such period relating to any non-cash charges described in CLAUSE (A)(V) of this definition.</w:t>
      </w:r>
    </w:p>
    <w:p>
      <w:pPr>
        <w:spacing w:after="0" w:line="25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"CONSOLIDATED TOTAL FUNDED DEBT" - at any time, on a consolidated basis, all Indebtedness for Borrowed Money of the Borrower and its Restricted Subsidiaries at such time, determined in accordance with GAAP. The aggregate amount of Consolidated Total Funded Debt at any time shall include all accrued interest which has become due and payable but has not been paid (whether or not capitalized) and the accreted amount of any Subordinated Debt issued with original issue discount.</w:t>
      </w:r>
    </w:p>
    <w:p>
      <w:pPr>
        <w:spacing w:after="0" w:line="82"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"CONSOLIDATED TOTAL INTEREST EXPENSE" - for any period (subject to any adjustments required by SECTION 10.4), without duplication, the sum of (i) the interest expense of the Borrower and its Restricted Subsidiaries for such period, (ii) the interest component of Capitalized Lease Obligations of the Borrower and its Restricted Subsidiaries for such period, and (iii) all Commitment Fees, Letter of Credit Fees and similar fees payable by the Borrower and its Restricted Subsidiaries during such period in respect of Consolidated Total Funded Debt; in each case determined on a consolidated basis in accordance with GAAP.</w:t>
      </w:r>
    </w:p>
    <w:p>
      <w:pPr>
        <w:sectPr>
          <w:pgSz w:w="11900" w:h="16838" w:orient="portrait"/>
          <w:cols w:equalWidth="0" w:num="1">
            <w:col w:w="10239"/>
          </w:cols>
          <w:pgMar w:left="220" w:top="26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18</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pacing w:after="0" w:line="140" w:lineRule="exact"/>
        <w:rPr>
          <w:sz w:val="20"/>
          <w:szCs w:val="20"/>
          <w:color w:val="auto"/>
        </w:rPr>
      </w:pPr>
    </w:p>
    <w:p>
      <w:pPr>
        <w:ind w:right="3579" w:firstLine="525"/>
        <w:spacing w:after="0" w:line="290" w:lineRule="auto"/>
        <w:rPr>
          <w:sz w:val="20"/>
          <w:szCs w:val="20"/>
          <w:color w:val="auto"/>
        </w:rPr>
      </w:pPr>
      <w:r>
        <w:rPr>
          <w:rFonts w:ascii="Courier New" w:cs="Courier New" w:eastAsia="Courier New" w:hAnsi="Courier New"/>
          <w:sz w:val="15"/>
          <w:szCs w:val="15"/>
          <w:color w:val="auto"/>
        </w:rPr>
        <w:t>"CONSOLIDATED WORKING CAPITAL" - as of any date, the excess of Consolidated Current Assets over Consolidated Current Liabilities as of such date.</w:t>
      </w:r>
    </w:p>
    <w:p>
      <w:pPr>
        <w:spacing w:after="0" w:line="57"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"CONTINUING DIRECTORS" - as of any date of determination, any member of the Board of Directors of the Borrower who (i) was a member of such Board of Directors on the Effective Date or (ii) was nominated for election or elected to such Board of Directors either with the affirmative vote of a majority of the directors who were either members of such Board of Directors on the Effective Date or whose nomination or election was previously so approved.</w:t>
      </w:r>
    </w:p>
    <w:p>
      <w:pPr>
        <w:spacing w:after="0" w:line="81"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"CONTRACTUAL OBLIGATIONS" - as to any Person, any provision of any note, debenture or security issued by such Person or of any agreement, indenture, mortgage, instrument or other undertaking to which such Person is a party or by which it or any of its property is bound.</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"CONVERSION DATE" - December 30, 2000.</w:t>
      </w:r>
    </w:p>
    <w:p>
      <w:pPr>
        <w:spacing w:after="0" w:line="166"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"COPYRIGHT" - collectively, all of the following, to the extent that any Principal Company now or hereafter has any right, title or interest therein: (i) all copyright rights in any work subject to the copyright laws of the United States or any other country, whether as author, assignee, licensee, transferee or otherwise, and (ii) all registrations and applications for registration of any such copyright in the United States or any other country, as well as all registrations, recordings, supplemental registrations and pending applications for registration in the United States Copyright Office or the copyright office of any other country.</w:t>
      </w:r>
    </w:p>
    <w:p>
      <w:pPr>
        <w:spacing w:after="0" w:line="89"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"COPYRIGHT SECURITY AGREEMENTS" - collectively, the Memoranda of Grant of Security Interest in Copyrights from time to time entered into by and between the Collateral Trustee and one or more of the Principal Companies with respect to Material Federal Copyrights.</w:t>
      </w:r>
    </w:p>
    <w:p>
      <w:pPr>
        <w:spacing w:after="0" w:line="68"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"CREDIT EXTENSIONS" - collectively, (i) any Loan and (ii) any Letter of Credit.</w:t>
      </w:r>
    </w:p>
    <w:p>
      <w:pPr>
        <w:spacing w:after="0" w:line="17"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"DEFAULT" - an event which, with notice or lapse of time, or both, would constitute an Event of Default.</w:t>
      </w:r>
    </w:p>
    <w:p>
      <w:pPr>
        <w:spacing w:after="0" w:line="17"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"DEFAULT RATE" - with respect to any amounts payable hereunder or under any of the other Loan Documents, a rate per annum equal to 2% above the rate of interest otherwise applicable to such amounts.</w:t>
      </w:r>
    </w:p>
    <w:p>
      <w:pPr>
        <w:spacing w:after="0" w:line="57" w:lineRule="exact"/>
        <w:rPr>
          <w:sz w:val="20"/>
          <w:szCs w:val="20"/>
          <w:color w:val="auto"/>
        </w:rPr>
      </w:pPr>
    </w:p>
    <w:p>
      <w:pPr>
        <w:ind w:right="3239" w:firstLine="525"/>
        <w:spacing w:after="0" w:line="287" w:lineRule="auto"/>
        <w:rPr>
          <w:sz w:val="20"/>
          <w:szCs w:val="20"/>
          <w:color w:val="auto"/>
        </w:rPr>
      </w:pPr>
      <w:r>
        <w:rPr>
          <w:rFonts w:ascii="Courier New" w:cs="Courier New" w:eastAsia="Courier New" w:hAnsi="Courier New"/>
          <w:sz w:val="14"/>
          <w:szCs w:val="14"/>
          <w:color w:val="auto"/>
        </w:rPr>
        <w:t>"DISTRIBUTION" - as to any Person, any direct or indirect: (i) declaration or payment of any dividend on or in respect of any Capital Stock of such Person (except, in the case of the Borrower, a dividend payable solely in shares of Permitted Capital Stock); (ii) redemption, purchase or other retirement or acquisition of any Capital Stock of such Person, through a Subsidiary of such</w:t>
      </w:r>
    </w:p>
    <w:p>
      <w:pPr>
        <w:sectPr>
          <w:pgSz w:w="11900" w:h="16838" w:orient="portrait"/>
          <w:cols w:equalWidth="0" w:num="1">
            <w:col w:w="10239"/>
          </w:cols>
          <w:pgMar w:left="220" w:top="26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Person or otherwise; or (iii) return of capital by such Person to its shareholders or other equityholders as such; or (iv) other distribution on or in respect of any Capital Stock of such Person (except, in the case of the Borrower, any distribution made by the Borrower solely in shares of Permitted Capital Stock in connection with any stock split or reverse stock split).</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"DOLLARS" and "$" - lawful money of the United States of America.</w:t>
      </w:r>
    </w:p>
    <w:p>
      <w:pPr>
        <w:spacing w:after="0" w:line="166"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"DRAWDOWN DATE" - the date on which any Credit Extension is made or is to be made.</w:t>
      </w:r>
    </w:p>
    <w:p>
      <w:pPr>
        <w:spacing w:after="0" w:line="17" w:lineRule="exact"/>
        <w:rPr>
          <w:sz w:val="20"/>
          <w:szCs w:val="20"/>
          <w:color w:val="auto"/>
        </w:rPr>
      </w:pPr>
    </w:p>
    <w:p>
      <w:pPr>
        <w:ind w:right="4019" w:firstLine="525"/>
        <w:spacing w:after="0" w:line="290" w:lineRule="auto"/>
        <w:rPr>
          <w:sz w:val="20"/>
          <w:szCs w:val="20"/>
          <w:color w:val="auto"/>
        </w:rPr>
      </w:pPr>
      <w:r>
        <w:rPr>
          <w:rFonts w:ascii="Courier New" w:cs="Courier New" w:eastAsia="Courier New" w:hAnsi="Courier New"/>
          <w:sz w:val="15"/>
          <w:szCs w:val="15"/>
          <w:color w:val="auto"/>
        </w:rPr>
        <w:t>"EFFECTIVE DATE" - the date on which each of the conditions to effectiveness set forth in SECTION 5.1 hereof shall have been waived or satisfied and this Agreement becomes effective.</w:t>
      </w:r>
    </w:p>
    <w:p>
      <w:pPr>
        <w:spacing w:after="0" w:line="57" w:lineRule="exact"/>
        <w:rPr>
          <w:sz w:val="20"/>
          <w:szCs w:val="20"/>
          <w:color w:val="auto"/>
        </w:rPr>
      </w:pPr>
    </w:p>
    <w:p>
      <w:pPr>
        <w:ind w:right="3839" w:firstLine="525"/>
        <w:spacing w:after="0" w:line="290" w:lineRule="auto"/>
        <w:rPr>
          <w:sz w:val="20"/>
          <w:szCs w:val="20"/>
          <w:color w:val="auto"/>
        </w:rPr>
      </w:pPr>
      <w:r>
        <w:rPr>
          <w:rFonts w:ascii="Courier New" w:cs="Courier New" w:eastAsia="Courier New" w:hAnsi="Courier New"/>
          <w:sz w:val="15"/>
          <w:szCs w:val="15"/>
          <w:color w:val="auto"/>
        </w:rPr>
        <w:t>"EFFECTIVE DATE CERTIFICATE" - a certificate, to be dated as of the Effective Date, executed and delivered to the Agent by the Borrower, substantially in the form attached hereto as EXHIBIT C.</w:t>
      </w:r>
    </w:p>
    <w:p>
      <w:pPr>
        <w:spacing w:after="0" w:line="57" w:lineRule="exact"/>
        <w:rPr>
          <w:sz w:val="20"/>
          <w:szCs w:val="20"/>
          <w:color w:val="auto"/>
        </w:rPr>
      </w:pPr>
    </w:p>
    <w:p>
      <w:pPr>
        <w:ind w:right="3579" w:firstLine="525"/>
        <w:spacing w:after="0" w:line="320" w:lineRule="auto"/>
        <w:rPr>
          <w:sz w:val="20"/>
          <w:szCs w:val="20"/>
          <w:color w:val="auto"/>
        </w:rPr>
      </w:pPr>
      <w:r>
        <w:rPr>
          <w:rFonts w:ascii="Courier New" w:cs="Courier New" w:eastAsia="Courier New" w:hAnsi="Courier New"/>
          <w:sz w:val="14"/>
          <w:szCs w:val="14"/>
          <w:color w:val="auto"/>
        </w:rPr>
        <w:t>"EMPLOYEE BENEFIT PLAN OR PLAN" - any employee benefit plan within the meaning of ss.3(3) of ERISA maintained or contributed to by any Principal Company or any ERISA Affiliate, other than a Multiemployer Plan.</w:t>
      </w:r>
    </w:p>
    <w:p>
      <w:pPr>
        <w:spacing w:after="0" w:line="38"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"ENVIRONMENTAL LAWS" - any judgment, decree, order, law, license, rule or regulation pertaining to environmental matters, including without limitation those arising under the Resource Conservation and Recovery Act ("RCRA"), CERCLA, the Superfund Amendments and Reauthorization Act of 1986 ("SARA"), the Federal Clean Water Act, the Federal Clean Air Act, the Toxic Substances Control Act, any state or local statute, regulation, ordinance, order or decree relating to health, safety or the environment, or any law or regulation of any foreign jurisdiction outside the United States relating to health, safety or the environment.</w:t>
      </w:r>
    </w:p>
    <w:p>
      <w:pPr>
        <w:spacing w:after="0" w:line="89"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"ENVIRONMENTAL LIABILITY" - any liability under any Environmental Laws for any release of a Hazardous Substance, and any liability for the costs of any clean up or other remedial action.</w:t>
      </w:r>
    </w:p>
    <w:p>
      <w:pPr>
        <w:spacing w:after="0" w:line="57"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"ENVIRONMENTAL MATTER(S)" - a release of any Hazardous Substance into the environment or the generation, treatment, storage or disposal of any Hazardous Substance.</w:t>
      </w:r>
    </w:p>
    <w:p>
      <w:pPr>
        <w:spacing w:after="0" w:line="5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"ENVIRONMENTAL PROCEEDING" - any judgment, action, proceeding or investigation pending before any Governmental Authority, including any environmental regulatory body, with respect to or threatened against or affecting any Borrower Affiliated Company or relating to the Assets or liabilities of any of them, including in respect of any "facility" owned, leased or operated by any of them under CERCLA or under any Requirement of Law in respect</w:t>
      </w:r>
    </w:p>
    <w:p>
      <w:pPr>
        <w:sectPr>
          <w:pgSz w:w="11900" w:h="16838" w:orient="portrait"/>
          <w:cols w:equalWidth="0" w:num="1">
            <w:col w:w="10239"/>
          </w:cols>
          <w:pgMar w:left="220" w:top="26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thereof, or in connection with any release of any Hazardous Substance or the generation, storage or disposal of any Hazardous Substance.</w:t>
      </w:r>
    </w:p>
    <w:p>
      <w:pPr>
        <w:spacing w:after="0" w:line="17" w:lineRule="exact"/>
        <w:rPr>
          <w:sz w:val="20"/>
          <w:szCs w:val="20"/>
          <w:color w:val="auto"/>
        </w:rPr>
      </w:pPr>
    </w:p>
    <w:p>
      <w:pPr>
        <w:ind w:right="3399" w:firstLine="525"/>
        <w:spacing w:after="0" w:line="381" w:lineRule="auto"/>
        <w:rPr>
          <w:sz w:val="20"/>
          <w:szCs w:val="20"/>
          <w:color w:val="auto"/>
        </w:rPr>
      </w:pPr>
      <w:r>
        <w:rPr>
          <w:rFonts w:ascii="Courier New" w:cs="Courier New" w:eastAsia="Courier New" w:hAnsi="Courier New"/>
          <w:sz w:val="14"/>
          <w:szCs w:val="14"/>
          <w:color w:val="auto"/>
        </w:rPr>
        <w:t>"ERISA" - the Employee Retirement Income Security Act of 1974, as it may be amended from time to time, and the regulations promulgated thereunder.</w:t>
      </w:r>
    </w:p>
    <w:p>
      <w:pPr>
        <w:spacing w:after="0" w:line="1"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"ERISA AFFILIATE" - any Person which is treated as a single employer with the Borrower and its Subsidiaries under ss.414 of the Code.</w:t>
      </w:r>
    </w:p>
    <w:p>
      <w:pPr>
        <w:spacing w:after="0" w:line="17"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"ERISA REPORTABLE EVENT" - a reportable event with respect to a Guaranteed Pension Plan within the meaning of ss.4043 of ERISA.</w:t>
      </w:r>
    </w:p>
    <w:p>
      <w:pPr>
        <w:spacing w:after="0" w:line="17"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4"/>
          <w:szCs w:val="14"/>
          <w:color w:val="auto"/>
        </w:rPr>
        <w:t>"EUROCURRENCY RESERVE REQUIREMENTS" - for any day as applied to a Eurodollar Loan, the aggregate (without duplication) of the rates (expressed as a decimal fraction) of reserve requirements in effect on such day (including basic, supplemental, marginal and emergency reserves under any regulations of the Board of Governors of the Federal Reserve System or other Governmental Authority having jurisdiction with respect thereto) prescribed for eurocurrency funding (currently referred to as "Eurocurrency Liabilities" in Regulation D of such Board) maintained by a member bank of such System.</w:t>
      </w:r>
    </w:p>
    <w:p>
      <w:pPr>
        <w:spacing w:after="0" w:line="71"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"EURODOLLAR BASE RATE" - with respect to each day during each Interest Period pertaining to a Eurodollar Loan, the average interest rate per annum (rounded upward, if necessary, to the nearest 1/16th of 1%) at which the Agent is offered Dollar deposits at or about 10:00 a.m., Boston time, two (2) Business Days prior to the beginning of such Interest Period in the Eurodollar Interbank Market where the eurodollar and foreign currency and exchange operations in respect of its Eurodollar Loans are then being conducted for delivery on the first day of such Interest Period, for the number of days comprised therein and in an amount comparable to the amount of its Eurodollar Loan to be outstanding during such Interest Period.</w:t>
      </w:r>
    </w:p>
    <w:p>
      <w:pPr>
        <w:spacing w:after="0" w:line="87"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"EURODOLLAR BUSINESS DAY" - a Business Day on which dealings in Dollar deposits are carried out in the Eurodollar Interbank Market.</w:t>
      </w:r>
    </w:p>
    <w:p>
      <w:pPr>
        <w:spacing w:after="0" w:line="17"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"EURODOLLAR INTERBANK MARKET" - any lawful offshore market in which deposits of Dollars are offered by foreign branches of U.S. banking institutions and by foreign banking institutions to each other.</w:t>
      </w:r>
    </w:p>
    <w:p>
      <w:pPr>
        <w:spacing w:after="0" w:line="57"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"EURODOLLAR LOANS" - Loans the rate of interest applicable to which is determined on the basis of the Eurodollar Rate.</w:t>
      </w:r>
    </w:p>
    <w:p>
      <w:pPr>
        <w:spacing w:after="0" w:line="17"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"EURODOLLAR RATE" - with respect to each day during each Interest Period pertaining to a Eurodollar Loan, a rate per annum determined for such day in accordance with the following formula (rounded upward, if necessary, to the nearest 1/100th of 1%):</w:t>
      </w:r>
    </w:p>
    <w:p>
      <w:pPr>
        <w:sectPr>
          <w:pgSz w:w="11900" w:h="16838" w:orient="portrait"/>
          <w:cols w:equalWidth="0" w:num="1">
            <w:col w:w="10239"/>
          </w:cols>
          <w:pgMar w:left="220" w:top="26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21</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13</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EURODOLLAR BASE RATE</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1.00 - Eurocurrency Reserve Requirements</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"EVENT OF DEFAULT" - as defined in ARTICLE XI hereof.</w:t>
      </w:r>
    </w:p>
    <w:p>
      <w:pPr>
        <w:spacing w:after="0" w:line="166"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"EXCESS CASH FLOW" - for any period, Consolidated EBITDA for such period MINUS, without duplication, the sum of (i) federal, state and local income taxes of the Borrower and its Subsidiaries for such period paid in cash by the Borrower or any of its Restricted Subsidiaries (other than any such taxes referred to in CLAUSE (ii) of the definition of Net Proceeds) during such period, (ii) all Capital Expenditures of the Borrower and its Restricted Subsidiaries made and permitted hereunder during such period (other than any such Capital Expenditures made with proceeds of Indebtedness permitted by SECTION 9.1(c) hereof and other than Capital Expenditures made in completing a Permitted Acquisition), (iii) Consolidated Total Interest Expense for such period required to be paid in cash by the Borrower or any of its Restricted Subsidiaries during such period, (iv) the aggregate amount of mandatory permanent payments or prepayments of principal of Consolidated Total Funded Debt during such period (other than any Net Proceeds Payments or Excess Cash Flow Payments), (v) the excess (if any) of Consolidated Working Capital as at the last day of such period over Consolidated Working Capital as at the day before the first day of such period and (vi) $1,000,000.</w:t>
      </w:r>
    </w:p>
    <w:p>
      <w:pPr>
        <w:spacing w:after="0" w:line="9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"EXCESS CASH FLOW PAYMENT" - as defined in SUBSECTION 2.5(e).</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"EXCHANGE ACT" - the Securities and Exchange Act of 1934, as amended.</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"EXISTING CREDIT AGREEMENT" - as defined in the recitals hereto.</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"EXISTING LENDERS" - as defined in the recitals hereto.</w:t>
      </w:r>
    </w:p>
    <w:p>
      <w:pPr>
        <w:spacing w:after="0" w:line="166" w:lineRule="exact"/>
        <w:rPr>
          <w:sz w:val="20"/>
          <w:szCs w:val="20"/>
          <w:color w:val="auto"/>
        </w:rPr>
      </w:pPr>
    </w:p>
    <w:p>
      <w:pPr>
        <w:ind w:right="3399" w:firstLine="525"/>
        <w:spacing w:after="0" w:line="320" w:lineRule="auto"/>
        <w:rPr>
          <w:sz w:val="20"/>
          <w:szCs w:val="20"/>
          <w:color w:val="auto"/>
        </w:rPr>
      </w:pPr>
      <w:r>
        <w:rPr>
          <w:rFonts w:ascii="Courier New" w:cs="Courier New" w:eastAsia="Courier New" w:hAnsi="Courier New"/>
          <w:sz w:val="14"/>
          <w:szCs w:val="14"/>
          <w:color w:val="auto"/>
        </w:rPr>
        <w:t>"EXISTING LOANS" - means, collectively, the outstanding "Term Loans" and "Revolving Credit Loans" (as such terms are defined in the Existing Credit Agreement) made by the Existing Lenders under the Existing Credit Agreement.</w:t>
      </w:r>
    </w:p>
    <w:p>
      <w:pPr>
        <w:spacing w:after="0" w:line="38"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"FASB" - the Financial Accounting Standards Board, and its predecessor and successor organizations.</w:t>
      </w:r>
    </w:p>
    <w:p>
      <w:pPr>
        <w:spacing w:after="0" w:line="17"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"FCC" - the Federal Communications Commission, or any successor agency, commission, bureau, department or other Governmental Authority.</w:t>
      </w:r>
    </w:p>
    <w:p>
      <w:pPr>
        <w:spacing w:after="0" w:line="17" w:lineRule="exact"/>
        <w:rPr>
          <w:sz w:val="20"/>
          <w:szCs w:val="20"/>
          <w:color w:val="auto"/>
        </w:rPr>
      </w:pPr>
    </w:p>
    <w:p>
      <w:pPr>
        <w:ind w:right="3759" w:firstLine="525"/>
        <w:spacing w:after="0" w:line="290" w:lineRule="auto"/>
        <w:rPr>
          <w:sz w:val="20"/>
          <w:szCs w:val="20"/>
          <w:color w:val="auto"/>
        </w:rPr>
      </w:pPr>
      <w:r>
        <w:rPr>
          <w:rFonts w:ascii="Courier New" w:cs="Courier New" w:eastAsia="Courier New" w:hAnsi="Courier New"/>
          <w:sz w:val="15"/>
          <w:szCs w:val="15"/>
          <w:color w:val="auto"/>
        </w:rPr>
        <w:t>"FCC LICENSES" - any radio, television or other license, permit, certificate of compliance, franchise, approval or authorization granted or issued by the FCC.</w:t>
      </w:r>
    </w:p>
    <w:p>
      <w:pPr>
        <w:spacing w:after="0" w:line="57"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"FDIC" - the Federal Deposit Insurance Corporation or any successor thereof.</w:t>
      </w:r>
    </w:p>
    <w:p>
      <w:pPr>
        <w:sectPr>
          <w:pgSz w:w="11900" w:h="16838" w:orient="portrait"/>
          <w:cols w:equalWidth="0" w:num="1">
            <w:col w:w="10239"/>
          </w:cols>
          <w:pgMar w:left="220" w:top="26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22</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14</w:t>
      </w:r>
    </w:p>
    <w:p>
      <w:pPr>
        <w:spacing w:after="0" w:line="140"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"FEDERAL FUNDS RATE" - for any period, a fluctuating interest rate per annum (based on a 365 day or 366 day year, as the case may be) equal for each day during such period to the average of the rates of interest charged on overnight federal funds transactions, with member banks of the Federal Reserve System only, as published for any day which is a Business Day by the Federal Reserve Bank of New York (or, in the absence of such publication, as reasonably determined by the Agent).</w:t>
      </w:r>
    </w:p>
    <w:p>
      <w:pPr>
        <w:spacing w:after="0" w:line="82"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"FEE LETTER" - the letter agreement, dated as of December 30, 1998, by and among the Agent, the Arranger and the Borrower regarding payment of certain fees by the Borrower to the Agent and the Arranger.</w:t>
      </w:r>
    </w:p>
    <w:p>
      <w:pPr>
        <w:spacing w:after="0" w:line="57" w:lineRule="exact"/>
        <w:rPr>
          <w:sz w:val="20"/>
          <w:szCs w:val="20"/>
          <w:color w:val="auto"/>
        </w:rPr>
      </w:pPr>
    </w:p>
    <w:p>
      <w:pPr>
        <w:ind w:right="3319" w:firstLine="525"/>
        <w:spacing w:after="0" w:line="287" w:lineRule="auto"/>
        <w:rPr>
          <w:sz w:val="20"/>
          <w:szCs w:val="20"/>
          <w:color w:val="auto"/>
        </w:rPr>
      </w:pPr>
      <w:r>
        <w:rPr>
          <w:rFonts w:ascii="Courier New" w:cs="Courier New" w:eastAsia="Courier New" w:hAnsi="Courier New"/>
          <w:sz w:val="14"/>
          <w:szCs w:val="14"/>
          <w:color w:val="auto"/>
        </w:rPr>
        <w:t>"FEES" - collectively, (i) the Agent's fee payable from time to time by the Borrower to the Agent, for the Agent's own account, as provided in the Fee Letter, (ii) the Commitment Fees, (iii) the Letter of Credit Fees, and (iv) any fees (other than closing fees) payable by the Borrower in connection with the Incremental Facility Loans or Incremental Facility Loan Commitments.</w:t>
      </w:r>
    </w:p>
    <w:p>
      <w:pPr>
        <w:spacing w:after="0" w:line="61"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"FINAL" - as to an action by the FCC or its staff, the date on which the time for rehearing, reconsideration, review or appeal of such action shall have expired without objection or claim by any Person.</w:t>
      </w:r>
    </w:p>
    <w:p>
      <w:pPr>
        <w:spacing w:after="0" w:line="57"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"FINANCIAL STATEMENTS" - any financial statements from time to time delivered by the Borrower to the Agent or to any Lender pursuant to the provisions of this Agreement, including any financial statements and schedules thereto delivered by the Borrower on the Effective Date. As used herein, "Financial Statements" do not include any Projections.</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"FRANKLIN" - Franklin Communications, Inc., a Delaware corporation.</w:t>
      </w:r>
    </w:p>
    <w:p>
      <w:pPr>
        <w:spacing w:after="0" w:line="166"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"GAAP" - when used in ARTICLE X hereof, whether directly or indirectly by reference to a capitalized term used therein, principles which are consistent with (i) the principles promulgated or adopted by FASB, as in effect on the Balance Sheet Date, and (ii) the accounting practices of Borrower and its Subsidiaries reflected in the consolidated financial statements of the Borrower and its Subsidiaries as at and for the quarter ended on the Balance Sheet Date. When used in general, other than as provided above, principles which are (i) consistent with the principles promulgated or adopted by FASB, as in effect from time to time, and (ii) consistently applied with past consolidated financial statements of the Borrower and its Subsidiaries adopting the same principles. In the event of any material change in the principles promulgated or adopted by FASB after the Balance Sheet Date, the Borrower, the Agent and the Lenders will undertake in good faith to negotiate appropriate changes to this definition of GAAP and ARTICLE X hereof with the objective of having the Borrower's compliance with the provisions of ARTICLE X determined by reference to GAAP as in effect after such change, rather than GAAP as in effect on the Balance Sheet Date. Until such changes have been agreed to in writing by the</w:t>
      </w:r>
    </w:p>
    <w:p>
      <w:pPr>
        <w:sectPr>
          <w:pgSz w:w="11900" w:h="16838" w:orient="portrait"/>
          <w:cols w:equalWidth="0" w:num="1">
            <w:col w:w="10239"/>
          </w:cols>
          <w:pgMar w:left="220" w:top="26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23</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pacing w:after="0" w:line="309"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Borrower and the Required Lenders, the definition of GAAP and the provisions of ARTICLE X shall remain unchanged and in full force and effect.</w:t>
      </w:r>
    </w:p>
    <w:p>
      <w:pPr>
        <w:spacing w:after="0" w:line="17" w:lineRule="exact"/>
        <w:rPr>
          <w:sz w:val="20"/>
          <w:szCs w:val="20"/>
          <w:color w:val="auto"/>
        </w:rPr>
      </w:pPr>
    </w:p>
    <w:p>
      <w:pPr>
        <w:ind w:right="3399" w:firstLine="525"/>
        <w:spacing w:after="0" w:line="381" w:lineRule="auto"/>
        <w:rPr>
          <w:sz w:val="20"/>
          <w:szCs w:val="20"/>
          <w:color w:val="auto"/>
        </w:rPr>
      </w:pPr>
      <w:r>
        <w:rPr>
          <w:rFonts w:ascii="Courier New" w:cs="Courier New" w:eastAsia="Courier New" w:hAnsi="Courier New"/>
          <w:sz w:val="14"/>
          <w:szCs w:val="14"/>
          <w:color w:val="auto"/>
        </w:rPr>
        <w:t>"GOVERNING DOCUMENTS" - as to any Person, the articles or certificate of incorporation and by-laws or other organizational documents of such Person.</w:t>
      </w:r>
    </w:p>
    <w:p>
      <w:pPr>
        <w:spacing w:after="0" w:line="1"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"GOVERNMENTAL AUTHORITY" - any nation or government, any state or other political subdivision thereof, and any entity exercising any executive, legislative, judicial, regulation, or administrative functions of or pertaining to government.</w:t>
      </w:r>
    </w:p>
    <w:p>
      <w:pPr>
        <w:spacing w:after="0" w:line="68"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"GUARANTOR(S)" - the Subsidiaries of the Borrower party to this Agreement and any other Subsidiary of the Borrower which assumes the obligations of a Guarantor under ARTICLE VI hereof.</w:t>
      </w:r>
    </w:p>
    <w:p>
      <w:pPr>
        <w:spacing w:after="0" w:line="57"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"GUARANTEED PENSION PLAN" - any employee pension benefit plan within the meaning of ss.3(2) of ERISA maintained or contributed to by any Principal Company or any ERISA Affiliate the benefits of which are guaranteed on termination in full or in part by the PBGC pursuant to Title IV of ERISA, other than a Multiemployer Plan.</w:t>
      </w:r>
    </w:p>
    <w:p>
      <w:pPr>
        <w:spacing w:after="0" w:line="75" w:lineRule="exact"/>
        <w:rPr>
          <w:sz w:val="20"/>
          <w:szCs w:val="20"/>
          <w:color w:val="auto"/>
        </w:rPr>
      </w:pPr>
    </w:p>
    <w:p>
      <w:pPr>
        <w:ind w:right="3319" w:firstLine="525"/>
        <w:spacing w:after="0" w:line="266" w:lineRule="auto"/>
        <w:rPr>
          <w:sz w:val="20"/>
          <w:szCs w:val="20"/>
          <w:color w:val="auto"/>
        </w:rPr>
      </w:pPr>
      <w:r>
        <w:rPr>
          <w:rFonts w:ascii="Courier New" w:cs="Courier New" w:eastAsia="Courier New" w:hAnsi="Courier New"/>
          <w:sz w:val="14"/>
          <w:szCs w:val="14"/>
          <w:color w:val="auto"/>
        </w:rPr>
        <w:t>"GUARANTY" - in relation to any Person, any obligation, contingent or otherwise, of such Person guarantying or having the economic effect of guarantying any Indebtedness of any other Person (the "PRIMARY OBLIGOR") in any manner, whether directly or indirectly, and including any obligation of such Person, direct or indirect, (i) to purchase or pay (or advance or supply funds for the purchase of payment of) such Indebtedness or to purchase (or to advance or supply funds for the purchase of) any security for the payment of such Indebtedness, (ii) to purchase property, securities or services for the purpose of assuring the owner of such Indebtedness of the payment of such Indebtedness or (iii) to maintain working capital, equity capital or other financial statement condition or liquidity of the primary obligor so as to enable the primary obligor to pay such Indebtedness.</w:t>
      </w:r>
    </w:p>
    <w:p>
      <w:pPr>
        <w:spacing w:after="0" w:line="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"HARBISH" - Harbish Corp., a Wisconsin corporation.</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"HAZARDOUS SUBSTANCES" - any hazardous substances as defined by 42 U.S.C. ss.9601(14), any pollutant or contaminant as defined by 42 U.S.C. ss.9601(33) and any toxic substance, oil or hazardous materials or other chemicals or substances regulated by any Environmental Laws.</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"HISTORICAL FINANCIALS" - as defined in SUBSECTION 4.9(a).</w:t>
      </w:r>
    </w:p>
    <w:p>
      <w:pPr>
        <w:spacing w:after="0" w:line="166"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"IMMATERIAL REAL PROPERTY" - real property owned by a Principal Company other than Material Real Property.</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"INCREMENTAL FACILITY" - as defined in the recitals hereto.</w:t>
      </w:r>
    </w:p>
    <w:p>
      <w:pPr>
        <w:sectPr>
          <w:pgSz w:w="11900" w:h="16838" w:orient="portrait"/>
          <w:cols w:equalWidth="0" w:num="1">
            <w:col w:w="10239"/>
          </w:cols>
          <w:pgMar w:left="220" w:top="26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24</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pacing w:after="0" w:line="140" w:lineRule="exact"/>
        <w:rPr>
          <w:sz w:val="20"/>
          <w:szCs w:val="20"/>
          <w:color w:val="auto"/>
        </w:rPr>
      </w:pPr>
    </w:p>
    <w:p>
      <w:pPr>
        <w:jc w:val="both"/>
        <w:ind w:right="3239" w:firstLine="525"/>
        <w:spacing w:after="0" w:line="264" w:lineRule="auto"/>
        <w:rPr>
          <w:sz w:val="20"/>
          <w:szCs w:val="20"/>
          <w:color w:val="auto"/>
        </w:rPr>
      </w:pPr>
      <w:r>
        <w:rPr>
          <w:rFonts w:ascii="Courier New" w:cs="Courier New" w:eastAsia="Courier New" w:hAnsi="Courier New"/>
          <w:sz w:val="15"/>
          <w:szCs w:val="15"/>
          <w:color w:val="auto"/>
        </w:rPr>
        <w:t>"INCREMENTAL FACILITY COMMITMENT" - with respect to a Lender and for each Series of Incremental Facility Loans, the commitment, if any, of such Lender to make Incremental Facility Loans of such Series to the Borrower hereunder (as the same may be reduced from time to time or terminated in accordance with the terms hereof).</w:t>
      </w:r>
    </w:p>
    <w:p>
      <w:pPr>
        <w:spacing w:after="0" w:line="75" w:lineRule="exact"/>
        <w:rPr>
          <w:sz w:val="20"/>
          <w:szCs w:val="20"/>
          <w:color w:val="auto"/>
        </w:rPr>
      </w:pPr>
    </w:p>
    <w:p>
      <w:pPr>
        <w:jc w:val="both"/>
        <w:ind w:right="3319" w:firstLine="525"/>
        <w:spacing w:after="0" w:line="320" w:lineRule="auto"/>
        <w:rPr>
          <w:sz w:val="20"/>
          <w:szCs w:val="20"/>
          <w:color w:val="auto"/>
        </w:rPr>
      </w:pPr>
      <w:r>
        <w:rPr>
          <w:rFonts w:ascii="Courier New" w:cs="Courier New" w:eastAsia="Courier New" w:hAnsi="Courier New"/>
          <w:sz w:val="14"/>
          <w:szCs w:val="14"/>
          <w:color w:val="auto"/>
        </w:rPr>
        <w:t>"INCREMENTAL FACILITY COMMITMENT PERIOD" - the period from and including the Effective Date to the earlier to occur of (i) the day before the Conversion Date and (ii) the termination of the Incremental Facility Commitments.</w:t>
      </w:r>
    </w:p>
    <w:p>
      <w:pPr>
        <w:spacing w:after="0" w:line="3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"INCREMENTAL FACILITY LOAN(S)" - as defined in SUBSECTION 2.1(d).</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"INCREMENTAL FACILITY LOAN NOTE(S)" - as defined in SUBSECTION 2.4(d).</w:t>
      </w:r>
    </w:p>
    <w:p>
      <w:pPr>
        <w:spacing w:after="0" w:line="166" w:lineRule="exact"/>
        <w:rPr>
          <w:sz w:val="20"/>
          <w:szCs w:val="20"/>
          <w:color w:val="auto"/>
        </w:rPr>
      </w:pPr>
    </w:p>
    <w:p>
      <w:pPr>
        <w:ind w:right="3839" w:firstLine="525"/>
        <w:spacing w:after="0" w:line="344" w:lineRule="auto"/>
        <w:rPr>
          <w:sz w:val="20"/>
          <w:szCs w:val="20"/>
          <w:color w:val="auto"/>
        </w:rPr>
      </w:pPr>
      <w:r>
        <w:rPr>
          <w:rFonts w:ascii="Courier New" w:cs="Courier New" w:eastAsia="Courier New" w:hAnsi="Courier New"/>
          <w:sz w:val="15"/>
          <w:szCs w:val="15"/>
          <w:color w:val="auto"/>
        </w:rPr>
        <w:t>"INCREMENTAL FACILITY LOAN PAYMENT DATE" - as defined in SUBSECTION 2.5(d).</w:t>
      </w:r>
    </w:p>
    <w:p>
      <w:pPr>
        <w:spacing w:after="0" w:line="17"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"INDEBTEDNESS" - with respect to any Person, all: (i) liabilities or obligations, direct or contingent, which in accordance with GAAP would be included in determining total liabilities as shown on the liability side of a balance sheet of such Person at the date as of which Indebtedness is to be determined, including contingent liabilities which, in accordance with GAAP, would be set forth in a specific amount on the liability side of such balance sheet, and Capitalized Lease Obligations of such Person; (ii) liabilities or obligations of others for which such Person is directly or indirectly liable, by way of Guaranty or otherwise; (iii) liabilities or obligations secured by Liens on any assets of such Person, whether or not such liabilities or obligations shall have been assumed by it; and (iv) liabilities or obligations of such Person, direct or contingent, with respect to letters of credit issued for the account of such Person and bankers acceptances created for such Person; PROVIDED, HOWEVER, that in the case of liabilities or obligations in respect of which the holder has recourse only against certain assets of a Person, Indebtedness in respect of such liabilities or obligations shall be limited to the fair market value of the assets with respect to which recourse is not prohibited.</w:t>
      </w:r>
    </w:p>
    <w:p>
      <w:pPr>
        <w:spacing w:after="0" w:line="99" w:lineRule="exact"/>
        <w:rPr>
          <w:sz w:val="20"/>
          <w:szCs w:val="20"/>
          <w:color w:val="auto"/>
        </w:rPr>
      </w:pPr>
    </w:p>
    <w:p>
      <w:pPr>
        <w:ind w:right="3319" w:firstLine="525"/>
        <w:spacing w:after="0" w:line="269" w:lineRule="auto"/>
        <w:rPr>
          <w:sz w:val="20"/>
          <w:szCs w:val="20"/>
          <w:color w:val="auto"/>
        </w:rPr>
      </w:pPr>
      <w:r>
        <w:rPr>
          <w:rFonts w:ascii="Courier New" w:cs="Courier New" w:eastAsia="Courier New" w:hAnsi="Courier New"/>
          <w:sz w:val="14"/>
          <w:szCs w:val="14"/>
          <w:color w:val="auto"/>
        </w:rPr>
        <w:t>"INDEBTEDNESS FOR BORROWED MONEY" - without duplication, all Indebtedness with respect to any of the following: (i) money borrowed (whether recourse or non-recourse), including principal, interest and premiums, (ii) obligations evidenced by a bond, debenture, note or other like written obligation to pay money, (iii) Capitalized Lease Obligations, (iv) obligations under conditional sales or other title retention agreements or secured by any Lien, (v) any letters of credit or similar instruments (including reimbursement obligations with respect thereto), (vi) the deferred unpaid purchase price of property or services, except trade payables and accrued expenses incurred in the ordinary course of business, or (vii) any Guaranty of any or all of the foregoing.</w:t>
      </w:r>
    </w:p>
    <w:p>
      <w:pPr>
        <w:sectPr>
          <w:pgSz w:w="11900" w:h="16838" w:orient="portrait"/>
          <w:cols w:equalWidth="0" w:num="1">
            <w:col w:w="10239"/>
          </w:cols>
          <w:pgMar w:left="220" w:top="26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25</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17</w:t>
      </w:r>
    </w:p>
    <w:p>
      <w:pPr>
        <w:spacing w:after="0" w:line="140"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"INDEMNITY, CONTRIBUTION AND SUBROGATION AGREEMENT" - the Indemnity, Contribution and Subrogation Agreement, dated as of the Effective Date, by and among the Borrower Affiliated Companies, substantially in the form attached hereto as EXHIBIT B.</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"INITIAL FACILITIES" - as defined in the recitals hereto.</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"INSURANCE POLICIES" - as defined in SECTION 4.17.</w:t>
      </w:r>
    </w:p>
    <w:p>
      <w:pPr>
        <w:spacing w:after="0" w:line="166"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"INTELLECTUAL PROPERTY SECURITY AGREEMENTS" - collectively, (i) the Copyright Security Agreements, (ii) the Patent Security Agreements, and (iii) the Trademark Security Agreements.</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"INTEREST COVERAGE RATIO" - as defined in SECTION 10.3.</w:t>
      </w:r>
    </w:p>
    <w:p>
      <w:pPr>
        <w:spacing w:after="0" w:line="166"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4"/>
          <w:szCs w:val="14"/>
          <w:color w:val="auto"/>
        </w:rPr>
        <w:t>"INTEREST PERIOD" - with respect to any Eurodollar Loan, each period commencing on the date such Loan is made or converted from a Base Rate Loan or Base Rate Loans, or the last day of the next preceding Interest Period with respect to such Eurodollar Loan, and ending on the same day in the first, second, third or sixth calendar month as the Borrower may select as provided in SECTION 2.2, except that each such Interest Period which commences on the last Eurodollar Business Day of a calendar month shall end on the last Eurodollar Business Day of the appropriate subsequent calendar month.</w:t>
      </w:r>
    </w:p>
    <w:p>
      <w:pPr>
        <w:spacing w:after="0" w:line="71" w:lineRule="exact"/>
        <w:rPr>
          <w:sz w:val="20"/>
          <w:szCs w:val="20"/>
          <w:color w:val="auto"/>
        </w:rPr>
      </w:pPr>
    </w:p>
    <w:p>
      <w:pPr>
        <w:ind w:right="3319" w:firstLine="525"/>
        <w:spacing w:after="0" w:line="248" w:lineRule="auto"/>
        <w:rPr>
          <w:sz w:val="20"/>
          <w:szCs w:val="20"/>
          <w:color w:val="auto"/>
        </w:rPr>
      </w:pPr>
      <w:r>
        <w:rPr>
          <w:rFonts w:ascii="Courier New" w:cs="Courier New" w:eastAsia="Courier New" w:hAnsi="Courier New"/>
          <w:sz w:val="15"/>
          <w:szCs w:val="15"/>
          <w:color w:val="auto"/>
        </w:rPr>
        <w:t>Notwithstanding the foregoing: (i) each Interest Period which would otherwise end on a day which is not a Eurodollar Business Day shall end on the next succeeding Eurodollar Business Day (or, if such next succeeding Eurodollar Business Day falls in the next succeeding calendar month, on the next preceding Eurodollar Business Day); (ii) no more than seven (7) Interest Periods for Eurodollar Loans shall be in effect at the same time; and (iii) no Interest Period shall end after the Maturity Date. In the event that the Borrower fails to select the duration of any Interest Period for any Loan within the time period and otherwise as provided in SECTION 2.2, such Loans will be automatically converted into a Base Rate Loan on the last day of the preceding Interest Period for such Loan.</w:t>
      </w:r>
    </w:p>
    <w:p>
      <w:pPr>
        <w:spacing w:after="0" w:line="87" w:lineRule="exact"/>
        <w:rPr>
          <w:sz w:val="20"/>
          <w:szCs w:val="20"/>
          <w:color w:val="auto"/>
        </w:rPr>
      </w:pPr>
    </w:p>
    <w:p>
      <w:pPr>
        <w:jc w:val="both"/>
        <w:ind w:right="3399" w:firstLine="525"/>
        <w:spacing w:after="0" w:line="290" w:lineRule="auto"/>
        <w:rPr>
          <w:sz w:val="20"/>
          <w:szCs w:val="20"/>
          <w:color w:val="auto"/>
        </w:rPr>
      </w:pPr>
      <w:r>
        <w:rPr>
          <w:rFonts w:ascii="Courier New" w:cs="Courier New" w:eastAsia="Courier New" w:hAnsi="Courier New"/>
          <w:sz w:val="15"/>
          <w:szCs w:val="15"/>
          <w:color w:val="auto"/>
        </w:rPr>
        <w:t>"INTEREST RATE CONTRACTS" - any interest rate swap, cap, collar or other agreement or arrangement designed to provide protection against fluctuation in interest rates.</w:t>
      </w:r>
    </w:p>
    <w:p>
      <w:pPr>
        <w:spacing w:after="0" w:line="57" w:lineRule="exact"/>
        <w:rPr>
          <w:sz w:val="20"/>
          <w:szCs w:val="20"/>
          <w:color w:val="auto"/>
        </w:rPr>
      </w:pPr>
    </w:p>
    <w:p>
      <w:pPr>
        <w:ind w:right="3319" w:firstLine="525"/>
        <w:spacing w:after="0" w:line="276" w:lineRule="auto"/>
        <w:rPr>
          <w:sz w:val="20"/>
          <w:szCs w:val="20"/>
          <w:color w:val="auto"/>
        </w:rPr>
      </w:pPr>
      <w:r>
        <w:rPr>
          <w:rFonts w:ascii="Courier New" w:cs="Courier New" w:eastAsia="Courier New" w:hAnsi="Courier New"/>
          <w:sz w:val="14"/>
          <w:szCs w:val="14"/>
          <w:color w:val="auto"/>
        </w:rPr>
        <w:t>"INVESTMENT" - in relation to any Person, all investments by such Person, by stock purchase, capital contribution, loan, advance, Guaranty of any Indebtedness of any other Person, acquisition by such Person of any Communications System or any business or all or any substantial part of the Assets of any other Person or any division or Subsidiary of such Person or the transfer or sale of property by such Person (otherwise than in the ordinary course of the business of such Person) to any other Person for less than</w:t>
      </w:r>
    </w:p>
    <w:p>
      <w:pPr>
        <w:sectPr>
          <w:pgSz w:w="11900" w:h="16838" w:orient="portrait"/>
          <w:cols w:equalWidth="0" w:num="1">
            <w:col w:w="10239"/>
          </w:cols>
          <w:pgMar w:left="220" w:top="26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26</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18</w:t>
      </w:r>
    </w:p>
    <w:p>
      <w:pPr>
        <w:spacing w:after="0" w:line="140" w:lineRule="exact"/>
        <w:rPr>
          <w:sz w:val="20"/>
          <w:szCs w:val="20"/>
          <w:color w:val="auto"/>
        </w:rPr>
      </w:pPr>
    </w:p>
    <w:p>
      <w:pPr>
        <w:jc w:val="both"/>
        <w:ind w:right="3319"/>
        <w:spacing w:after="0" w:line="344" w:lineRule="auto"/>
        <w:rPr>
          <w:sz w:val="20"/>
          <w:szCs w:val="20"/>
          <w:color w:val="auto"/>
        </w:rPr>
      </w:pPr>
      <w:r>
        <w:rPr>
          <w:rFonts w:ascii="Courier New" w:cs="Courier New" w:eastAsia="Courier New" w:hAnsi="Courier New"/>
          <w:sz w:val="15"/>
          <w:szCs w:val="15"/>
          <w:color w:val="auto"/>
        </w:rPr>
        <w:t>payment in full in cash of the transfer or sale price or the fair value thereof (whichever of such price or value is higher).</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"IRS" - Internal Revenue Service.</w:t>
      </w:r>
    </w:p>
    <w:p>
      <w:pPr>
        <w:spacing w:after="0" w:line="166"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"ISSUE DATE" - in relation to any Letter of Credit, the day on which such Letter of Credit is issued or to be issued by the Issuing Bank for the account of the Borrower pursuant to this Agreement.</w:t>
      </w:r>
    </w:p>
    <w:p>
      <w:pPr>
        <w:spacing w:after="0" w:line="57" w:lineRule="exact"/>
        <w:rPr>
          <w:sz w:val="20"/>
          <w:szCs w:val="20"/>
          <w:color w:val="auto"/>
        </w:rPr>
      </w:pPr>
    </w:p>
    <w:p>
      <w:pPr>
        <w:jc w:val="both"/>
        <w:ind w:right="3319" w:firstLine="525"/>
        <w:spacing w:after="0" w:line="344" w:lineRule="auto"/>
        <w:rPr>
          <w:sz w:val="20"/>
          <w:szCs w:val="20"/>
          <w:color w:val="auto"/>
        </w:rPr>
      </w:pPr>
      <w:r>
        <w:rPr>
          <w:rFonts w:ascii="Courier New" w:cs="Courier New" w:eastAsia="Courier New" w:hAnsi="Courier New"/>
          <w:sz w:val="15"/>
          <w:szCs w:val="15"/>
          <w:color w:val="auto"/>
        </w:rPr>
        <w:t>"ISSUING BANK" - with respect to any Letter of Credit, BankBoston and any successor issuing bank.</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"ISSUING BANK FEES" - as defined in SECTION 3.6.</w:t>
      </w:r>
    </w:p>
    <w:p>
      <w:pPr>
        <w:spacing w:after="0" w:line="166"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"KAFE-FM and KPUG-AM ACQUISITION" - the acquisition by Saga Broadcast of the assets of San Juan Radio, Inc. relating to radio stations KAFE-FM and KPUG-AM licensed to Bellingham, Washington.</w:t>
      </w:r>
    </w:p>
    <w:p>
      <w:pPr>
        <w:spacing w:after="0" w:line="57" w:lineRule="exact"/>
        <w:rPr>
          <w:sz w:val="20"/>
          <w:szCs w:val="20"/>
          <w:color w:val="auto"/>
        </w:rPr>
      </w:pPr>
    </w:p>
    <w:p>
      <w:pPr>
        <w:ind w:right="3319" w:firstLine="525"/>
        <w:spacing w:after="0" w:line="274" w:lineRule="auto"/>
        <w:rPr>
          <w:sz w:val="20"/>
          <w:szCs w:val="20"/>
          <w:color w:val="auto"/>
        </w:rPr>
      </w:pPr>
      <w:r>
        <w:rPr>
          <w:rFonts w:ascii="Courier New" w:cs="Courier New" w:eastAsia="Courier New" w:hAnsi="Courier New"/>
          <w:sz w:val="14"/>
          <w:szCs w:val="14"/>
          <w:color w:val="auto"/>
        </w:rPr>
        <w:t>"KAVU-TV ACQUISITION"- the acquisition by Saga Broadcast of the assets of Withers Broadcasting Company of Texas and W. Russell Withers, Jr. relating to</w:t>
      </w:r>
    </w:p>
    <w:p>
      <w:pPr>
        <w:ind w:left="360" w:hanging="350"/>
        <w:spacing w:after="0" w:line="237"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Television Broadcast Station KAVU-TV, Channel 25, licensed to Victoria,</w:t>
      </w:r>
    </w:p>
    <w:p>
      <w:pPr>
        <w:ind w:right="331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Texas and (ii) Standard Broadcast Station KNAL, 1410 kHz, licensed to Victoria, Texas and (iii) other low power television Stations K27EZ, K59FQ and K64EQ, licensed to Victoria, Texas.</w:t>
      </w:r>
    </w:p>
    <w:p>
      <w:pPr>
        <w:spacing w:after="0" w:line="69"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"KBFW-AM ACQUISITION" - the acquisition by Saga Broadcast of the assets of Bellingham Broadcasting Corporation relating to radio station KBFW-AM licensed to Bellingham, Washington.</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"LAKEFRONT" - Lakefront Communication, Inc., a Delaware corporation.</w:t>
      </w:r>
    </w:p>
    <w:p>
      <w:pPr>
        <w:spacing w:after="0" w:line="166" w:lineRule="exact"/>
        <w:rPr>
          <w:sz w:val="20"/>
          <w:szCs w:val="20"/>
          <w:color w:val="auto"/>
        </w:rPr>
      </w:pPr>
    </w:p>
    <w:p>
      <w:pPr>
        <w:ind w:right="3319" w:firstLine="525"/>
        <w:spacing w:after="0" w:line="381" w:lineRule="auto"/>
        <w:rPr>
          <w:sz w:val="20"/>
          <w:szCs w:val="20"/>
          <w:color w:val="auto"/>
        </w:rPr>
      </w:pPr>
      <w:r>
        <w:rPr>
          <w:rFonts w:ascii="Courier New" w:cs="Courier New" w:eastAsia="Courier New" w:hAnsi="Courier New"/>
          <w:sz w:val="14"/>
          <w:szCs w:val="14"/>
          <w:color w:val="auto"/>
        </w:rPr>
        <w:t>"LAKEFRONT STOCK PLEDGE AGREEMENT" - the Stock Pledge Agreement, dated as of the Effective Date, by and between Lakefront and the Collateral Trustee</w:t>
      </w:r>
    </w:p>
    <w:p>
      <w:pPr>
        <w:spacing w:after="0" w:line="1"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"LEASES" - leases and subleases (other than Capitalized Leases), licenses for the use of real property, easements, grants, pole attachment and conduit or trench agreements and other attachment rights and similar instruments under which any Principal Company has the right to use real or personal property or rights of way.</w:t>
      </w:r>
    </w:p>
    <w:p>
      <w:pPr>
        <w:spacing w:after="0" w:line="75"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"LENDER ASSIGNMENT AGREEMENTS" - the assignment agreements, each dated as of the Effective Date, between certain Existing Lenders and the Agent and acknowledged by the Borrower, each in substantially the form of EXHIBIT F attached hereto (with such changes thereto as may be agreed to by the applicable Existing Lender and the Agent).</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"LENDERS" - as defined in the preamble hereof.</w:t>
      </w:r>
    </w:p>
    <w:p>
      <w:pPr>
        <w:sectPr>
          <w:pgSz w:w="11900" w:h="16838" w:orient="portrait"/>
          <w:cols w:equalWidth="0" w:num="1">
            <w:col w:w="10239"/>
          </w:cols>
          <w:pgMar w:left="220" w:top="26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27</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pacing w:after="0" w:line="140"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"LETTER OF CREDIT" - any irrevocable standby letter of credit issued or to be issued by the Issuing Bank for the account of the Borrower upon the terms and subject to the conditions contained in this Agreement.</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"LETTER OF CREDIT APPLICATION" - as defined in SECTION 3.2(b).</w:t>
      </w:r>
    </w:p>
    <w:p>
      <w:pPr>
        <w:spacing w:after="0" w:line="166" w:lineRule="exact"/>
        <w:rPr>
          <w:sz w:val="20"/>
          <w:szCs w:val="20"/>
          <w:color w:val="auto"/>
        </w:rPr>
      </w:pPr>
    </w:p>
    <w:p>
      <w:pPr>
        <w:ind w:right="3399" w:firstLine="525"/>
        <w:spacing w:after="0" w:line="381" w:lineRule="auto"/>
        <w:rPr>
          <w:sz w:val="20"/>
          <w:szCs w:val="20"/>
          <w:color w:val="auto"/>
        </w:rPr>
      </w:pPr>
      <w:r>
        <w:rPr>
          <w:rFonts w:ascii="Courier New" w:cs="Courier New" w:eastAsia="Courier New" w:hAnsi="Courier New"/>
          <w:sz w:val="14"/>
          <w:szCs w:val="14"/>
          <w:color w:val="auto"/>
        </w:rPr>
        <w:t>"LETTER OF CREDIT DISBURSEMENT" - a disbursement by the Issuing Bank to the beneficiary of a Letter of Credit in connection with a drawing thereunder.</w:t>
      </w:r>
    </w:p>
    <w:p>
      <w:pPr>
        <w:spacing w:after="0" w:line="1"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"LETTER OF CREDIT EXPOSURE" - at any time, the sum of (i) the aggregate undrawn face amount of all Letters of Credit outstanding at such time, and (ii) the aggregate amount of all drawings under Letters of Credit for which the Issuing Bank shall not have been reimbursed by the Borrower as provided in SECTION 3.4. The amount of any Lender's Letter of Credit Exposure at any time shall be the product of (i) the Letter of Credit Exposure, multiplied by (ii) such Lender's Revolving Credit Commitment Percentage at such time.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"LETTER OF CREDIT FEES" - as defined in SECTION 3.6.</w:t>
      </w:r>
    </w:p>
    <w:p>
      <w:pPr>
        <w:spacing w:after="0" w:line="166"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"LIEN" - any mortgage, deed of trust, pledge, security interest, encumbrance, lien or charge of any kind (including any agreement to give any of the foregoing), any conditional sale or other title retention agreement, any lease in the nature of any of the foregoing, and the filing of or agreement to give any financing statement under the Uniform Commercial Code of any jurisdiction.</w:t>
      </w:r>
    </w:p>
    <w:p>
      <w:pPr>
        <w:spacing w:after="0" w:line="81" w:lineRule="exact"/>
        <w:rPr>
          <w:sz w:val="20"/>
          <w:szCs w:val="20"/>
          <w:color w:val="auto"/>
        </w:rPr>
      </w:pPr>
    </w:p>
    <w:p>
      <w:pPr>
        <w:jc w:val="both"/>
        <w:ind w:right="3239" w:firstLine="525"/>
        <w:spacing w:after="0" w:line="264" w:lineRule="auto"/>
        <w:rPr>
          <w:sz w:val="20"/>
          <w:szCs w:val="20"/>
          <w:color w:val="auto"/>
        </w:rPr>
      </w:pPr>
      <w:r>
        <w:rPr>
          <w:rFonts w:ascii="Courier New" w:cs="Courier New" w:eastAsia="Courier New" w:hAnsi="Courier New"/>
          <w:sz w:val="15"/>
          <w:szCs w:val="15"/>
          <w:color w:val="auto"/>
        </w:rPr>
        <w:t>"LOANS" - collectively, (i) Revolving Credit Loans, (ii) Term Loans, (iii) Acquisition Loans and (iv) Incremental Facility Loans. Loans of different types made or converted from Loans of other types on the same day (or of the same type but having different Interest Periods) shall be deemed to be separate Loans for all purposes of this Agreement.</w:t>
      </w:r>
    </w:p>
    <w:p>
      <w:pPr>
        <w:spacing w:after="0" w:line="75" w:lineRule="exact"/>
        <w:rPr>
          <w:sz w:val="20"/>
          <w:szCs w:val="20"/>
          <w:color w:val="auto"/>
        </w:rPr>
      </w:pPr>
    </w:p>
    <w:p>
      <w:pPr>
        <w:ind w:right="3319" w:firstLine="525"/>
        <w:spacing w:after="0" w:line="276" w:lineRule="auto"/>
        <w:rPr>
          <w:sz w:val="20"/>
          <w:szCs w:val="20"/>
          <w:color w:val="auto"/>
        </w:rPr>
      </w:pPr>
      <w:r>
        <w:rPr>
          <w:rFonts w:ascii="Courier New" w:cs="Courier New" w:eastAsia="Courier New" w:hAnsi="Courier New"/>
          <w:sz w:val="14"/>
          <w:szCs w:val="14"/>
          <w:color w:val="auto"/>
        </w:rPr>
        <w:t>"LOAN DOCUMENTS" - collectively (i) this Agreement, (ii) the Notes, (iii) the Security Documents, (iv) the Indemnity, Contribution and Subrogation Agreement, (v) each Assignment and Acceptance Agreement, (vi) the Lender Assignment Agreement, (vii) the Letter of Credit Applications, (viii) the Fee Letter and (ix) any other documents, instruments or agreements executed and/or delivered in connection with the foregoing or from time to time designated by the Borrower and the Agent as a Loan Document hereunder.</w:t>
      </w:r>
    </w:p>
    <w:p>
      <w:pPr>
        <w:spacing w:after="0" w:line="69" w:lineRule="exact"/>
        <w:rPr>
          <w:sz w:val="20"/>
          <w:szCs w:val="20"/>
          <w:color w:val="auto"/>
        </w:rPr>
      </w:pPr>
    </w:p>
    <w:p>
      <w:pPr>
        <w:jc w:val="both"/>
        <w:ind w:right="3239" w:firstLine="525"/>
        <w:spacing w:after="0" w:line="267" w:lineRule="auto"/>
        <w:rPr>
          <w:sz w:val="20"/>
          <w:szCs w:val="20"/>
          <w:color w:val="auto"/>
        </w:rPr>
      </w:pPr>
      <w:r>
        <w:rPr>
          <w:rFonts w:ascii="Courier New" w:cs="Courier New" w:eastAsia="Courier New" w:hAnsi="Courier New"/>
          <w:sz w:val="14"/>
          <w:szCs w:val="14"/>
          <w:color w:val="auto"/>
        </w:rPr>
        <w:t>"MATERIAL ADVERSE EFFECT" - any of the following: (i) any material adverse effect on the business, Assets, operations, prospects or condition, financial or otherwise, of the Borrower and its Restricted Subsidiaries taken as a whole,</w:t>
      </w:r>
    </w:p>
    <w:p>
      <w:pPr>
        <w:spacing w:after="0" w:line="1" w:lineRule="exact"/>
        <w:rPr>
          <w:sz w:val="20"/>
          <w:szCs w:val="20"/>
          <w:color w:val="auto"/>
        </w:rPr>
      </w:pPr>
    </w:p>
    <w:p>
      <w:pPr>
        <w:ind w:right="3319" w:firstLine="10"/>
        <w:spacing w:after="0" w:line="277" w:lineRule="auto"/>
        <w:tabs>
          <w:tab w:leader="none" w:pos="43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impairment of the ability of any Principal Company to perform any of its material obligations under any Loan Document, or (iii) any material impairment of the validity or enforceability of any Loan Document or any material impairment of the rights, remedies or benefits available to, the Collateral Trustee, the Agent or any Lender under any Loan Document.</w:t>
      </w:r>
    </w:p>
    <w:p>
      <w:pPr>
        <w:sectPr>
          <w:pgSz w:w="11900" w:h="16838" w:orient="portrait"/>
          <w:cols w:equalWidth="0" w:num="1">
            <w:col w:w="10239"/>
          </w:cols>
          <w:pgMar w:left="220" w:top="26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28</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pacing w:after="0" w:line="140"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"MATERIAL FEDERAL COPYRIGHTS" - with respect to any Principal Company, all copyrights of such Principal Company which (i) are registered in the United States Copyright Office, and (ii) the Agent has determined (A) are material to the business of the Principal Companies, taken as a whole, or (B) have an economic value which is not insubstantial compared to all other Assets of all the Principal Companies, taken as a whole.</w:t>
      </w:r>
    </w:p>
    <w:p>
      <w:pPr>
        <w:spacing w:after="0" w:line="81"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"MATERIAL FEDERAL PATENTS" - with respect to any Principal Company, all patents of such Principal Company which (i) are registered in the United States Patent and Trademark Office, and (ii) the Agent has determined (A) are material to the business of the Principal Companies, taken as a whole, or (B) have an economic value which is not insubstantial compared to all other Assets of all the Principal Companies, taken as a whole.</w:t>
      </w:r>
    </w:p>
    <w:p>
      <w:pPr>
        <w:spacing w:after="0" w:line="81"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"MATERIAL FEDERAL TRADEMARKS" - with respect to any Principal Company, all trademarks of such Principal Company which (i) are registered in the United States Patent and Trademark Office, and (ii) the Agent has determined (A) are material to the business of the Principal Companies, taken as a whole, or (B) have an economic value which is not insubstantial compared to all other Assets of all the Principal Companies, taken as a whole.</w:t>
      </w:r>
    </w:p>
    <w:p>
      <w:pPr>
        <w:spacing w:after="0" w:line="81"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"MATERIAL INTELLECTUAL PROPERTY" - with respect to any Principal Company, any Material Federal Trademarks, any Material Federal Copyrights, and any Material Federal Patents.</w:t>
      </w:r>
    </w:p>
    <w:p>
      <w:pPr>
        <w:spacing w:after="0" w:line="57" w:lineRule="exact"/>
        <w:rPr>
          <w:sz w:val="20"/>
          <w:szCs w:val="20"/>
          <w:color w:val="auto"/>
        </w:rPr>
      </w:pPr>
    </w:p>
    <w:p>
      <w:pPr>
        <w:jc w:val="both"/>
        <w:ind w:right="3399" w:firstLine="525"/>
        <w:spacing w:after="0" w:line="290" w:lineRule="auto"/>
        <w:rPr>
          <w:sz w:val="20"/>
          <w:szCs w:val="20"/>
          <w:color w:val="auto"/>
        </w:rPr>
      </w:pPr>
      <w:r>
        <w:rPr>
          <w:rFonts w:ascii="Courier New" w:cs="Courier New" w:eastAsia="Courier New" w:hAnsi="Courier New"/>
          <w:sz w:val="15"/>
          <w:szCs w:val="15"/>
          <w:color w:val="auto"/>
        </w:rPr>
        <w:t>"MATERIAL LABOR DISPUTE" - with respect to any Person, any strike, work stoppage, material unfair labor practice claim or charge, arbitration or other material labor dispute against or affecting such Person.</w:t>
      </w:r>
    </w:p>
    <w:p>
      <w:pPr>
        <w:spacing w:after="0" w:line="57" w:lineRule="exact"/>
        <w:rPr>
          <w:sz w:val="20"/>
          <w:szCs w:val="20"/>
          <w:color w:val="auto"/>
        </w:rPr>
      </w:pPr>
    </w:p>
    <w:p>
      <w:pPr>
        <w:ind w:right="3239" w:firstLine="525"/>
        <w:spacing w:after="0" w:line="280" w:lineRule="auto"/>
        <w:rPr>
          <w:sz w:val="20"/>
          <w:szCs w:val="20"/>
          <w:color w:val="auto"/>
        </w:rPr>
      </w:pPr>
      <w:r>
        <w:rPr>
          <w:rFonts w:ascii="Courier New" w:cs="Courier New" w:eastAsia="Courier New" w:hAnsi="Courier New"/>
          <w:sz w:val="14"/>
          <w:szCs w:val="14"/>
          <w:color w:val="auto"/>
        </w:rPr>
        <w:t>"MATERIAL REAL PROPERTY" - any and all real property owned by any Principal Company on which is located a tower, transmitter or antenna system used in connection with the operations of any Station or Stations, if (but only if) the aggregate Consolidated EBITDA attributable to such Station or Stations for the Reference Period most recently ended equals or exceeds ten percent (10%) of Consolidated EBITDA of the Principal Companies for such Reference Period.</w:t>
      </w:r>
    </w:p>
    <w:p>
      <w:pPr>
        <w:spacing w:after="0" w:line="67" w:lineRule="exact"/>
        <w:rPr>
          <w:sz w:val="20"/>
          <w:szCs w:val="20"/>
          <w:color w:val="auto"/>
        </w:rPr>
      </w:pPr>
    </w:p>
    <w:p>
      <w:pPr>
        <w:ind w:right="3319" w:firstLine="525"/>
        <w:spacing w:after="0" w:line="381" w:lineRule="auto"/>
        <w:rPr>
          <w:sz w:val="20"/>
          <w:szCs w:val="20"/>
          <w:color w:val="auto"/>
        </w:rPr>
      </w:pPr>
      <w:r>
        <w:rPr>
          <w:rFonts w:ascii="Courier New" w:cs="Courier New" w:eastAsia="Courier New" w:hAnsi="Courier New"/>
          <w:sz w:val="14"/>
          <w:szCs w:val="14"/>
          <w:color w:val="auto"/>
        </w:rPr>
        <w:t>"MATURITY DATE" - June 30, 2006, or such earlier date on which all the Commitments of the Lenders shall terminate in accordance with the terms hereof.</w:t>
      </w:r>
    </w:p>
    <w:p>
      <w:pPr>
        <w:spacing w:after="0" w:line="1" w:lineRule="exact"/>
        <w:rPr>
          <w:sz w:val="20"/>
          <w:szCs w:val="20"/>
          <w:color w:val="auto"/>
        </w:rPr>
      </w:pPr>
    </w:p>
    <w:p>
      <w:pPr>
        <w:ind w:right="3319" w:firstLine="525"/>
        <w:spacing w:after="0" w:line="320" w:lineRule="auto"/>
        <w:rPr>
          <w:sz w:val="20"/>
          <w:szCs w:val="20"/>
          <w:color w:val="auto"/>
        </w:rPr>
      </w:pPr>
      <w:r>
        <w:rPr>
          <w:rFonts w:ascii="Courier New" w:cs="Courier New" w:eastAsia="Courier New" w:hAnsi="Courier New"/>
          <w:sz w:val="14"/>
          <w:szCs w:val="14"/>
          <w:color w:val="auto"/>
        </w:rPr>
        <w:t>"MICHIGAN FARM RADIO NETWORK ACQUISITION" - the acquisition of a Michigan radio network d/b/a "Michigan Farm Radio Network" through the merger of a new formed subsidiary of the Borrower with Great Lakes Radio Network, Inc.</w:t>
      </w:r>
    </w:p>
    <w:p>
      <w:pPr>
        <w:sectPr>
          <w:pgSz w:w="11900" w:h="16838" w:orient="portrait"/>
          <w:cols w:equalWidth="0" w:num="1">
            <w:col w:w="10239"/>
          </w:cols>
          <w:pgMar w:left="220" w:top="26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29</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21</w:t>
      </w:r>
    </w:p>
    <w:p>
      <w:pPr>
        <w:spacing w:after="0" w:line="140" w:lineRule="exact"/>
        <w:rPr>
          <w:sz w:val="20"/>
          <w:szCs w:val="20"/>
          <w:color w:val="auto"/>
        </w:rPr>
      </w:pPr>
    </w:p>
    <w:p>
      <w:pPr>
        <w:ind w:right="3499" w:firstLine="525"/>
        <w:spacing w:after="0" w:line="273" w:lineRule="auto"/>
        <w:rPr>
          <w:sz w:val="20"/>
          <w:szCs w:val="20"/>
          <w:color w:val="auto"/>
        </w:rPr>
      </w:pPr>
      <w:r>
        <w:rPr>
          <w:rFonts w:ascii="Courier New" w:cs="Courier New" w:eastAsia="Courier New" w:hAnsi="Courier New"/>
          <w:sz w:val="15"/>
          <w:szCs w:val="15"/>
          <w:color w:val="auto"/>
        </w:rPr>
        <w:t>"MORTGAGES" - collectively, the instruments of mortgage executed and delivered by the Principal Companies in favor of the Collateral Trustee (including any predecessors to BankBoston as collateral trustee) from time to time with respect to Material Real Properties.</w:t>
      </w:r>
    </w:p>
    <w:p>
      <w:pPr>
        <w:spacing w:after="0" w:line="68" w:lineRule="exact"/>
        <w:rPr>
          <w:sz w:val="20"/>
          <w:szCs w:val="20"/>
          <w:color w:val="auto"/>
        </w:rPr>
      </w:pPr>
    </w:p>
    <w:p>
      <w:pPr>
        <w:jc w:val="both"/>
        <w:ind w:right="3319" w:firstLine="525"/>
        <w:spacing w:after="0" w:line="320" w:lineRule="auto"/>
        <w:rPr>
          <w:sz w:val="20"/>
          <w:szCs w:val="20"/>
          <w:color w:val="auto"/>
        </w:rPr>
      </w:pPr>
      <w:r>
        <w:rPr>
          <w:rFonts w:ascii="Courier New" w:cs="Courier New" w:eastAsia="Courier New" w:hAnsi="Courier New"/>
          <w:sz w:val="14"/>
          <w:szCs w:val="14"/>
          <w:color w:val="auto"/>
        </w:rPr>
        <w:t>"MOST RECENT REFERENCE PERIOD" means the most recent Reference Period for which financial statements of the Borrower and its Restricted Subsidiaries have been delivered to the Lenders in compliance with ARTICLE VII hereof.</w:t>
      </w:r>
    </w:p>
    <w:p>
      <w:pPr>
        <w:spacing w:after="0" w:line="38"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"MULTIEMPLOYER PLAN" - any multiemployer plan within the meaning of ss.3(37) of ERISA maintained or contributed to by any Principal Company or any ERISA Affiliate.</w:t>
      </w:r>
    </w:p>
    <w:p>
      <w:pPr>
        <w:spacing w:after="0" w:line="57"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"NET PROCEEDS" - with respect to any Prepayment Event (i) the gross amount of cash consideration payable to or receivable by any Principal Company in respect of such Prepayment Event, LESS (ii) the amount, if any, of all estimated taxes payable as a result of gain realized with respect to such Prepayment Event, whether or not payable during the taxable year in which such Prepayment Event occurred, and less (iii) estimated fees, commissions, costs and other expenses (other than those payable to any Affiliate) which are incurred in connection with such Prepayment Event and are payable by the seller or the transferor of the assets or property to which such Prepayment Event relates, but only to the extent not already deducted in arriving at the amount referred to in CLAUSE (i). To the extent that the estimate of taxes payable, or fees, commissions, costs and other expenses incurred, proves incorrect, an adjustment shall be made by way of an additional payment to the Agent, for the ratable benefit of the Lenders, or a credit against amounts payable in respect of any future Prepayment Events, as applicable.</w:t>
      </w:r>
    </w:p>
    <w:p>
      <w:pPr>
        <w:spacing w:after="0" w:line="8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"NET PROCEEDS PAYMENTS" - as defined in SUBSECTION 2.5(f).</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"NEW LENDERS" - as defined in the recitals hereto.</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"NEW TYPE LOAN" - as defined in SECTION 2.23.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"NEXT REFERENCE PERIOD" - with respect to any Reference Period, the</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Reference Period commencing immediately after the end of such Reference Period.</w:t>
      </w:r>
    </w:p>
    <w:p>
      <w:pPr>
        <w:spacing w:after="0" w:line="152"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"NOTES" - collectively (i) the Term Loan Notes, (ii) the Revolving Credit Notes, (iii) the Acquisition Loan Notes, and (iv) the Incremental Facility Loan Notes.</w:t>
      </w:r>
    </w:p>
    <w:p>
      <w:pPr>
        <w:spacing w:after="0" w:line="57"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"OBLIGATIONS" - collectively, all of the Indebtedness, liabilities and obligations, whether direct or indirect, joint or several, absolute or contingent, matured or unmatured, liquidated or unliquidated, secured or unsecured, arising by contract, operation of law or otherwise, of any Principal Company (i) to any Lender, the Issuing Bank, the Agent or the Collateral Trustee, whether</w:t>
      </w:r>
    </w:p>
    <w:p>
      <w:pPr>
        <w:sectPr>
          <w:pgSz w:w="11900" w:h="16838" w:orient="portrait"/>
          <w:cols w:equalWidth="0" w:num="1">
            <w:col w:w="10239"/>
          </w:cols>
          <w:pgMar w:left="220" w:top="26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30</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pacing w:after="0" w:line="140"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now existing or hereafter arising, whether or not currently contemplated, arising under any Loan Document, and (ii) under any Interest Rate Contract entered into with any Person that was a Lender or an Affiliate of any Lender hereunder or under the Existing Credit Agreement at the time such Person entered into such Interest Rate Contract.</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"PARTICIPANT" - as defined in SUBSECTION 13.11(a).</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"PATENT SECURITY AGREEMENTS" - collectively, the Patent Collateral Assignment and Security Agreements from time to time entered into by and between the Collateral Trustee and one or more of the Principal Companies with respect to Material Federal Patents.</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"PBGC" - Pension Benefit Guaranty Corporation.</w:t>
      </w:r>
    </w:p>
    <w:p>
      <w:pPr>
        <w:spacing w:after="0" w:line="166"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"PERMITTED ACQUISITION" - any Acquisition after the Effective Date by the Borrower or any of its Restricted Subsidiaries of any Communications System so long as, in each case, either the Required Lenders have given their written consent to such Acquisition or all of the following conditions have been satisfied:</w:t>
      </w:r>
    </w:p>
    <w:p>
      <w:pPr>
        <w:spacing w:after="0" w:line="75" w:lineRule="exact"/>
        <w:rPr>
          <w:sz w:val="20"/>
          <w:szCs w:val="20"/>
          <w:color w:val="auto"/>
        </w:rPr>
      </w:pPr>
    </w:p>
    <w:p>
      <w:pPr>
        <w:ind w:left="540" w:right="3239" w:firstLine="519"/>
        <w:spacing w:after="0" w:line="273" w:lineRule="auto"/>
        <w:tabs>
          <w:tab w:leader="none" w:pos="159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such Acquisition, the Assets comprising such Communications System (as used in this definition, the "ACQUIRED ASSETS") shall be owned exclusively by the Borrower or a wholly-owned Restricted Subsidiary of the Borrower;</w:t>
      </w:r>
    </w:p>
    <w:p>
      <w:pPr>
        <w:spacing w:after="0" w:line="67"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Acquired Assets are owned by a newly-formed or</w:t>
      </w:r>
    </w:p>
    <w:p>
      <w:pPr>
        <w:spacing w:after="0" w:line="24" w:lineRule="exact"/>
        <w:rPr>
          <w:sz w:val="20"/>
          <w:szCs w:val="20"/>
          <w:color w:val="auto"/>
        </w:rPr>
      </w:pPr>
    </w:p>
    <w:p>
      <w:pPr>
        <w:ind w:left="540" w:right="3319"/>
        <w:spacing w:after="0" w:line="259" w:lineRule="auto"/>
        <w:rPr>
          <w:sz w:val="20"/>
          <w:szCs w:val="20"/>
          <w:color w:val="auto"/>
        </w:rPr>
      </w:pPr>
      <w:r>
        <w:rPr>
          <w:rFonts w:ascii="Courier New" w:cs="Courier New" w:eastAsia="Courier New" w:hAnsi="Courier New"/>
          <w:sz w:val="14"/>
          <w:szCs w:val="14"/>
          <w:color w:val="auto"/>
        </w:rPr>
        <w:t>newly-acquired Restricted Subsidiary of the Borrower, such Restricted Subsidiary (and any parent of such Restricted Subsidiary that is not already a Principal Company) shall have executed and delivered to the Agent and the Lenders (A) an accession agreement reasonably satisfactory to the Agent, pursuant to the terms of which such Restricted Subsidiary (and such parent or parents, if applicable) (1) becomes a party to this Agreement as a Principal Company and as a Guarantor, becomes a party to the Borrower Subsidiary Security Agreement as a Restricted Subsidiary, becomes a party to the Indemnity, Contribution and Subrogation Agreement as a "Borrower Affiliated Company", and becomes a party to any other Loan Document as the Agent may reasonably request, and (2) agrees to perform and observe all of the obligations and covenants (including all obligations and covenants contained in ARTICLE VI hereof) of a Principal Company and a Guarantor hereunder, of a Restricted Subsidiary under the Borrower Subsidiary Security Agreement, of a Borrower Affiliated Company under the Indemnity, Contribution and Subrogation Agreement, and of the appropriate party under any other Loan Document to which it becomes a party and (B) one or more Intellectual Property Security Agreements, if applicable;</w:t>
      </w:r>
    </w:p>
    <w:p>
      <w:pPr>
        <w:sectPr>
          <w:pgSz w:w="11900" w:h="16838" w:orient="portrait"/>
          <w:cols w:equalWidth="0" w:num="1">
            <w:col w:w="10239"/>
          </w:cols>
          <w:pgMar w:left="220" w:top="26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31</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pacing w:after="0" w:line="140" w:lineRule="exact"/>
        <w:rPr>
          <w:sz w:val="20"/>
          <w:szCs w:val="20"/>
          <w:color w:val="auto"/>
        </w:rPr>
      </w:pPr>
    </w:p>
    <w:p>
      <w:pPr>
        <w:ind w:left="540" w:right="3239" w:firstLine="519"/>
        <w:spacing w:after="0" w:line="262" w:lineRule="auto"/>
        <w:tabs>
          <w:tab w:leader="none" w:pos="167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demonstrated to the reasonable satisfaction of the Agent (based on, among other things, operating and financial projections and PRO FORMA financial statements delivered to the Agent and certified by the Chief Financial Officer) that, immediately after giving effect to the Acquisition (including the making of any Loans and the incurrence of any Indebtedness required to finance such Acquisition), all covenants (including all covenants contained in ARTICLE X hereof) contained herein (A) would have been satisfied on a PRO FORMA basis as at the end of and for the Most Recent Reference Period, and (B) will be satisfied on a PRO FORMA basis through the period ending two years after the date of Acquisition. The Agent acknowledges that, as of the date hereof, based on the information provided to it by the Borrower through the date hereof, the requirements of this paragraph (iii) are satisfied with respect to all Scheduled Acquisitions. Notwithstanding such acknowledgement by the Agent, the Borrower shall still be required to satisfy the requirements of this PARAGRAPH (iii) for any Scheduled Acquisition prior to the completion of such Scheduled Acquisition;</w:t>
      </w:r>
    </w:p>
    <w:p>
      <w:pPr>
        <w:spacing w:after="0" w:line="84" w:lineRule="exact"/>
        <w:rPr>
          <w:rFonts w:ascii="Courier New" w:cs="Courier New" w:eastAsia="Courier New" w:hAnsi="Courier New"/>
          <w:sz w:val="14"/>
          <w:szCs w:val="14"/>
          <w:color w:val="auto"/>
        </w:rPr>
      </w:pPr>
    </w:p>
    <w:p>
      <w:pPr>
        <w:ind w:left="540" w:right="3239" w:firstLine="519"/>
        <w:spacing w:after="0" w:line="290" w:lineRule="auto"/>
        <w:tabs>
          <w:tab w:leader="none" w:pos="167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is continuing immediately prior to such Acquisition, and no Default or Event of Default would result from such Acquisition;</w:t>
      </w:r>
    </w:p>
    <w:p>
      <w:pPr>
        <w:spacing w:after="0" w:line="56" w:lineRule="exact"/>
        <w:rPr>
          <w:rFonts w:ascii="Courier New" w:cs="Courier New" w:eastAsia="Courier New" w:hAnsi="Courier New"/>
          <w:sz w:val="15"/>
          <w:szCs w:val="15"/>
          <w:color w:val="auto"/>
        </w:rPr>
      </w:pPr>
    </w:p>
    <w:p>
      <w:pPr>
        <w:ind w:left="540" w:right="3319" w:firstLine="519"/>
        <w:spacing w:after="0" w:line="298" w:lineRule="auto"/>
        <w:tabs>
          <w:tab w:leader="none" w:pos="167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Total Consideration (as defined below) payable by the Principal Companies in connection with such Acquisition would be greater than $20,000,000, the Required Lenders have approved such Acquisition in writing (the Required Lenders having no obligation to do so);</w:t>
      </w:r>
    </w:p>
    <w:p>
      <w:pPr>
        <w:spacing w:after="0" w:line="53" w:lineRule="exact"/>
        <w:rPr>
          <w:rFonts w:ascii="Courier New" w:cs="Courier New" w:eastAsia="Courier New" w:hAnsi="Courier New"/>
          <w:sz w:val="14"/>
          <w:szCs w:val="14"/>
          <w:color w:val="auto"/>
        </w:rPr>
      </w:pPr>
    </w:p>
    <w:p>
      <w:pPr>
        <w:ind w:left="540" w:right="3319" w:firstLine="519"/>
        <w:spacing w:after="0" w:line="258" w:lineRule="auto"/>
        <w:tabs>
          <w:tab w:leader="none" w:pos="167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Total Consideration (as defined below) payable by the Borrower and its Restricted Subsidiaries in connection with such Acquisition would be greater than $10,000,000, the Agent shall have received such due diligence materials relating to the Acquisition as the Agent shall have reasonably requested, and the Agent shall be reasonably satisfied with the results of its review of such materials;</w:t>
      </w:r>
    </w:p>
    <w:p>
      <w:pPr>
        <w:spacing w:after="0" w:line="81" w:lineRule="exact"/>
        <w:rPr>
          <w:rFonts w:ascii="Courier New" w:cs="Courier New" w:eastAsia="Courier New" w:hAnsi="Courier New"/>
          <w:sz w:val="15"/>
          <w:szCs w:val="15"/>
          <w:color w:val="auto"/>
        </w:rPr>
      </w:pPr>
    </w:p>
    <w:p>
      <w:pPr>
        <w:ind w:left="540" w:right="3319" w:firstLine="519"/>
        <w:spacing w:after="0" w:line="264" w:lineRule="auto"/>
        <w:tabs>
          <w:tab w:leader="none" w:pos="167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satisfactory evidence that the Communication System to be acquired has complied with, is in compliance with, and, after the Acquisition, will be in compliance with, in all material respects all applicable Requirements of Law, including the Communications Act and all Environmental Laws; and</w:t>
      </w:r>
    </w:p>
    <w:p>
      <w:pPr>
        <w:spacing w:after="0" w:line="74" w:lineRule="exact"/>
        <w:rPr>
          <w:rFonts w:ascii="Courier New" w:cs="Courier New" w:eastAsia="Courier New" w:hAnsi="Courier New"/>
          <w:sz w:val="15"/>
          <w:szCs w:val="15"/>
          <w:color w:val="auto"/>
        </w:rPr>
      </w:pPr>
    </w:p>
    <w:p>
      <w:pPr>
        <w:ind w:left="540" w:right="3399" w:firstLine="519"/>
        <w:spacing w:after="0" w:line="273" w:lineRule="auto"/>
        <w:tabs>
          <w:tab w:leader="none" w:pos="167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such Acquisition, the Borrower shall have delivered to the Agent the definitive acquisition agreement between the Borrower and/or applicable Restricted Subsidiary or Subsidiaries and the applicable seller.</w:t>
      </w:r>
    </w:p>
    <w:p>
      <w:pPr>
        <w:spacing w:after="0" w:line="68" w:lineRule="exact"/>
        <w:rPr>
          <w:sz w:val="20"/>
          <w:szCs w:val="20"/>
          <w:color w:val="auto"/>
        </w:rPr>
      </w:pPr>
    </w:p>
    <w:p>
      <w:pPr>
        <w:ind w:right="3839"/>
        <w:spacing w:after="0" w:line="385" w:lineRule="auto"/>
        <w:rPr>
          <w:sz w:val="20"/>
          <w:szCs w:val="20"/>
          <w:color w:val="auto"/>
        </w:rPr>
      </w:pPr>
      <w:r>
        <w:rPr>
          <w:rFonts w:ascii="Courier New" w:cs="Courier New" w:eastAsia="Courier New" w:hAnsi="Courier New"/>
          <w:sz w:val="14"/>
          <w:szCs w:val="14"/>
          <w:color w:val="auto"/>
        </w:rPr>
        <w:t>As used in this definition, "TOTAL CONSIDERATION" means all consideration payable by any Principal Company in connection with any Acquisition,</w:t>
      </w:r>
    </w:p>
    <w:p>
      <w:pPr>
        <w:sectPr>
          <w:pgSz w:w="11900" w:h="16838" w:orient="portrait"/>
          <w:cols w:equalWidth="0" w:num="1">
            <w:col w:w="10239"/>
          </w:cols>
          <w:pgMar w:left="220" w:top="26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32</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24</w:t>
      </w:r>
    </w:p>
    <w:p>
      <w:pPr>
        <w:spacing w:after="0" w:line="14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including cash payments at closing, the principal amount of any promissory notes issued by any Principal Company, the principal amount of any amounts payable by any Principal Company in consideration for any non-compete covenant, and the amount of any Indebtedness for Borrowed Money assumed by any Principal Company (but excluding any consideration paid by the issuance of Permitted Capital Stock).</w:t>
      </w:r>
    </w:p>
    <w:p>
      <w:pPr>
        <w:spacing w:after="0" w:line="81"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The purchase by any Principal Company of any Communication System pursuant to any local market agreement or time brokerage agreement entered into any Principal Company in connection with any Permitted LMA Transaction must satisfy all of the above requirements.</w:t>
      </w:r>
    </w:p>
    <w:p>
      <w:pPr>
        <w:spacing w:after="0" w:line="68"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"PERMITTED CAPITAL STOCK" - Capital Stock of the Borrower with respect to which the Borrower has no obligation to make any Distributions prior to the payment in full in cash of all the Obligations.</w:t>
      </w:r>
    </w:p>
    <w:p>
      <w:pPr>
        <w:spacing w:after="0" w:line="57" w:lineRule="exact"/>
        <w:rPr>
          <w:sz w:val="20"/>
          <w:szCs w:val="20"/>
          <w:color w:val="auto"/>
        </w:rPr>
      </w:pPr>
    </w:p>
    <w:p>
      <w:pPr>
        <w:ind w:right="4019" w:firstLine="525"/>
        <w:spacing w:after="0" w:line="344" w:lineRule="auto"/>
        <w:rPr>
          <w:sz w:val="20"/>
          <w:szCs w:val="20"/>
          <w:color w:val="auto"/>
        </w:rPr>
      </w:pPr>
      <w:r>
        <w:rPr>
          <w:rFonts w:ascii="Courier New" w:cs="Courier New" w:eastAsia="Courier New" w:hAnsi="Courier New"/>
          <w:sz w:val="15"/>
          <w:szCs w:val="15"/>
          <w:color w:val="auto"/>
        </w:rPr>
        <w:t>"PERMITTED HOLDER" means (i) Christian or (ii) any of Christian's Permitted Transferees.</w:t>
      </w:r>
    </w:p>
    <w:p>
      <w:pPr>
        <w:spacing w:after="0" w:line="17"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"PERMITTED LMA TRANSACTION" - any agreement or arrangement pursuant to which the Borrower or any of its Restricted Subsidiaries purchases broadcast time on any Communications System (other than a Station) for the purpose of programming such broadcast time or any other similar arrangement, so long as in each case, either the Required Lenders have given their written consent to such transaction or:</w:t>
      </w:r>
    </w:p>
    <w:p>
      <w:pPr>
        <w:spacing w:after="0" w:line="81" w:lineRule="exact"/>
        <w:rPr>
          <w:sz w:val="20"/>
          <w:szCs w:val="20"/>
          <w:color w:val="auto"/>
        </w:rPr>
      </w:pPr>
    </w:p>
    <w:p>
      <w:pPr>
        <w:ind w:left="540" w:right="3239" w:firstLine="519"/>
        <w:spacing w:after="0" w:line="249" w:lineRule="auto"/>
        <w:tabs>
          <w:tab w:leader="none" w:pos="167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of its Restricted Subsidiaries has the obligation to purchase such Communications System pursuant to or in connection with such agreement, the requirements set forth in CLAUSES (i) through (viii) of the definition of "Permitted Acquisition" would be met; for purposes of determining whether such agreement or arrangement would meet such requirements, references in such clauses to the "Acquisition" or any similar reference shall be deemed to refer to the Acquisition contemplated by such agreement. This CLAUSE (i) shall not apply if the Borrower or its Restricted Subsidiaries has a mere option to purchase such Communication System;</w:t>
      </w:r>
    </w:p>
    <w:p>
      <w:pPr>
        <w:spacing w:after="0" w:line="87" w:lineRule="exact"/>
        <w:rPr>
          <w:rFonts w:ascii="Courier New" w:cs="Courier New" w:eastAsia="Courier New" w:hAnsi="Courier New"/>
          <w:sz w:val="15"/>
          <w:szCs w:val="15"/>
          <w:color w:val="auto"/>
        </w:rPr>
      </w:pPr>
    </w:p>
    <w:p>
      <w:pPr>
        <w:ind w:left="540" w:right="3239" w:firstLine="519"/>
        <w:spacing w:after="0" w:line="269" w:lineRule="auto"/>
        <w:tabs>
          <w:tab w:leader="none" w:pos="167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demonstrated to the reasonable satisfaction of the Agent that the Pro Forma Fixed Charges Coverage Ratio (as defined in SECTION 10.2), after giving PRO FORMA effect to the transactions contemplated by such agreement or arrangement, shall be not less than the ratio then required by SECTION 10.2. The Agent acknowledges that, as of the date hereof, the requirements of this paragraph (ii) are satisfied with respect to the local marketing agreement to be entered into by Saga Broadcast upon consummation of the KAVU-TV Acquisition. Notwithstanding such acknowledgment by the Agent, the Borrower shall still be required to satisfy the requirements of this</w:t>
      </w:r>
    </w:p>
    <w:p>
      <w:pPr>
        <w:sectPr>
          <w:pgSz w:w="11900" w:h="16838" w:orient="portrait"/>
          <w:cols w:equalWidth="0" w:num="1">
            <w:col w:w="10239"/>
          </w:cols>
          <w:pgMar w:left="220" w:top="26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33</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pacing w:after="0" w:line="140" w:lineRule="exact"/>
        <w:rPr>
          <w:sz w:val="20"/>
          <w:szCs w:val="20"/>
          <w:color w:val="auto"/>
        </w:rPr>
      </w:pPr>
    </w:p>
    <w:p>
      <w:pPr>
        <w:ind w:left="540" w:right="3399"/>
        <w:spacing w:after="0" w:line="344" w:lineRule="auto"/>
        <w:rPr>
          <w:sz w:val="20"/>
          <w:szCs w:val="20"/>
          <w:color w:val="auto"/>
        </w:rPr>
      </w:pPr>
      <w:r>
        <w:rPr>
          <w:rFonts w:ascii="Courier New" w:cs="Courier New" w:eastAsia="Courier New" w:hAnsi="Courier New"/>
          <w:sz w:val="15"/>
          <w:szCs w:val="15"/>
          <w:color w:val="auto"/>
        </w:rPr>
        <w:t>paragraph (ii) for any Permitted LMA Transaction prior to the completion of such Permitted LMA Transaction; and</w:t>
      </w:r>
    </w:p>
    <w:p>
      <w:pPr>
        <w:spacing w:after="0" w:line="17" w:lineRule="exact"/>
        <w:rPr>
          <w:sz w:val="20"/>
          <w:szCs w:val="20"/>
          <w:color w:val="auto"/>
        </w:rPr>
      </w:pPr>
    </w:p>
    <w:p>
      <w:pPr>
        <w:ind w:left="540" w:right="3679" w:firstLine="519"/>
        <w:spacing w:after="0" w:line="273" w:lineRule="auto"/>
        <w:tabs>
          <w:tab w:leader="none" w:pos="167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is continuing immediately prior to the effectiveness of such agreement or arrangement, and no Default or Event of Default would result from such agreement or arrangement.</w:t>
      </w:r>
    </w:p>
    <w:p>
      <w:pPr>
        <w:spacing w:after="0" w:line="6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"PERMITTED LIENS" - as to any Principal Company:</w:t>
      </w:r>
    </w:p>
    <w:p>
      <w:pPr>
        <w:spacing w:after="0" w:line="166" w:lineRule="exact"/>
        <w:rPr>
          <w:sz w:val="20"/>
          <w:szCs w:val="20"/>
          <w:color w:val="auto"/>
        </w:rPr>
      </w:pPr>
    </w:p>
    <w:p>
      <w:pPr>
        <w:ind w:left="540" w:right="3319" w:firstLine="519"/>
        <w:spacing w:after="0" w:line="298" w:lineRule="auto"/>
        <w:tabs>
          <w:tab w:leader="none" w:pos="167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taxes, assessments, levies or other governmental charges imposed upon such Principal Company, to the extent (in each case) that the payment thereof shall not at the time be required to be made in accordance with the provisions of SECTION 8.1;</w:t>
      </w:r>
    </w:p>
    <w:p>
      <w:pPr>
        <w:spacing w:after="0" w:line="53" w:lineRule="exact"/>
        <w:rPr>
          <w:rFonts w:ascii="Courier New" w:cs="Courier New" w:eastAsia="Courier New" w:hAnsi="Courier New"/>
          <w:sz w:val="14"/>
          <w:szCs w:val="14"/>
          <w:color w:val="auto"/>
        </w:rPr>
      </w:pPr>
    </w:p>
    <w:p>
      <w:pPr>
        <w:ind w:left="540" w:right="3239" w:firstLine="519"/>
        <w:spacing w:after="0" w:line="249" w:lineRule="auto"/>
        <w:tabs>
          <w:tab w:leader="none" w:pos="167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by such Principal Company in the ordinary course of its business (A) to secure payment of workers' compensation, unemployment insurance, or other forms of governmental insurance or benefits, (B) to secure performance of bids, tenders, statutory obligations, leases and contracts (other than contracts relating to borrowed money), or (C) to secure surety, appeal, indemnity or performance bonds, in each case in the ordinary course of business of such Principal Company, and in each case only to the extent that payment thereof shall not at the time be required to be made in accordance with the provisions of SECTION 8.1;</w:t>
      </w:r>
    </w:p>
    <w:p>
      <w:pPr>
        <w:spacing w:after="0" w:line="87" w:lineRule="exact"/>
        <w:rPr>
          <w:rFonts w:ascii="Courier New" w:cs="Courier New" w:eastAsia="Courier New" w:hAnsi="Courier New"/>
          <w:sz w:val="15"/>
          <w:szCs w:val="15"/>
          <w:color w:val="auto"/>
        </w:rPr>
      </w:pPr>
    </w:p>
    <w:p>
      <w:pPr>
        <w:ind w:left="540" w:right="3239" w:firstLine="519"/>
        <w:spacing w:after="0" w:line="255" w:lineRule="auto"/>
        <w:tabs>
          <w:tab w:leader="none" w:pos="167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against such Principal Company with respect to which such Principal Company shall currently be processing an appeal or proceedings for review; PROVIDED, that (A) appropriate reserves with respect thereto have been established and maintained on the consolidated books of the Principal Companies in accordance with GAAP and (B) no such Lien or judgment constitutes an Event of Default described in SUBSECTION 11.1(i) or (o);</w:t>
      </w:r>
    </w:p>
    <w:p>
      <w:pPr>
        <w:spacing w:after="0" w:line="81" w:lineRule="exact"/>
        <w:rPr>
          <w:rFonts w:ascii="Courier New" w:cs="Courier New" w:eastAsia="Courier New" w:hAnsi="Courier New"/>
          <w:sz w:val="15"/>
          <w:szCs w:val="15"/>
          <w:color w:val="auto"/>
        </w:rPr>
      </w:pPr>
    </w:p>
    <w:p>
      <w:pPr>
        <w:ind w:left="540" w:right="3499" w:firstLine="519"/>
        <w:spacing w:after="0" w:line="273" w:lineRule="auto"/>
        <w:tabs>
          <w:tab w:leader="none" w:pos="167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landlords or materialmen incurred in the ordinary course of the business of such Principal Company, in each case for sums not at the time required to be paid in accordance with provisions of SECTION 8.1; and</w:t>
      </w:r>
    </w:p>
    <w:p>
      <w:pPr>
        <w:spacing w:after="0" w:line="67" w:lineRule="exact"/>
        <w:rPr>
          <w:rFonts w:ascii="Courier New" w:cs="Courier New" w:eastAsia="Courier New" w:hAnsi="Courier New"/>
          <w:sz w:val="15"/>
          <w:szCs w:val="15"/>
          <w:color w:val="auto"/>
        </w:rPr>
      </w:pPr>
    </w:p>
    <w:p>
      <w:pPr>
        <w:ind w:left="540" w:right="3239" w:firstLine="519"/>
        <w:spacing w:after="0" w:line="287" w:lineRule="auto"/>
        <w:tabs>
          <w:tab w:leader="none" w:pos="167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rights-of-way, zoning and similar restrictions and other similar encumbrances or title defects which, in the aggregate, are not substantial in amount, and which do not in any case materially detract from the value of the property subject thereto or interfere with the ordinary conduct of the business of such Principal Company.</w:t>
      </w:r>
    </w:p>
    <w:p>
      <w:pPr>
        <w:spacing w:after="0" w:line="61" w:lineRule="exact"/>
        <w:rPr>
          <w:sz w:val="20"/>
          <w:szCs w:val="20"/>
          <w:color w:val="auto"/>
        </w:rPr>
      </w:pPr>
    </w:p>
    <w:p>
      <w:pPr>
        <w:jc w:val="both"/>
        <w:ind w:right="3399" w:firstLine="525"/>
        <w:spacing w:after="0" w:line="320" w:lineRule="auto"/>
        <w:rPr>
          <w:sz w:val="20"/>
          <w:szCs w:val="20"/>
          <w:color w:val="auto"/>
        </w:rPr>
      </w:pPr>
      <w:r>
        <w:rPr>
          <w:rFonts w:ascii="Courier New" w:cs="Courier New" w:eastAsia="Courier New" w:hAnsi="Courier New"/>
          <w:sz w:val="14"/>
          <w:szCs w:val="14"/>
          <w:color w:val="auto"/>
        </w:rPr>
        <w:t>"PERMITTED SALE" - any Sale by any Principal Company (i) in the ordinary course of its business of immaterial Assets or obsolete or unusable equipment, (ii) in the ordinary course of its business of other equipment as long as such</w:t>
      </w:r>
    </w:p>
    <w:p>
      <w:pPr>
        <w:sectPr>
          <w:pgSz w:w="11900" w:h="16838" w:orient="portrait"/>
          <w:cols w:equalWidth="0" w:num="1">
            <w:col w:w="10239"/>
          </w:cols>
          <w:pgMar w:left="220" w:top="26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34</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26</w:t>
      </w:r>
    </w:p>
    <w:p>
      <w:pPr>
        <w:spacing w:after="0" w:line="140" w:lineRule="exact"/>
        <w:rPr>
          <w:sz w:val="20"/>
          <w:szCs w:val="20"/>
          <w:color w:val="auto"/>
        </w:rPr>
      </w:pPr>
    </w:p>
    <w:p>
      <w:pPr>
        <w:ind w:right="3319"/>
        <w:spacing w:after="0" w:line="270" w:lineRule="auto"/>
        <w:rPr>
          <w:sz w:val="20"/>
          <w:szCs w:val="20"/>
          <w:color w:val="auto"/>
        </w:rPr>
      </w:pPr>
      <w:r>
        <w:rPr>
          <w:rFonts w:ascii="Courier New" w:cs="Courier New" w:eastAsia="Courier New" w:hAnsi="Courier New"/>
          <w:sz w:val="14"/>
          <w:szCs w:val="14"/>
          <w:color w:val="auto"/>
        </w:rPr>
        <w:t>equipment is replaced by equipment of like function and comparable value within a period of three months after the date of such Sale or (iii) in the ordinary course of its business of Immaterial Real Property; PROVIDED, HOWEVER, that (A) the total consideration payable to or receivable by the Principal Companies in connection with any Permitted Sale (1) is an amount not less than the fair market of the Assets subject to such Sale and (2) consists of at least 90% cash which is payable at the closing of such Sale, and (B) no Sale shall be deemed a Permitted Sale if it occurs in connection with any Sale of a Communications System or other business by any Principal Company.</w:t>
      </w:r>
    </w:p>
    <w:p>
      <w:pPr>
        <w:spacing w:after="0" w:line="76"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"PERMITTED SUBORDINATED SELLER DEBT" - Seller Debt incurred in connection with any Permitted Acquisition which:</w:t>
      </w:r>
    </w:p>
    <w:p>
      <w:pPr>
        <w:spacing w:after="0" w:line="17" w:lineRule="exact"/>
        <w:rPr>
          <w:sz w:val="20"/>
          <w:szCs w:val="20"/>
          <w:color w:val="auto"/>
        </w:rPr>
      </w:pPr>
    </w:p>
    <w:p>
      <w:pPr>
        <w:ind w:left="540" w:right="3239" w:firstLine="519"/>
        <w:spacing w:after="0" w:line="252" w:lineRule="auto"/>
        <w:tabs>
          <w:tab w:leader="none" w:pos="167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Guarantied in any manner by any Principal Company unless such Guaranty is by the Borrower and is subordinated in right of payment and exercise of remedies to the prior payment in full in cash of all the Obligations, and any Indebtedness which refunds, refinances or replaces the Obligations, pursuant to a subordination agreement among the holder of such Seller Debt, the Borrower and the Agent which is acceptable in all respects to the Agent; or (B) secured by any Assets of any Principal Company;</w:t>
      </w:r>
    </w:p>
    <w:p>
      <w:pPr>
        <w:spacing w:after="0" w:line="86" w:lineRule="exact"/>
        <w:rPr>
          <w:rFonts w:ascii="Courier New" w:cs="Courier New" w:eastAsia="Courier New" w:hAnsi="Courier New"/>
          <w:sz w:val="15"/>
          <w:szCs w:val="15"/>
          <w:color w:val="auto"/>
        </w:rPr>
      </w:pPr>
    </w:p>
    <w:p>
      <w:pPr>
        <w:ind w:left="540" w:right="3499" w:firstLine="519"/>
        <w:spacing w:after="0" w:line="344" w:lineRule="auto"/>
        <w:tabs>
          <w:tab w:leader="none" w:pos="167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no principal payments prior to one year after the Maturity Date;</w:t>
      </w:r>
    </w:p>
    <w:p>
      <w:pPr>
        <w:spacing w:after="0" w:line="17" w:lineRule="exact"/>
        <w:rPr>
          <w:rFonts w:ascii="Courier New" w:cs="Courier New" w:eastAsia="Courier New" w:hAnsi="Courier New"/>
          <w:sz w:val="15"/>
          <w:szCs w:val="15"/>
          <w:color w:val="auto"/>
        </w:rPr>
      </w:pPr>
    </w:p>
    <w:p>
      <w:pPr>
        <w:ind w:left="1680" w:hanging="621"/>
        <w:spacing w:after="0"/>
        <w:tabs>
          <w:tab w:leader="none" w:pos="16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bears interest at a fixed annual rate not in excess of 10%;</w:t>
      </w:r>
    </w:p>
    <w:p>
      <w:pPr>
        <w:spacing w:after="0" w:line="166" w:lineRule="exact"/>
        <w:rPr>
          <w:rFonts w:ascii="Courier New" w:cs="Courier New" w:eastAsia="Courier New" w:hAnsi="Courier New"/>
          <w:sz w:val="15"/>
          <w:szCs w:val="15"/>
          <w:color w:val="auto"/>
        </w:rPr>
      </w:pPr>
    </w:p>
    <w:p>
      <w:pPr>
        <w:ind w:left="540" w:right="3319" w:firstLine="519"/>
        <w:spacing w:after="0" w:line="258" w:lineRule="auto"/>
        <w:tabs>
          <w:tab w:leader="none" w:pos="167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subordinated in right of payment and exercise of remedies to the prior payment in full in cash of all the Obligations, and any Indebtedness which refunds, refinances or replaces the Obligations, pursuant to a subordination agreement among the holder of such Seller Debt, the issuer of such Seller Debt and the Agent which is acceptable in all respects to the Agent; and</w:t>
      </w:r>
    </w:p>
    <w:p>
      <w:pPr>
        <w:spacing w:after="0" w:line="81" w:lineRule="exact"/>
        <w:rPr>
          <w:rFonts w:ascii="Courier New" w:cs="Courier New" w:eastAsia="Courier New" w:hAnsi="Courier New"/>
          <w:sz w:val="15"/>
          <w:szCs w:val="15"/>
          <w:color w:val="auto"/>
        </w:rPr>
      </w:pPr>
    </w:p>
    <w:p>
      <w:pPr>
        <w:ind w:left="540" w:right="3239" w:firstLine="519"/>
        <w:spacing w:after="0" w:line="273" w:lineRule="auto"/>
        <w:tabs>
          <w:tab w:leader="none" w:pos="159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in a face amount at the time of incurrence thereof which, when added to the aggregate amount of all principal payment obligations of the Borrower in respect of any other Seller Debt, does not exceed $3,000,000.</w:t>
      </w:r>
    </w:p>
    <w:p>
      <w:pPr>
        <w:spacing w:after="0" w:line="68"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"PERMITTED TRANSFEREES" - with respect to any Person, (i) any Affiliate of such Person, (ii) the heirs, executors, administrators, testamentary trustees, legatees or beneficiaries of any such Person or (iii) a trust, the primary beneficiaries of which, or a corporation, partnership or other entity, the stockholders or general or limited partners or other owners of which, include only such Person or his or her spouse or lineal descendants, in each case to whom such Person has transferred the beneficial ownership of any Capital Stock of the Borrower.</w:t>
      </w:r>
    </w:p>
    <w:p>
      <w:pPr>
        <w:sectPr>
          <w:pgSz w:w="11900" w:h="16838" w:orient="portrait"/>
          <w:cols w:equalWidth="0" w:num="1">
            <w:col w:w="10239"/>
          </w:cols>
          <w:pgMar w:left="220" w:top="26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"PERSON" - an individual, a corporation, a partnership, a joint venture, a trust or unincorporated organization, a joint stock company or other similar organization, a government or any political subdivision thereof, a court, or any other legal entity, whether acting in an individual, fiduciary or other capacity.</w:t>
      </w:r>
    </w:p>
    <w:p>
      <w:pPr>
        <w:spacing w:after="0" w:line="75" w:lineRule="exact"/>
        <w:rPr>
          <w:sz w:val="20"/>
          <w:szCs w:val="20"/>
          <w:color w:val="auto"/>
        </w:rPr>
      </w:pPr>
    </w:p>
    <w:p>
      <w:pPr>
        <w:ind w:right="3239" w:firstLine="525"/>
        <w:spacing w:after="0" w:line="287" w:lineRule="auto"/>
        <w:rPr>
          <w:sz w:val="20"/>
          <w:szCs w:val="20"/>
          <w:color w:val="auto"/>
        </w:rPr>
      </w:pPr>
      <w:r>
        <w:rPr>
          <w:rFonts w:ascii="Courier New" w:cs="Courier New" w:eastAsia="Courier New" w:hAnsi="Courier New"/>
          <w:sz w:val="14"/>
          <w:szCs w:val="14"/>
          <w:color w:val="auto"/>
        </w:rPr>
        <w:t>"PREPAYMENT EVENT" - any Sale (other than a Permitted Sale), or any series of related Sales, of any Asset or Assets of any Principal Company (including Capital Stock of any Restricted Subsidiary) which takes place at any time after the date hereof and pursuant to which the gross amount of consideration payable to or receivable by the Borrower Affiliated Companies exceeds $2,000,000.</w:t>
      </w:r>
    </w:p>
    <w:p>
      <w:pPr>
        <w:spacing w:after="0" w:line="61" w:lineRule="exact"/>
        <w:rPr>
          <w:sz w:val="20"/>
          <w:szCs w:val="20"/>
          <w:color w:val="auto"/>
        </w:rPr>
      </w:pPr>
    </w:p>
    <w:p>
      <w:pPr>
        <w:ind w:right="3839" w:firstLine="525"/>
        <w:spacing w:after="0" w:line="344" w:lineRule="auto"/>
        <w:rPr>
          <w:sz w:val="20"/>
          <w:szCs w:val="20"/>
          <w:color w:val="auto"/>
        </w:rPr>
      </w:pPr>
      <w:r>
        <w:rPr>
          <w:rFonts w:ascii="Courier New" w:cs="Courier New" w:eastAsia="Courier New" w:hAnsi="Courier New"/>
          <w:sz w:val="15"/>
          <w:szCs w:val="15"/>
          <w:color w:val="auto"/>
        </w:rPr>
        <w:t>"PRINCIPAL COMPANIES" - collectively, (i) the Borrower and (ii) the Restricted Subsidiaries.</w:t>
      </w:r>
    </w:p>
    <w:p>
      <w:pPr>
        <w:spacing w:after="0" w:line="17" w:lineRule="exact"/>
        <w:rPr>
          <w:sz w:val="20"/>
          <w:szCs w:val="20"/>
          <w:color w:val="auto"/>
        </w:rPr>
      </w:pPr>
    </w:p>
    <w:p>
      <w:pPr>
        <w:ind w:right="3499" w:firstLine="525"/>
        <w:spacing w:after="0" w:line="381" w:lineRule="auto"/>
        <w:rPr>
          <w:sz w:val="20"/>
          <w:szCs w:val="20"/>
          <w:color w:val="auto"/>
        </w:rPr>
      </w:pPr>
      <w:r>
        <w:rPr>
          <w:rFonts w:ascii="Courier New" w:cs="Courier New" w:eastAsia="Courier New" w:hAnsi="Courier New"/>
          <w:sz w:val="14"/>
          <w:szCs w:val="14"/>
          <w:color w:val="auto"/>
        </w:rPr>
        <w:t>"PRINCIPAL OFFICE" - the principal office of the Agent in the United States, presently located at 100 Federal Street, Boston, Massachusetts 02110.</w:t>
      </w:r>
    </w:p>
    <w:p>
      <w:pPr>
        <w:spacing w:after="0" w:line="1"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"PRO FORMA FIXED CHARGES" - for any Reference Period, without duplication, the sum of (i) all interest in respect of Consolidated Total Funded Debt paid by the Borrower and its Restricted Subsidiaries during such Reference Period, (ii) all Commitment Fees paid by the Borrower and its Restricted Subsidiaries during such Reference Period, (iii) the aggregate amount of Capital Expenditures made by the Borrower and its Restricted Subsidiaries during such Reference Period</w:t>
      </w:r>
    </w:p>
    <w:p>
      <w:pPr>
        <w:jc w:val="both"/>
        <w:ind w:right="3399" w:firstLine="10"/>
        <w:spacing w:after="0" w:line="254" w:lineRule="auto"/>
        <w:tabs>
          <w:tab w:leader="none" w:pos="52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all federal, state or local income taxes paid by the Borrower and its Restricted Subsidiaries during such Reference Period, and</w:t>
      </w:r>
    </w:p>
    <w:p>
      <w:pPr>
        <w:ind w:right="3319" w:firstLine="10"/>
        <w:spacing w:after="0" w:line="272" w:lineRule="auto"/>
        <w:tabs>
          <w:tab w:leader="none" w:pos="4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principal in respect of Consolidated Total Funded Debt scheduled to be paid by the Principal Companies during the Next Reference Period, calculated assuming:</w:t>
      </w:r>
    </w:p>
    <w:p>
      <w:pPr>
        <w:spacing w:after="0" w:line="69" w:lineRule="exact"/>
        <w:rPr>
          <w:rFonts w:ascii="Courier New" w:cs="Courier New" w:eastAsia="Courier New" w:hAnsi="Courier New"/>
          <w:sz w:val="15"/>
          <w:szCs w:val="15"/>
          <w:color w:val="auto"/>
        </w:rPr>
      </w:pPr>
    </w:p>
    <w:p>
      <w:pPr>
        <w:ind w:left="540" w:right="3499" w:firstLine="519"/>
        <w:spacing w:after="0" w:line="344" w:lineRule="auto"/>
        <w:tabs>
          <w:tab w:leader="none" w:pos="159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 Acquisition Loans or Incremental Facility Loans are made during such Next Reference Period; and</w:t>
      </w:r>
    </w:p>
    <w:p>
      <w:pPr>
        <w:spacing w:after="0" w:line="17" w:lineRule="exact"/>
        <w:rPr>
          <w:rFonts w:ascii="Courier New" w:cs="Courier New" w:eastAsia="Courier New" w:hAnsi="Courier New"/>
          <w:sz w:val="15"/>
          <w:szCs w:val="15"/>
          <w:color w:val="auto"/>
        </w:rPr>
      </w:pPr>
    </w:p>
    <w:p>
      <w:pPr>
        <w:ind w:left="540" w:right="3239" w:firstLine="519"/>
        <w:spacing w:after="0" w:line="264" w:lineRule="auto"/>
        <w:tabs>
          <w:tab w:leader="none" w:pos="159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 Term Loans, Acquisition Loans or Incremental Facility Loans are prepaid during such Next Reference Period, and that the only payments of Term Loans, Acquisition Loans and Incremental Facility Loans made during such Next Reference Period are scheduled amortization payments made on the respective due dates thereof.</w:t>
      </w:r>
    </w:p>
    <w:p>
      <w:pPr>
        <w:spacing w:after="0" w:line="75" w:lineRule="exact"/>
        <w:rPr>
          <w:sz w:val="20"/>
          <w:szCs w:val="20"/>
          <w:color w:val="auto"/>
        </w:rPr>
      </w:pPr>
    </w:p>
    <w:p>
      <w:pPr>
        <w:jc w:val="both"/>
        <w:ind w:right="3399" w:firstLine="525"/>
        <w:spacing w:after="0" w:line="290" w:lineRule="auto"/>
        <w:rPr>
          <w:sz w:val="20"/>
          <w:szCs w:val="20"/>
          <w:color w:val="auto"/>
        </w:rPr>
      </w:pPr>
      <w:r>
        <w:rPr>
          <w:rFonts w:ascii="Courier New" w:cs="Courier New" w:eastAsia="Courier New" w:hAnsi="Courier New"/>
          <w:sz w:val="15"/>
          <w:szCs w:val="15"/>
          <w:color w:val="auto"/>
        </w:rPr>
        <w:t>"PROJECTIONS" - the projections of the Borrower delivered on or prior to the Effective Date which shall be certified by the Chief Financial Officer and identified as projections through the Maturity Date.</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"PUBLIC FILINGS" - as defined in SECTION 7.5.</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"PURCHASING LENDER" - as defined in SUBSECTION 13.11(b).</w:t>
      </w:r>
    </w:p>
    <w:p>
      <w:pPr>
        <w:sectPr>
          <w:pgSz w:w="11900" w:h="16838" w:orient="portrait"/>
          <w:cols w:equalWidth="0" w:num="1">
            <w:col w:w="10239"/>
          </w:cols>
          <w:pgMar w:left="220" w:top="26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36</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pacing w:after="0" w:line="309"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"QUARTERLY DATES" - the last Business Day of each March, June, September and December, the first of which shall be December 31, 1998.</w:t>
      </w:r>
    </w:p>
    <w:p>
      <w:pPr>
        <w:spacing w:after="0" w:line="17"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"REFERENCE PERIOD" - each period of four consecutive fiscal quarters of the Borrower.</w:t>
      </w:r>
    </w:p>
    <w:p>
      <w:pPr>
        <w:spacing w:after="0" w:line="17" w:lineRule="exact"/>
        <w:rPr>
          <w:sz w:val="20"/>
          <w:szCs w:val="20"/>
          <w:color w:val="auto"/>
        </w:rPr>
      </w:pPr>
    </w:p>
    <w:p>
      <w:pPr>
        <w:ind w:right="3499" w:firstLine="525"/>
        <w:spacing w:after="0" w:line="381" w:lineRule="auto"/>
        <w:rPr>
          <w:sz w:val="20"/>
          <w:szCs w:val="20"/>
          <w:color w:val="auto"/>
        </w:rPr>
      </w:pPr>
      <w:r>
        <w:rPr>
          <w:rFonts w:ascii="Courier New" w:cs="Courier New" w:eastAsia="Courier New" w:hAnsi="Courier New"/>
          <w:sz w:val="14"/>
          <w:szCs w:val="14"/>
          <w:color w:val="auto"/>
        </w:rPr>
        <w:t>"REGULATION D" - Regulation D of the Board of Governors of the Federal Reserve System, as the same may be amended or supplemented from time to time.</w:t>
      </w:r>
    </w:p>
    <w:p>
      <w:pPr>
        <w:spacing w:after="0" w:line="1" w:lineRule="exact"/>
        <w:rPr>
          <w:sz w:val="20"/>
          <w:szCs w:val="20"/>
          <w:color w:val="auto"/>
        </w:rPr>
      </w:pPr>
    </w:p>
    <w:p>
      <w:pPr>
        <w:ind w:right="3319" w:firstLine="525"/>
        <w:spacing w:after="0" w:line="270" w:lineRule="auto"/>
        <w:rPr>
          <w:sz w:val="20"/>
          <w:szCs w:val="20"/>
          <w:color w:val="auto"/>
        </w:rPr>
      </w:pPr>
      <w:r>
        <w:rPr>
          <w:rFonts w:ascii="Courier New" w:cs="Courier New" w:eastAsia="Courier New" w:hAnsi="Courier New"/>
          <w:sz w:val="14"/>
          <w:szCs w:val="14"/>
          <w:color w:val="auto"/>
        </w:rPr>
        <w:t>"REGULATORY CHANGE" - as to any Lender, any change after the date of this Agreement in United States federal, state or foreign laws or regulations (including Regulation D and the laws or regulations which designate any assessment rate relating to certificates of deposit or otherwise) or the adoption or making after such date of any interpretations, directives or requests applying to a class of banks, including such Lender, of or under any United States federal, state or foreign laws or regulations (whether or not having the force of law) by any court or governmental or monetary authority charged with the interpretation or administration thereof.</w:t>
      </w:r>
    </w:p>
    <w:p>
      <w:pPr>
        <w:spacing w:after="0" w:line="76"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"REINVESTMENT COLLATERAL ACCOUNT" - as defined in the Collateral Trust Agreement.</w:t>
      </w:r>
    </w:p>
    <w:p>
      <w:pPr>
        <w:spacing w:after="0" w:line="17"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"REQUIRED ACQUISITION LOAN LENDERS" - at any time, Lenders the sum of whose (a) outstanding Acquisition Loan Commitments represent at least fifty-one percent (51%) of the Total Acquisition Loan Commitment or (b) after the termination of the Acquisition Loan Commitment Period, outstanding Acquisition Loans represent at least fifty-one percent (51%) of all outstanding Acquisition Loans made by the Lenders.</w:t>
      </w:r>
    </w:p>
    <w:p>
      <w:pPr>
        <w:spacing w:after="0" w:line="8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"REQUIRED INCREMENTAL FACILITY LENDERS" - at any time, with respect to any Series of Incremental Facility Loans, Lenders the sum of whose (a) outstanding Incremental Facility Commitments of such Series of Incremental Facility Loans represent at least fifty-one percent (51%) of the aggregate Incremental Facility Commitments of such Series, or (b) after the termination of the Incremental Facility Commitment Period, outstanding Incremental Facility Loans of such Series represent at least fifty-one percent (51%) of all outstanding Incremental Facility Loans of such Series made by the Lenders.</w:t>
      </w:r>
    </w:p>
    <w:p>
      <w:pPr>
        <w:spacing w:after="0" w:line="7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"REQUIRED LENDERS" - at any time, Lenders the sum of whose (a) outstanding</w:t>
      </w:r>
    </w:p>
    <w:p>
      <w:pPr>
        <w:spacing w:after="0" w:line="36" w:lineRule="exact"/>
        <w:rPr>
          <w:sz w:val="20"/>
          <w:szCs w:val="20"/>
          <w:color w:val="auto"/>
        </w:rPr>
      </w:pPr>
    </w:p>
    <w:p>
      <w:pPr>
        <w:ind w:right="3319" w:firstLine="10"/>
        <w:spacing w:after="0" w:line="267" w:lineRule="auto"/>
        <w:tabs>
          <w:tab w:leader="none" w:pos="35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 Commitments or, after the termination thereof, outstanding Term Loans, (ii) Revolving Credit Commitments or, after the termination thereof, outstanding Revolving Credit Loans, (iii) Acquisition Loans Commitments or, after the termination thereof, outstanding Acquisition Loans, (iv) Incremental Facility Commitments of each Series of Incremental Facility Loans or, after the termination thereof, outstanding Incremental Facility Loans and (v) Letter of Credit Exposure, represent at least 51% of the sum of (b) all outstanding (i) Term Loan Commitments or, after the termination thereof, all</w:t>
      </w:r>
    </w:p>
    <w:p>
      <w:pPr>
        <w:sectPr>
          <w:pgSz w:w="11900" w:h="16838" w:orient="portrait"/>
          <w:cols w:equalWidth="0" w:num="1">
            <w:col w:w="10239"/>
          </w:cols>
          <w:pgMar w:left="220" w:top="26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37</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pacing w:after="0" w:line="140"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outstanding Term Loans, (ii) Revolving Credit Commitments or, after the termination thereof, all outstanding Revolving Credit Loans, (iii) Acquisition Loan Commitments or, after the termination thereof, all outstanding Acquisition Loans, (iv) Incremental Facility Commitments of each Series of Incremental Facility Loans or, after the termination thereof, all outstanding Incremental Facility Loans and (v) Letter of Credit Exposure.</w:t>
      </w:r>
    </w:p>
    <w:p>
      <w:pPr>
        <w:spacing w:after="0" w:line="81"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"REQUIRED REVOLVING CREDIT LENDERS" - at any time, Lenders the sum of whose (a) outstanding Revolving Credit Commitments represent at least fifty-one percent (51%) of the Total Revolving Credit Commitment, or (b) after the termination of the Revolving Credit Commitments, outstanding Revolving Credit Loans represent at least fifty-one percent (51%) of all outstanding Revolving Credit Loans made by Lenders.</w:t>
      </w:r>
    </w:p>
    <w:p>
      <w:pPr>
        <w:spacing w:after="0" w:line="81"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"REQUIRED TERM LOAN LENDERS" - at any time, Lenders the sum of whose (a) outstanding Term Loan Commitments represent at least fifty-one percent (51%) of the Total Term Loan Commitment, or (b) after the termination of the Term Loan Commitments, outstanding Term Loans represent at least fifty-one percent (51%) of all outstanding Term Loans made by Lenders.</w:t>
      </w:r>
    </w:p>
    <w:p>
      <w:pPr>
        <w:spacing w:after="0" w:line="75"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"REQUIREMENT OF LAW" - as to the any Principal Company, (i) the Governing Documents of such Principal Company, and (ii) any law, treaty, rule or regulation (whether Federal, state, local or foreign) or determination of any arbitrator or a court or other Governmental Authority, in each case applicable to or binding upon such Principal Company or any of its property or to which such or any of its property is subject.</w:t>
      </w:r>
    </w:p>
    <w:p>
      <w:pPr>
        <w:spacing w:after="0" w:line="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"RESERVED COMMITMENT AMOUNT" - as defined in SUBSECTION 2.1(a).</w:t>
      </w:r>
    </w:p>
    <w:p>
      <w:pPr>
        <w:spacing w:after="0" w:line="166"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4"/>
          <w:szCs w:val="14"/>
          <w:color w:val="auto"/>
        </w:rPr>
        <w:t>"RESTRICTED PAYMENTS" - with reference to any Principal Company, (i) any Distribution (other than any distribution by the Borrower of Class A Common Stock to any Person in connection with such Person's conversion of any Class B Common Stock owned by such Person into Class A Common Stock) or (ii) any optional retirement, repurchase, defeasance or redemption of, any acquisition for value of, or any repayment or prepayment of, any Indebtedness for Borrowed Money (other than Obligations) of any Principal Company other than as required by mandatory or scheduled repayment obligations.</w:t>
      </w:r>
    </w:p>
    <w:p>
      <w:pPr>
        <w:spacing w:after="0" w:line="71"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"RESTRICTED SUBSIDIARY" - any Subsidiary of the Borrower other than an Unrestricted Subsidiary.</w:t>
      </w:r>
    </w:p>
    <w:p>
      <w:pPr>
        <w:spacing w:after="0" w:line="17"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"REVOLVING CREDIT COMMITMENT" - with respect to a Lender, the commitment of such Lender to make Revolving Credit Loans to the Borrower in the amount set forth on SCHEDULE 1 hereto, as the same may be reduced from time to time or terminated in accordance with the terms hereof.</w:t>
      </w:r>
    </w:p>
    <w:p>
      <w:pPr>
        <w:spacing w:after="0" w:line="68"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"REVOLVING CREDIT COMMITMENT PERCENTAGE" - with respect to each Revolving Credit Lender, the percentage of such Lender's Revolving Credit</w:t>
      </w:r>
    </w:p>
    <w:p>
      <w:pPr>
        <w:sectPr>
          <w:pgSz w:w="11900" w:h="16838" w:orient="portrait"/>
          <w:cols w:equalWidth="0" w:num="1">
            <w:col w:w="10239"/>
          </w:cols>
          <w:pgMar w:left="220" w:top="26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38</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30</w:t>
      </w:r>
    </w:p>
    <w:p>
      <w:pPr>
        <w:spacing w:after="0" w:line="140" w:lineRule="exact"/>
        <w:rPr>
          <w:sz w:val="20"/>
          <w:szCs w:val="20"/>
          <w:color w:val="auto"/>
        </w:rPr>
      </w:pPr>
    </w:p>
    <w:p>
      <w:pPr>
        <w:ind w:right="3239"/>
        <w:spacing w:after="0" w:line="320" w:lineRule="auto"/>
        <w:rPr>
          <w:sz w:val="20"/>
          <w:szCs w:val="20"/>
          <w:color w:val="auto"/>
        </w:rPr>
      </w:pPr>
      <w:r>
        <w:rPr>
          <w:rFonts w:ascii="Courier New" w:cs="Courier New" w:eastAsia="Courier New" w:hAnsi="Courier New"/>
          <w:sz w:val="14"/>
          <w:szCs w:val="14"/>
          <w:color w:val="auto"/>
        </w:rPr>
        <w:t>Commitment to the Total Revolving Credit Commitment or, after the termination of the Revolving Credit Commitments, the percentage of such Lender's outstanding Revolving Credit Loans to the aggregate outstanding Revolving Credit Loans.</w:t>
      </w:r>
    </w:p>
    <w:p>
      <w:pPr>
        <w:spacing w:after="0" w:line="3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"REVOLVING CREDIT COMMITMENT FEES" - as defined in SECTION 2.8(a).</w:t>
      </w:r>
    </w:p>
    <w:p>
      <w:pPr>
        <w:spacing w:after="0" w:line="166" w:lineRule="exact"/>
        <w:rPr>
          <w:sz w:val="20"/>
          <w:szCs w:val="20"/>
          <w:color w:val="auto"/>
        </w:rPr>
      </w:pPr>
    </w:p>
    <w:p>
      <w:pPr>
        <w:ind w:right="4019" w:firstLine="525"/>
        <w:spacing w:after="0" w:line="344" w:lineRule="auto"/>
        <w:rPr>
          <w:sz w:val="20"/>
          <w:szCs w:val="20"/>
          <w:color w:val="auto"/>
        </w:rPr>
      </w:pPr>
      <w:r>
        <w:rPr>
          <w:rFonts w:ascii="Courier New" w:cs="Courier New" w:eastAsia="Courier New" w:hAnsi="Courier New"/>
          <w:sz w:val="15"/>
          <w:szCs w:val="15"/>
          <w:color w:val="auto"/>
        </w:rPr>
        <w:t>"REVOLVING CREDIT LENDER" - each Lender having a Revolving Credit Commitment or holding any Revolving Credit Loans.</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"REVOLVING CREDIT LOAN(S)" - as defined in SECTION 2.1(a).</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"REVOLVING CREDIT NOTE(S)" - as defined in SECTION 2.4(a).</w:t>
      </w:r>
    </w:p>
    <w:p>
      <w:pPr>
        <w:spacing w:after="0" w:line="166" w:lineRule="exact"/>
        <w:rPr>
          <w:sz w:val="20"/>
          <w:szCs w:val="20"/>
          <w:color w:val="auto"/>
        </w:rPr>
      </w:pPr>
    </w:p>
    <w:p>
      <w:pPr>
        <w:ind w:right="3399" w:firstLine="525"/>
        <w:spacing w:after="0" w:line="290" w:lineRule="auto"/>
        <w:rPr>
          <w:sz w:val="20"/>
          <w:szCs w:val="20"/>
          <w:color w:val="auto"/>
        </w:rPr>
      </w:pPr>
      <w:r>
        <w:rPr>
          <w:rFonts w:ascii="Courier New" w:cs="Courier New" w:eastAsia="Courier New" w:hAnsi="Courier New"/>
          <w:sz w:val="15"/>
          <w:szCs w:val="15"/>
          <w:color w:val="auto"/>
        </w:rPr>
        <w:t>"REVOLVING CREDIT OUTSTANDINGS" - at any time, the sum of (i) the aggregate principal amount of Revolving Credit Loans outstanding at such time, and (ii) the Letter of Credit Exposure at such time.</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"SAGA BROADCAST" - Saga Broadcasting Corp., a Delaware corporation.</w:t>
      </w:r>
    </w:p>
    <w:p>
      <w:pPr>
        <w:spacing w:after="0" w:line="166"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"SAGA BROADCAST STOCK PLEDGE AGREEMENT" - the Amended and Restated Stock Pledge Agreement, dated as of the Effective Date, by and between Saga Broadcast and the Collateral Trustee.</w:t>
      </w:r>
    </w:p>
    <w:p>
      <w:pPr>
        <w:spacing w:after="0" w:line="57" w:lineRule="exact"/>
        <w:rPr>
          <w:sz w:val="20"/>
          <w:szCs w:val="20"/>
          <w:color w:val="auto"/>
        </w:rPr>
      </w:pPr>
    </w:p>
    <w:p>
      <w:pPr>
        <w:ind w:right="3759" w:firstLine="525"/>
        <w:spacing w:after="0" w:line="344" w:lineRule="auto"/>
        <w:rPr>
          <w:sz w:val="20"/>
          <w:szCs w:val="20"/>
          <w:color w:val="auto"/>
        </w:rPr>
      </w:pPr>
      <w:r>
        <w:rPr>
          <w:rFonts w:ascii="Courier New" w:cs="Courier New" w:eastAsia="Courier New" w:hAnsi="Courier New"/>
          <w:sz w:val="15"/>
          <w:szCs w:val="15"/>
          <w:color w:val="auto"/>
        </w:rPr>
        <w:t>"SAGA OF ICELAND" - Saga Communications of Iceland, Inc., a Delaware corporation.</w:t>
      </w:r>
    </w:p>
    <w:p>
      <w:pPr>
        <w:spacing w:after="0" w:line="17"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"SAGA OF ILLINOIS" - Saga Communications of Illinois, Inc., a Delaware corporation.</w:t>
      </w:r>
    </w:p>
    <w:p>
      <w:pPr>
        <w:spacing w:after="0" w:line="17" w:lineRule="exact"/>
        <w:rPr>
          <w:sz w:val="20"/>
          <w:szCs w:val="20"/>
          <w:color w:val="auto"/>
        </w:rPr>
      </w:pPr>
    </w:p>
    <w:p>
      <w:pPr>
        <w:ind w:right="4279" w:firstLine="525"/>
        <w:spacing w:after="0" w:line="344" w:lineRule="auto"/>
        <w:rPr>
          <w:sz w:val="20"/>
          <w:szCs w:val="20"/>
          <w:color w:val="auto"/>
        </w:rPr>
      </w:pPr>
      <w:r>
        <w:rPr>
          <w:rFonts w:ascii="Courier New" w:cs="Courier New" w:eastAsia="Courier New" w:hAnsi="Courier New"/>
          <w:sz w:val="15"/>
          <w:szCs w:val="15"/>
          <w:color w:val="auto"/>
        </w:rPr>
        <w:t>"SAGA OF IOWA" - Saga Communications of Iowa, Inc., a Delaware corporation.</w:t>
      </w:r>
    </w:p>
    <w:p>
      <w:pPr>
        <w:spacing w:after="0" w:line="17" w:lineRule="exact"/>
        <w:rPr>
          <w:sz w:val="20"/>
          <w:szCs w:val="20"/>
          <w:color w:val="auto"/>
        </w:rPr>
      </w:pPr>
    </w:p>
    <w:p>
      <w:pPr>
        <w:jc w:val="both"/>
        <w:ind w:right="3499" w:firstLine="525"/>
        <w:spacing w:after="0" w:line="290" w:lineRule="auto"/>
        <w:rPr>
          <w:sz w:val="20"/>
          <w:szCs w:val="20"/>
          <w:color w:val="auto"/>
        </w:rPr>
      </w:pPr>
      <w:r>
        <w:rPr>
          <w:rFonts w:ascii="Courier New" w:cs="Courier New" w:eastAsia="Courier New" w:hAnsi="Courier New"/>
          <w:sz w:val="15"/>
          <w:szCs w:val="15"/>
          <w:color w:val="auto"/>
        </w:rPr>
        <w:t>"SAGA OF IOWA PLEDGE AGREEMENT" - the Amended and Restated Saga of Iowa Pledge Agreement, dated as of the Effective Date, by and between Saga of Iowa and the Collateral Trustee.</w:t>
      </w:r>
    </w:p>
    <w:p>
      <w:pPr>
        <w:spacing w:after="0" w:line="57"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"SAGA OF MICHIGAN" - Saga Communications of Michigan, Inc., a Delaware corporation.</w:t>
      </w:r>
    </w:p>
    <w:p>
      <w:pPr>
        <w:spacing w:after="0" w:line="17" w:lineRule="exact"/>
        <w:rPr>
          <w:sz w:val="20"/>
          <w:szCs w:val="20"/>
          <w:color w:val="auto"/>
        </w:rPr>
      </w:pPr>
    </w:p>
    <w:p>
      <w:pPr>
        <w:ind w:right="3839" w:firstLine="525"/>
        <w:spacing w:after="0" w:line="344" w:lineRule="auto"/>
        <w:rPr>
          <w:sz w:val="20"/>
          <w:szCs w:val="20"/>
          <w:color w:val="auto"/>
        </w:rPr>
      </w:pPr>
      <w:r>
        <w:rPr>
          <w:rFonts w:ascii="Courier New" w:cs="Courier New" w:eastAsia="Courier New" w:hAnsi="Courier New"/>
          <w:sz w:val="15"/>
          <w:szCs w:val="15"/>
          <w:color w:val="auto"/>
        </w:rPr>
        <w:t>"SAGA OF NEW ENGLAND" - Saga Communications of New England, Inc., a Delaware corporation.</w:t>
      </w:r>
    </w:p>
    <w:p>
      <w:pPr>
        <w:spacing w:after="0" w:line="17" w:lineRule="exact"/>
        <w:rPr>
          <w:sz w:val="20"/>
          <w:szCs w:val="20"/>
          <w:color w:val="auto"/>
        </w:rPr>
      </w:pPr>
    </w:p>
    <w:p>
      <w:pPr>
        <w:ind w:right="3579" w:firstLine="525"/>
        <w:spacing w:after="0" w:line="344" w:lineRule="auto"/>
        <w:rPr>
          <w:sz w:val="20"/>
          <w:szCs w:val="20"/>
          <w:color w:val="auto"/>
        </w:rPr>
      </w:pPr>
      <w:r>
        <w:rPr>
          <w:rFonts w:ascii="Courier New" w:cs="Courier New" w:eastAsia="Courier New" w:hAnsi="Courier New"/>
          <w:sz w:val="15"/>
          <w:szCs w:val="15"/>
          <w:color w:val="auto"/>
        </w:rPr>
        <w:t>"SAGA QUAD STATES" - Saga Quad States Communications, Inc., a Delaware corporation.</w:t>
      </w:r>
    </w:p>
    <w:p>
      <w:pPr>
        <w:spacing w:after="0" w:line="17" w:lineRule="exact"/>
        <w:rPr>
          <w:sz w:val="20"/>
          <w:szCs w:val="20"/>
          <w:color w:val="auto"/>
        </w:rPr>
      </w:pPr>
    </w:p>
    <w:p>
      <w:pPr>
        <w:ind w:right="3679" w:firstLine="525"/>
        <w:spacing w:after="0" w:line="344" w:lineRule="auto"/>
        <w:rPr>
          <w:sz w:val="20"/>
          <w:szCs w:val="20"/>
          <w:color w:val="auto"/>
        </w:rPr>
      </w:pPr>
      <w:r>
        <w:rPr>
          <w:rFonts w:ascii="Courier New" w:cs="Courier New" w:eastAsia="Courier New" w:hAnsi="Courier New"/>
          <w:sz w:val="15"/>
          <w:szCs w:val="15"/>
          <w:color w:val="auto"/>
        </w:rPr>
        <w:t>"SAGA REAL ESTATE" - Saga Communications of Iowa Real Estate, Inc., a Delaware corporation.</w:t>
      </w:r>
    </w:p>
    <w:p>
      <w:pPr>
        <w:sectPr>
          <w:pgSz w:w="11900" w:h="16838" w:orient="portrait"/>
          <w:cols w:equalWidth="0" w:num="1">
            <w:col w:w="10239"/>
          </w:cols>
          <w:pgMar w:left="220" w:top="26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39</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31</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"SALE" - a sale, lease, transfer or other disposition of any Asset.</w:t>
      </w:r>
    </w:p>
    <w:p>
      <w:pPr>
        <w:spacing w:after="0" w:line="166"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"SCHEDULED ACQUISITIONS" - collectively, (i) the KAVU-TV Acquisition, (ii) the KBFW-AM Acquisition, and (iii) the KAFE-FM and KPUG-AM Acquisition and (iv) the Michigan Farm Radio Network Acquisition.</w:t>
      </w:r>
    </w:p>
    <w:p>
      <w:pPr>
        <w:spacing w:after="0" w:line="57" w:lineRule="exact"/>
        <w:rPr>
          <w:sz w:val="20"/>
          <w:szCs w:val="20"/>
          <w:color w:val="auto"/>
        </w:rPr>
      </w:pPr>
    </w:p>
    <w:p>
      <w:pPr>
        <w:ind w:right="4019" w:firstLine="525"/>
        <w:spacing w:after="0" w:line="290" w:lineRule="auto"/>
        <w:rPr>
          <w:sz w:val="20"/>
          <w:szCs w:val="20"/>
          <w:color w:val="auto"/>
        </w:rPr>
      </w:pPr>
      <w:r>
        <w:rPr>
          <w:rFonts w:ascii="Courier New" w:cs="Courier New" w:eastAsia="Courier New" w:hAnsi="Courier New"/>
          <w:sz w:val="15"/>
          <w:szCs w:val="15"/>
          <w:color w:val="auto"/>
        </w:rPr>
        <w:t>"SCHEDULED ACQUISITION DOCUMENTS" - all agreements, documents and instruments executed and/or delivered in connection with any Scheduled Acquisition.</w:t>
      </w:r>
    </w:p>
    <w:p>
      <w:pPr>
        <w:spacing w:after="0" w:line="57" w:lineRule="exact"/>
        <w:rPr>
          <w:sz w:val="20"/>
          <w:szCs w:val="20"/>
          <w:color w:val="auto"/>
        </w:rPr>
      </w:pPr>
    </w:p>
    <w:p>
      <w:pPr>
        <w:ind w:right="3499" w:firstLine="525"/>
        <w:spacing w:after="0" w:line="320" w:lineRule="auto"/>
        <w:rPr>
          <w:sz w:val="20"/>
          <w:szCs w:val="20"/>
          <w:color w:val="auto"/>
        </w:rPr>
      </w:pPr>
      <w:r>
        <w:rPr>
          <w:rFonts w:ascii="Courier New" w:cs="Courier New" w:eastAsia="Courier New" w:hAnsi="Courier New"/>
          <w:sz w:val="14"/>
          <w:szCs w:val="14"/>
          <w:color w:val="auto"/>
        </w:rPr>
        <w:t>"SECONDARY STATIONS" - FM Translator Stations W270AH, Peterborough, New Hampshire, and W272AX, Keene, New Hampshire, and such other FM translator stations acquired by any Principal Company after the Effective Date.</w:t>
      </w:r>
    </w:p>
    <w:p>
      <w:pPr>
        <w:spacing w:after="0" w:line="3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"SECURED CREDITORS" - as defined in the Collateral Trust Agreement.</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"SECURITIES ACT" - the Securities Act of 1933, as amended.</w:t>
      </w:r>
    </w:p>
    <w:p>
      <w:pPr>
        <w:spacing w:after="0" w:line="16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"SECURITY DOCUMENTS" - (i) the Collateral Trust Agreement, (ii) the Stock Pledge Agreements, (iii) the Borrower Security Agreement, (iv) the Borrower Subsidiary Security Agreement, (v) the Intellectual Property Security Agreements, (vi) the Mortgages, and (vii) any other instruments or documents from time to time securing or guaranteeing any of the Obligations or from time to time designated by the Borrower and the Agent as Security Documents hereunder.</w:t>
      </w:r>
    </w:p>
    <w:p>
      <w:pPr>
        <w:spacing w:after="0" w:line="82" w:lineRule="exact"/>
        <w:rPr>
          <w:sz w:val="20"/>
          <w:szCs w:val="20"/>
          <w:color w:val="auto"/>
        </w:rPr>
      </w:pPr>
    </w:p>
    <w:p>
      <w:pPr>
        <w:ind w:right="3499" w:firstLine="525"/>
        <w:spacing w:after="0" w:line="320" w:lineRule="auto"/>
        <w:rPr>
          <w:sz w:val="20"/>
          <w:szCs w:val="20"/>
          <w:color w:val="auto"/>
        </w:rPr>
      </w:pPr>
      <w:r>
        <w:rPr>
          <w:rFonts w:ascii="Courier New" w:cs="Courier New" w:eastAsia="Courier New" w:hAnsi="Courier New"/>
          <w:sz w:val="14"/>
          <w:szCs w:val="14"/>
          <w:color w:val="auto"/>
        </w:rPr>
        <w:t>"SELLER DEBT" - Indebtedness (other than Loans or Letters of Credit) of any Principal Company (whether in respect of promissory notes, non-compete covenants or otherwise) incurred in connection with any Acquisition.</w:t>
      </w:r>
    </w:p>
    <w:p>
      <w:pPr>
        <w:spacing w:after="0" w:line="38"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"SELLER DEBT DOCUMENTS" - all agreements, instruments or other documents evidencing or relating to Seller Debt.</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"SERIES" - as defined in SECTION 2.1(d).</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"SPECIAL COUNSEL FEE AGREEMENT" - as defined in SUBSECTION 5.1(i).</w:t>
      </w:r>
    </w:p>
    <w:p>
      <w:pPr>
        <w:spacing w:after="0" w:line="166" w:lineRule="exact"/>
        <w:rPr>
          <w:sz w:val="20"/>
          <w:szCs w:val="20"/>
          <w:color w:val="auto"/>
        </w:rPr>
      </w:pPr>
    </w:p>
    <w:p>
      <w:pPr>
        <w:ind w:right="3499" w:firstLine="525"/>
        <w:spacing w:after="0" w:line="273" w:lineRule="auto"/>
        <w:rPr>
          <w:sz w:val="20"/>
          <w:szCs w:val="20"/>
          <w:color w:val="auto"/>
        </w:rPr>
      </w:pPr>
      <w:r>
        <w:rPr>
          <w:rFonts w:ascii="Courier New" w:cs="Courier New" w:eastAsia="Courier New" w:hAnsi="Courier New"/>
          <w:sz w:val="15"/>
          <w:szCs w:val="15"/>
          <w:color w:val="auto"/>
        </w:rPr>
        <w:t>"SPECIFIED DEFAULT" - as of any date of determination, any Event of Default (other than an Event of Default described in Sections 11.1(d), (f) or (j)) which shall not have been remedied within five (5) days after notice thereof shall have been given to the Borrower by the Agent.</w:t>
      </w:r>
    </w:p>
    <w:p>
      <w:pPr>
        <w:spacing w:after="0" w:line="68" w:lineRule="exact"/>
        <w:rPr>
          <w:sz w:val="20"/>
          <w:szCs w:val="20"/>
          <w:color w:val="auto"/>
        </w:rPr>
      </w:pPr>
    </w:p>
    <w:p>
      <w:pPr>
        <w:ind w:right="3499" w:firstLine="525"/>
        <w:spacing w:after="0" w:line="287" w:lineRule="auto"/>
        <w:rPr>
          <w:sz w:val="20"/>
          <w:szCs w:val="20"/>
          <w:color w:val="auto"/>
        </w:rPr>
      </w:pPr>
      <w:r>
        <w:rPr>
          <w:rFonts w:ascii="Courier New" w:cs="Courier New" w:eastAsia="Courier New" w:hAnsi="Courier New"/>
          <w:sz w:val="14"/>
          <w:szCs w:val="14"/>
          <w:color w:val="auto"/>
        </w:rPr>
        <w:t>"STATIONS" - collectively, (i) radio station WAQY-FM, licensed to Springfield, Massachusetts; (ii) radio station WAQY (AM), licensed to East Longmeadow, Massachusetts; (iii) radio stations WZAN (AM), WPOR-FM, WGAN (AM) and WMGX (FM) licensed to Portland, Maine; (iv) radio stations WFEA (AM) and WZID (FM) licensed to Manchester, New Hampshire, (v) radio stations</w:t>
      </w:r>
    </w:p>
    <w:p>
      <w:pPr>
        <w:sectPr>
          <w:pgSz w:w="11900" w:h="16838" w:orient="portrait"/>
          <w:cols w:equalWidth="0" w:num="1">
            <w:col w:w="10239"/>
          </w:cols>
          <w:pgMar w:left="220" w:top="26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40</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pacing w:after="0" w:line="309" w:lineRule="exact"/>
        <w:rPr>
          <w:sz w:val="20"/>
          <w:szCs w:val="20"/>
          <w:color w:val="auto"/>
        </w:rPr>
      </w:pPr>
    </w:p>
    <w:p>
      <w:pPr>
        <w:ind w:right="3319"/>
        <w:spacing w:after="0" w:line="257" w:lineRule="auto"/>
        <w:rPr>
          <w:sz w:val="20"/>
          <w:szCs w:val="20"/>
          <w:color w:val="auto"/>
        </w:rPr>
      </w:pPr>
      <w:r>
        <w:rPr>
          <w:rFonts w:ascii="Courier New" w:cs="Courier New" w:eastAsia="Courier New" w:hAnsi="Courier New"/>
          <w:sz w:val="14"/>
          <w:szCs w:val="14"/>
          <w:color w:val="auto"/>
        </w:rPr>
        <w:t>WVKO (AM) and WSNY (FM) licensed to Columbus, Ohio, (vi) radio stations WKLH (FM), WJYI (AM) and WZLR-FM licensed to Milwaukee, Wisconsin, (vii) radio station WNOR (AM) and WNOR-FM licensed to Norfolk, Virginia, (viii) radio stations WLRW (FM) and WIXY (FM) licensed to Champaign, Illinois, (ix) radio station WYMG (FM) licensed to Jacksonville, Illinois, (x) radio stations KRNT (AM), KSTZ (FM), KXTK AM and KIOA-FM licensed to Des Moines, Iowa, (xi) radio station WYNZ (FM) licensed to Westbrook, Maine, (xii) radio stations WQQL (FM), WDBR (FM) and WTAX (AM) licensed to Springfield, Illinois, (xiii) radio station WAFX (FM) licensed to Suffolk, Virginia, (xiv) television station KOAM - TV licensed to Pittsburg, Kansas, (xv) radio stations WNAX (AM) and KCLH-FM licensed to Yankton, South Dakota, (xvi) radio stations KGMI-AM and KISM-FM licensed to Bellingham, Washington, (xvii) WQQL, licensed to Bedford, New Hampshire, (xviii) WPNT (FM) licensed to Brookfield, Wisconsin, (xix) WFMR (FM) licensed to Menomonee Falls, Wisconsin, (xx) KAZR (FM) licensed to Pella, Iowa,</w:t>
      </w:r>
    </w:p>
    <w:p>
      <w:pPr>
        <w:spacing w:after="0" w:line="3" w:lineRule="exact"/>
        <w:rPr>
          <w:sz w:val="20"/>
          <w:szCs w:val="20"/>
          <w:color w:val="auto"/>
        </w:rPr>
      </w:pPr>
    </w:p>
    <w:p>
      <w:pPr>
        <w:ind w:right="3239" w:firstLine="10"/>
        <w:spacing w:after="0" w:line="285" w:lineRule="auto"/>
        <w:tabs>
          <w:tab w:leader="none" w:pos="52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KLTI-FM licensed to Ames, Iowa, (xxii) WYXY (FM) licensed to Lincoln, Illinois, (xxiii) W270AH (FM) licensed to Peterborough, New Hampshire, (xxiv) W272AX (FM) licensed to Keene, New Hampshire, and (xxv) any other Communications Systems acquired by any Principal Company after the Effective Date.</w:t>
      </w:r>
    </w:p>
    <w:p>
      <w:pPr>
        <w:spacing w:after="0" w:line="62" w:lineRule="exact"/>
        <w:rPr>
          <w:sz w:val="20"/>
          <w:szCs w:val="20"/>
          <w:color w:val="auto"/>
        </w:rPr>
      </w:pPr>
    </w:p>
    <w:p>
      <w:pPr>
        <w:ind w:right="3499" w:firstLine="525"/>
        <w:spacing w:after="0" w:line="320" w:lineRule="auto"/>
        <w:rPr>
          <w:sz w:val="20"/>
          <w:szCs w:val="20"/>
          <w:color w:val="auto"/>
        </w:rPr>
      </w:pPr>
      <w:r>
        <w:rPr>
          <w:rFonts w:ascii="Courier New" w:cs="Courier New" w:eastAsia="Courier New" w:hAnsi="Courier New"/>
          <w:sz w:val="14"/>
          <w:szCs w:val="14"/>
          <w:color w:val="auto"/>
        </w:rPr>
        <w:t>"STOCK PLEDGE AGREEMENTS" - collectively, (i) the Borrower Stock Pledge Agreement, (ii) the Saga Broadcast Stock Pledge Agreement, (iii) the Saga of Iowa Stock Pledge Agreement, and (iv) the Lakefront Stock Pledge Agreement.</w:t>
      </w:r>
    </w:p>
    <w:p>
      <w:pPr>
        <w:spacing w:after="0" w:line="38"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"SUBORDINATED DEBT" - collectively, (i) Permitted Subordinated Seller Debt and (ii) any other unsecured Indebtedness for Borrowed Money of the Borrower the principal amount of, the interest rate on and all other terms (including covenants, events of default, remedies and subordination provisions) of which have been approved in writing by the Required Lenders.</w:t>
      </w:r>
    </w:p>
    <w:p>
      <w:pPr>
        <w:spacing w:after="0" w:line="75" w:lineRule="exact"/>
        <w:rPr>
          <w:sz w:val="20"/>
          <w:szCs w:val="20"/>
          <w:color w:val="auto"/>
        </w:rPr>
      </w:pPr>
    </w:p>
    <w:p>
      <w:pPr>
        <w:ind w:right="3759" w:firstLine="525"/>
        <w:spacing w:after="0" w:line="344" w:lineRule="auto"/>
        <w:rPr>
          <w:sz w:val="20"/>
          <w:szCs w:val="20"/>
          <w:color w:val="auto"/>
        </w:rPr>
      </w:pPr>
      <w:r>
        <w:rPr>
          <w:rFonts w:ascii="Courier New" w:cs="Courier New" w:eastAsia="Courier New" w:hAnsi="Courier New"/>
          <w:sz w:val="15"/>
          <w:szCs w:val="15"/>
          <w:color w:val="auto"/>
        </w:rPr>
        <w:t>"SUBORDINATED DEBT DOCUMENTS" - all agreements, instruments or other documents evidencing or relating to any Subordinated Debt.</w:t>
      </w:r>
    </w:p>
    <w:p>
      <w:pPr>
        <w:spacing w:after="0" w:line="17"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"SUBSIDIARY" - with respect to any Principal Company, any corporation, partnership, limited liability company, or joint venture whether now existing or hereafter organized or acquired: (i) in the case of a corporation, of which a majority of the securities having ordinary voting power for the election of directors (other than securities having such power only by reason of the happening of a contingency) are at the time owned by such Principal Company and/or one or more Subsidiaries of such Principal Company, or (ii) in the case of a partnership, limited liability company, or joint venture in which such Principal Company is a general partner, member, or joint venturer, or of which a majority of the partnership or other ownership interests are at the time owned by such Principal Company and/or one or more of its Subsidiaries. Unless the context otherwise requires, references in this Agreement to "Subsidiary" or "Subsidiaries" shall be deemed to be references to a Subsidiary or Subsidiaries of the Borrower.</w:t>
      </w:r>
    </w:p>
    <w:p>
      <w:pPr>
        <w:sectPr>
          <w:pgSz w:w="11900" w:h="16838" w:orient="portrait"/>
          <w:cols w:equalWidth="0" w:num="1">
            <w:col w:w="10239"/>
          </w:cols>
          <w:pgMar w:left="220" w:top="26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41</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"TAXES" - any federal, state or local taxes or tax liabilities.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"TERM LOAN(S)" - as defined in Subsection 2.1(c).</w:t>
      </w:r>
    </w:p>
    <w:p>
      <w:pPr>
        <w:spacing w:after="0" w:line="166" w:lineRule="exact"/>
        <w:rPr>
          <w:sz w:val="20"/>
          <w:szCs w:val="20"/>
          <w:color w:val="auto"/>
        </w:rPr>
      </w:pPr>
    </w:p>
    <w:p>
      <w:pPr>
        <w:jc w:val="both"/>
        <w:ind w:right="3239" w:firstLine="525"/>
        <w:spacing w:after="0" w:line="273" w:lineRule="auto"/>
        <w:rPr>
          <w:sz w:val="20"/>
          <w:szCs w:val="20"/>
          <w:color w:val="auto"/>
        </w:rPr>
      </w:pPr>
      <w:r>
        <w:rPr>
          <w:rFonts w:ascii="Courier New" w:cs="Courier New" w:eastAsia="Courier New" w:hAnsi="Courier New"/>
          <w:sz w:val="15"/>
          <w:szCs w:val="15"/>
          <w:color w:val="auto"/>
        </w:rPr>
        <w:t>"TERM LOAN COMMITMENT" - with respect to a Lender, the commitment of such Lender to make Term Loans to the Borrower in the amount set forth on SCHEDULE 1 hereto, as the same may be reduced from time to time or terminated in accordance with the terms hereof.</w:t>
      </w:r>
    </w:p>
    <w:p>
      <w:pPr>
        <w:spacing w:after="0" w:line="68"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"TERM LOAN COMMITMENT PERCENTAGE" - with respect to each Lender with a Term Loan Commitment, the percentage of such Lender's Term Loan Commitment to the Total Term Loan Commitment or, after the termination of the Total Term Loan Commitment, the percentage of such Lender's outstanding Term Loans to the aggregate outstanding Term Loans.</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"TERM LOAN NOTES - as defined in Subsection 2.4(b).</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"TERM LOAN PAYMENT DATE" - as defined in Subsection 2.5(b).</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"TIDEWATER" - Tidewater Communications, Inc., a Delaware corporation.</w:t>
      </w:r>
    </w:p>
    <w:p>
      <w:pPr>
        <w:spacing w:after="0" w:line="166"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"TOTAL ACQUISITION LOAN COMMITMENT" - the sum of the Acquisition Loan Commitments of the Lenders, as in effect from time to time. The initial Total Acquisition Loan Commitment as of the Effective Date is $60,000,000.</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"TOTAL FUNDED DEBT LEVERAGE RATIO" - as defined in Section 10.1.</w:t>
      </w:r>
    </w:p>
    <w:p>
      <w:pPr>
        <w:spacing w:after="0" w:line="166"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"TOTAL REVOLVING CREDIT COMMITMENT" - the sum of the Revolving Credit Commitments of the Lenders, as in effect from time to time. The initial Total Revolving Credit Commitment as of Effective Date is $20,000,000.</w:t>
      </w:r>
    </w:p>
    <w:p>
      <w:pPr>
        <w:spacing w:after="0" w:line="57" w:lineRule="exact"/>
        <w:rPr>
          <w:sz w:val="20"/>
          <w:szCs w:val="20"/>
          <w:color w:val="auto"/>
        </w:rPr>
      </w:pPr>
    </w:p>
    <w:p>
      <w:pPr>
        <w:jc w:val="both"/>
        <w:ind w:right="3239" w:firstLine="525"/>
        <w:spacing w:after="0" w:line="290" w:lineRule="auto"/>
        <w:rPr>
          <w:sz w:val="20"/>
          <w:szCs w:val="20"/>
          <w:color w:val="auto"/>
        </w:rPr>
      </w:pPr>
      <w:r>
        <w:rPr>
          <w:rFonts w:ascii="Courier New" w:cs="Courier New" w:eastAsia="Courier New" w:hAnsi="Courier New"/>
          <w:sz w:val="15"/>
          <w:szCs w:val="15"/>
          <w:color w:val="auto"/>
        </w:rPr>
        <w:t>"TOTAL TERM LOAN COMMITMENT" - the sum of the Term Loan Commitments of the Lenders, as in effect from time to time. The initial Total Term Loan Commitment as of the Effective Date in $70,000,000.</w:t>
      </w:r>
    </w:p>
    <w:p>
      <w:pPr>
        <w:spacing w:after="0" w:line="57"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4"/>
          <w:szCs w:val="14"/>
          <w:color w:val="auto"/>
        </w:rPr>
        <w:t>"TRADEMARK" - collectively, all of the following, to the extent that any Principal Company now or hereafter has any right, title or interest herein: (i) all trademarks, service marks, trade names, corporate names, company names, business names, fictitious business names, trade styles, trade dress, logos, other source or business identifiers, designs and general intangibles or like nature, now existing or hereafter adopted or acquired, all registrations and recordings thereof, and all registration and recording applications filed in connection therewith, including registrations and registration applications in the United States Patent and Trademark Office, or any state of the United States, or in any country, as well as all extensions or renewals thereof, and</w:t>
      </w:r>
    </w:p>
    <w:p>
      <w:pPr>
        <w:spacing w:after="0" w:line="3" w:lineRule="exact"/>
        <w:rPr>
          <w:sz w:val="20"/>
          <w:szCs w:val="20"/>
          <w:color w:val="auto"/>
        </w:rPr>
      </w:pPr>
    </w:p>
    <w:p>
      <w:pPr>
        <w:ind w:right="3679" w:firstLine="10"/>
        <w:spacing w:after="0" w:line="272" w:lineRule="auto"/>
        <w:tabs>
          <w:tab w:leader="none" w:pos="43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goodwill associated therewith or symbolized thereby, and (iii) all other assets, rights and interests that uniquely reflect or embody such goodwill.</w:t>
      </w:r>
    </w:p>
    <w:p>
      <w:pPr>
        <w:sectPr>
          <w:pgSz w:w="11900" w:h="16838" w:orient="portrait"/>
          <w:cols w:equalWidth="0" w:num="1">
            <w:col w:w="10239"/>
          </w:cols>
          <w:pgMar w:left="220" w:top="26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42</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pacing w:after="0" w:line="140"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"TRADEMARK SECURITY AGREEMENTS" - collectively, the Trademark Collateral Assignment and Security Agreements from time to time entered into by and between the Collateral Trustee and one or more of the Principal Companies with respect to Material Federal Trademarks.</w:t>
      </w:r>
    </w:p>
    <w:p>
      <w:pPr>
        <w:spacing w:after="0" w:line="68"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"TRANCHE" - the respective facilities and commitments utilized in making Loans hereunder, i.e., Term Loans, Revolving Credit Loans, Acquisition Loans, and each Series of Incremental Facility Loans, respectively, and the Commitments corresponding to each such Tranche of Loans.</w:t>
      </w:r>
    </w:p>
    <w:p>
      <w:pPr>
        <w:spacing w:after="0" w:line="68"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"TRANSACTION" - the loans and other transactions contemplated by the Loan Documents to occur on or about the Effective Date.</w:t>
      </w:r>
    </w:p>
    <w:p>
      <w:pPr>
        <w:spacing w:after="0" w:line="17" w:lineRule="exact"/>
        <w:rPr>
          <w:sz w:val="20"/>
          <w:szCs w:val="20"/>
          <w:color w:val="auto"/>
        </w:rPr>
      </w:pPr>
    </w:p>
    <w:p>
      <w:pPr>
        <w:ind w:right="3499" w:firstLine="525"/>
        <w:spacing w:after="0" w:line="290" w:lineRule="auto"/>
        <w:rPr>
          <w:sz w:val="20"/>
          <w:szCs w:val="20"/>
          <w:color w:val="auto"/>
        </w:rPr>
      </w:pPr>
      <w:r>
        <w:rPr>
          <w:rFonts w:ascii="Courier New" w:cs="Courier New" w:eastAsia="Courier New" w:hAnsi="Courier New"/>
          <w:sz w:val="15"/>
          <w:szCs w:val="15"/>
          <w:color w:val="auto"/>
        </w:rPr>
        <w:t>"TRANSACTION DOCUMENTS" - (i) this Agreement, (ii) the Notes, (iii) the Security Documents, and (iv) any other documents executed or delivered in connection with the Transaction.</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"TRANSFER EFFECTIVE DATE" - as defined in Section 13.11(b).</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"TRANSFEREE" - as defined in Section 13.11(f).</w:t>
      </w:r>
    </w:p>
    <w:p>
      <w:pPr>
        <w:spacing w:after="0" w:line="166" w:lineRule="exact"/>
        <w:rPr>
          <w:sz w:val="20"/>
          <w:szCs w:val="20"/>
          <w:color w:val="auto"/>
        </w:rPr>
      </w:pPr>
    </w:p>
    <w:p>
      <w:pPr>
        <w:ind w:right="4019" w:firstLine="525"/>
        <w:spacing w:after="0" w:line="344" w:lineRule="auto"/>
        <w:rPr>
          <w:sz w:val="20"/>
          <w:szCs w:val="20"/>
          <w:color w:val="auto"/>
        </w:rPr>
      </w:pPr>
      <w:r>
        <w:rPr>
          <w:rFonts w:ascii="Courier New" w:cs="Courier New" w:eastAsia="Courier New" w:hAnsi="Courier New"/>
          <w:sz w:val="15"/>
          <w:szCs w:val="15"/>
          <w:color w:val="auto"/>
        </w:rPr>
        <w:t>"TYPE" - with respect to any Loan or portion thereof, such Loan's designation as a Base Rate Loan or Eurodollar Loan.</w:t>
      </w:r>
    </w:p>
    <w:p>
      <w:pPr>
        <w:spacing w:after="0" w:line="17"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"UNRESTRICTED SUBSIDIARY" - any Subsidiary that (i) shall have been designated as an "Unrestricted Subsidiary" in accordance with the provisions of SECTION 1.3 and (ii) any Subsidiary of an Unrestricted Subsidiary.</w:t>
      </w:r>
    </w:p>
    <w:p>
      <w:pPr>
        <w:spacing w:after="0" w:line="57"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"VOTING STOCK" - Capital Stock the holders of which are at the time entitled, as such holders, to vote for the election of a majority of the directors (or persons performing similar functions) of the corporation, association, trust or other business entity involved, whether or not the right so to vote exists by reason of the happening of a contingency.</w:t>
      </w:r>
    </w:p>
    <w:p>
      <w:pPr>
        <w:spacing w:after="0" w:line="75"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"YEAR 2000 PROBLEM" - the risk that computer applications used by the Borrower and its Subsidiaries may be unable to recognize and properly perform date-sensitive functions involving certain dates prior to, and any date after, December 31, 1999.</w:t>
      </w:r>
    </w:p>
    <w:p>
      <w:pPr>
        <w:spacing w:after="0" w:line="68"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Section 1.2. GENERAL PROVISIONS PERTAINING TO DEFINITIONS. All terms of an accounting character not specifically defined herein shall have the meanings assigned thereto by GAAP. The definitions in this Article I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Sections, Subsections, paragraphs, clauses and Exhibits shall be deemed references to Sections,</w:t>
      </w:r>
    </w:p>
    <w:p>
      <w:pPr>
        <w:sectPr>
          <w:pgSz w:w="11900" w:h="16838" w:orient="portrait"/>
          <w:cols w:equalWidth="0" w:num="1">
            <w:col w:w="10239"/>
          </w:cols>
          <w:pgMar w:left="220" w:top="26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43</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35</w:t>
      </w:r>
    </w:p>
    <w:p>
      <w:pPr>
        <w:spacing w:after="0" w:line="140"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Subsections, paragraphs on clauses of, and Exhibits to, this Agreement unless the context shall otherwise require. Each reference herein to a particular Person shall include a reference to such Person's successors and permitted assigns. References to any agreement, instrument or document defined in this Article I refer to such agreement, instrument or document as originally executed, or if subsequently varied, replaced or supplemented from time to time, as so varied, supplemented or replaced and in effect at the relevant time of reference thereto.</w:t>
      </w:r>
    </w:p>
    <w:p>
      <w:pPr>
        <w:spacing w:after="0" w:line="86"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Section 1.3. DESIGNATION OF UNRESTRICTED SUBSIDIARIES; CERTAIN OBLIGATIONS RESPECTING RESTRICTED SUBSIDIARIES.</w:t>
      </w:r>
    </w:p>
    <w:p>
      <w:pPr>
        <w:spacing w:after="0" w:line="17" w:lineRule="exact"/>
        <w:rPr>
          <w:sz w:val="20"/>
          <w:szCs w:val="20"/>
          <w:color w:val="auto"/>
        </w:rPr>
      </w:pPr>
    </w:p>
    <w:p>
      <w:pPr>
        <w:ind w:right="3239" w:firstLine="534"/>
        <w:spacing w:after="0" w:line="265" w:lineRule="auto"/>
        <w:tabs>
          <w:tab w:leader="none" w:pos="87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OF UNRESTRICTED SUBSIDIARIES. The Borrower may at any time designate any of its Subsidiaries formed or acquired after the date hereof an Unrestricted Subsidiary for purposes of this Agreement, by delivering to the Agent a certificate of the Chief Financial Officer (and the Agent shall promptly forward a copy of such certificate to each Lender) attaching a copy of a resolution of the Borrower's board of directors setting forth such designation and stating that the conditions set forth in this SECTION 1.3 have been satisfied with respect to such designation, PROVIDED that no such designation shall be effective unless at the time of such designation and after giving effect thereto (i) no Default or Event of Default shall have occurred and be continuing, (ii) no Subsidiary of an Unrestricted Subsidiary is a Restricted Subsidiary, and (iii) the Borrower would be in compliance with the restrictions on Investments in Unrestricted Subsidiaries set forth in SUBSECTION 9.4(i).</w:t>
      </w:r>
    </w:p>
    <w:p>
      <w:pPr>
        <w:spacing w:after="0" w:line="78" w:lineRule="exact"/>
        <w:rPr>
          <w:rFonts w:ascii="Courier New" w:cs="Courier New" w:eastAsia="Courier New" w:hAnsi="Courier New"/>
          <w:sz w:val="14"/>
          <w:szCs w:val="14"/>
          <w:color w:val="auto"/>
        </w:rPr>
      </w:pPr>
    </w:p>
    <w:p>
      <w:pPr>
        <w:ind w:right="3239" w:firstLine="534"/>
        <w:spacing w:after="0" w:line="261" w:lineRule="auto"/>
        <w:tabs>
          <w:tab w:leader="none" w:pos="87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REVOCATION OF DESIGNATION. The Borrower may revoke any designation of a Subsidiary as an Unrestricted Subsidiary by delivering to the Agent a certificate of the Chief Financial Officer (and the Agent shall promptly forward a copy of such certificate to each Lender) attaching a copy of a resolution of the Borrower's board of directors setting forth such revocation and stating that the conditions set forth in this Section 1.3 have been satisfied with respect to such revocation, Provided that no such revocation shall be effective unless (i) at the time of such revocation and after giving effect thereto, no Default or Event of Default shall have occurred and be continuing; (ii) all Liens, Indebtedness and Investments of such Unrestricted Subsidiary outstanding immediately following such revocation would, if incurred at such time, have been permitted to be incurred under this Agreement and (iii) the Borrower shall have demonstrated to the reasonable satisfaction of the Agent that (based on, among other things operating and financial projections and PRO FORMA financial statements delivered to the Agent and certified by the Chief Financial Officer), immediately after giving effect to such revocation, all covenants (including all covenants contained in ARTICLE X hereof) contained herein (A) would have been satisfied on a pro forma basis as at the end of and for the Most Recent Reference Period had such Subsidiary been a Restricted Subsidiary at all times during such period, and (B) will be satisfied and PRO FORMA basis through the period ending two years after the date of such designation.</w:t>
      </w:r>
    </w:p>
    <w:p>
      <w:pPr>
        <w:sectPr>
          <w:pgSz w:w="11900" w:h="16838" w:orient="portrait"/>
          <w:cols w:equalWidth="0" w:num="1">
            <w:col w:w="10239"/>
          </w:cols>
          <w:pgMar w:left="220" w:top="26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44</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pacing w:after="0" w:line="140" w:lineRule="exact"/>
        <w:rPr>
          <w:sz w:val="20"/>
          <w:szCs w:val="20"/>
          <w:color w:val="auto"/>
        </w:rPr>
      </w:pPr>
    </w:p>
    <w:p>
      <w:pPr>
        <w:ind w:right="3239" w:firstLine="534"/>
        <w:spacing w:after="0" w:line="266" w:lineRule="auto"/>
        <w:tabs>
          <w:tab w:leader="none" w:pos="8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RESTRICTIONS REGARDING PRINCIPAL COMPANIES. No Principal Company shall at any time (i) provide credit support for, subject any of its Assets (other than the Capital Stock of such Unrestricted Subsidiary owned by such Principal Company) to the satisfaction of, or guarantee any Indebtedness of any Unrestricted Subsidiary (including any undertaking, agreement or instrument evidencing such Indebtedness), (ii) be directly or indirectly liable for any Indebtedness or other obligations of any Unrestricted Subsidiary or (iii) be directly or indirectly liable for any Indebtedness which provides that the holder thereof may (upon notice, lapse of time or both) declare a default thereon or cause the payment thereof to be accelerated or payable prior to its final scheduled maturity upon the occurrence of a default with respect to any Indebtedness of any Unrestricted Subsidiary.</w:t>
      </w:r>
    </w:p>
    <w:p>
      <w:pPr>
        <w:spacing w:after="0" w:line="77" w:lineRule="exact"/>
        <w:rPr>
          <w:rFonts w:ascii="Courier New" w:cs="Courier New" w:eastAsia="Courier New" w:hAnsi="Courier New"/>
          <w:sz w:val="14"/>
          <w:szCs w:val="14"/>
          <w:color w:val="auto"/>
        </w:rPr>
      </w:pPr>
    </w:p>
    <w:p>
      <w:pPr>
        <w:ind w:right="3239" w:firstLine="534"/>
        <w:spacing w:after="0" w:line="273" w:lineRule="auto"/>
        <w:tabs>
          <w:tab w:leader="none" w:pos="87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designates Saga of Iceland as an Unrestricted Subsidiary as of the Effective Date. The Borrower represents and warrants to the Agent and the Lenders that the requirements of this Section 1.3 with respect to such designation have been satisfied.</w:t>
      </w:r>
    </w:p>
    <w:p>
      <w:pPr>
        <w:spacing w:after="0" w:line="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COMMITMENTS; LOANS; COLLATERAL</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2.1. LOANS.</w:t>
      </w:r>
    </w:p>
    <w:p>
      <w:pPr>
        <w:spacing w:after="0" w:line="166" w:lineRule="exact"/>
        <w:rPr>
          <w:sz w:val="20"/>
          <w:szCs w:val="20"/>
          <w:color w:val="auto"/>
        </w:rPr>
      </w:pPr>
    </w:p>
    <w:p>
      <w:pPr>
        <w:ind w:right="3239" w:firstLine="534"/>
        <w:spacing w:after="0" w:line="266" w:lineRule="auto"/>
        <w:tabs>
          <w:tab w:leader="none" w:pos="8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LOANS. Subject to the terms and conditions set forth in this Agreement, each Lender with a Revolving Loan Commitment severally agrees to make revolving credit loans (individually, a "REVOLVING CREDIT LOAN" and, collectively, the "REVOLVING CREDIT LOANS") to the Borrower from time to time from and after the Effective Date until the Maturity Date in an aggregate principal amount at any time outstanding (after giving effect to all requests therefor) up to, but not exceeding, the Revolving Credit Commitment of such Lender at such time, MINUS such Lender's Letter of Credit Exposure at such time. Subject to the terms and conditions of this Agreement, from time to time from and after the Effective Date until the Maturity Date, the Borrower may borrow, repay (provided that repayment of Eurodollar Loans shall be subject to the provisions of Section 2.25) and reborrow Revolving Credit Loans.</w:t>
      </w:r>
    </w:p>
    <w:p>
      <w:pPr>
        <w:spacing w:after="0" w:line="77"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Proceeds of Revolving Credit Loans shall be available for any use permitted by Subsection 2.9(a), provided that, in the event that the Borrower shall prepay Revolving Credit Loans in accordance with Subsection 2.5(f)(ii)(x) with Net Proceeds, then an amount of Revolving Credit Commitments equal to the amount of such prepayment (a "RESERVED COMMITMENT AMOUNT") shall be reserved and shall not be available for any Credit Extension hereunder, except and to the extent that the proceeds of such Credit Extension are used to (i) finance a Permitted Acquisition in accordance with Subsection 2.5(f)(ii)(y) or (ii) prepay Loans in accordance with Subsection 2.5(f)(ii)(y). The Borrower shall</w:t>
      </w:r>
    </w:p>
    <w:p>
      <w:pPr>
        <w:sectPr>
          <w:pgSz w:w="11900" w:h="16838" w:orient="portrait"/>
          <w:cols w:equalWidth="0" w:num="1">
            <w:col w:w="10239"/>
          </w:cols>
          <w:pgMar w:left="220" w:top="26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45</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pacing w:after="0" w:line="309"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4"/>
          <w:szCs w:val="14"/>
          <w:color w:val="auto"/>
        </w:rPr>
        <w:t>notify the Agent in writing, at the time of any request for a Revolving Credit Loan that would utilize any Reserved Commitment Amount, of (A) the amount of any Reserved Commitment Amount to be so utilized, (B) the amount of the remaining Reserved Commitment Amounts after giving effect to such Revolving Credit Loan,</w:t>
      </w:r>
    </w:p>
    <w:p>
      <w:pPr>
        <w:spacing w:after="0" w:line="1" w:lineRule="exact"/>
        <w:rPr>
          <w:sz w:val="20"/>
          <w:szCs w:val="20"/>
          <w:color w:val="auto"/>
        </w:rPr>
      </w:pPr>
    </w:p>
    <w:p>
      <w:pPr>
        <w:ind w:right="3579" w:firstLine="10"/>
        <w:spacing w:after="0" w:line="272" w:lineRule="auto"/>
        <w:tabs>
          <w:tab w:leader="none" w:pos="3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Permitted Acquisition to be financed with proceeds of such Revolving Credit Loan, or the prepayment of Loans to be made pursuant to Subsection 2.5(f)(ii)(y) with proceeds of such Revolving Credit Loan.</w:t>
      </w:r>
    </w:p>
    <w:p>
      <w:pPr>
        <w:spacing w:after="0" w:line="69" w:lineRule="exact"/>
        <w:rPr>
          <w:rFonts w:ascii="Courier New" w:cs="Courier New" w:eastAsia="Courier New" w:hAnsi="Courier New"/>
          <w:sz w:val="15"/>
          <w:szCs w:val="15"/>
          <w:color w:val="auto"/>
        </w:rPr>
      </w:pPr>
    </w:p>
    <w:p>
      <w:pPr>
        <w:ind w:right="3239" w:firstLine="534"/>
        <w:spacing w:after="0" w:line="249" w:lineRule="auto"/>
        <w:tabs>
          <w:tab w:leader="none" w:pos="87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LOANS. Subject to the terms and conditions set forth in this Agreement, each Lender with an Acquisition Loan Commitment severally agrees to make acquisition loans (individually, an "ACQUISITION LOAN" and, collectively, the "ACQUISITION LOANS") to the Borrower from time to time during the Acquisition Loan Commitment Period, on the closing date of each Permitted Acquisition, in an aggregate principal amount at any time outstanding (after giving effect to all requests therefor) up to, but not exceeding, the Acquisition Loan Commitment of such Lender at such time. The Borrower shall not be entitled to reborrow all of any part of the principal of Acquisition Loans which shall be paid or prepaid at any time.</w:t>
      </w:r>
    </w:p>
    <w:p>
      <w:pPr>
        <w:spacing w:after="0" w:line="87" w:lineRule="exact"/>
        <w:rPr>
          <w:rFonts w:ascii="Courier New" w:cs="Courier New" w:eastAsia="Courier New" w:hAnsi="Courier New"/>
          <w:sz w:val="15"/>
          <w:szCs w:val="15"/>
          <w:color w:val="auto"/>
        </w:rPr>
      </w:pPr>
    </w:p>
    <w:p>
      <w:pPr>
        <w:ind w:right="3319" w:firstLine="534"/>
        <w:spacing w:after="0" w:line="248" w:lineRule="auto"/>
        <w:tabs>
          <w:tab w:leader="none" w:pos="87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LOANS. On the Effective Date, (i) all Existing Loans shall be converted into term loans hereunder and (ii) additional term loans equal to the balance of the aggregate Term Loan Commitments shall be made to the Borrower such that, after such conversion and funding of additional term loans, each Lender with a Term Loan Commitment shall for all purposes of the Loan Documents be deemed to have made a term loan to the Borrower on the Effective Date in a principal amount equal to such Lender's Term Loan Commitment Percentage of $70,000,000 (each of such term loans being, individually, a "TERM LOAN" and, collectively, the "TERM LOANS"). The Borrower shall not be entitled to reborrow all or any part of the principal of any Term Loans which shall be paid or prepaid at any time.</w:t>
      </w:r>
    </w:p>
    <w:p>
      <w:pPr>
        <w:spacing w:after="0" w:line="86" w:lineRule="exact"/>
        <w:rPr>
          <w:rFonts w:ascii="Courier New" w:cs="Courier New" w:eastAsia="Courier New" w:hAnsi="Courier New"/>
          <w:sz w:val="15"/>
          <w:szCs w:val="15"/>
          <w:color w:val="auto"/>
        </w:rPr>
      </w:pPr>
    </w:p>
    <w:p>
      <w:pPr>
        <w:ind w:right="3239" w:firstLine="534"/>
        <w:spacing w:after="0" w:line="262" w:lineRule="auto"/>
        <w:tabs>
          <w:tab w:leader="none" w:pos="875"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INCREMENTAL FACILITY LOANS. In addition to borrowings of Term Loans, Revolving Credit Loans and Acquisition Loans, at any time during the Incremental Facility Commitment Period, the Borrower may from time to time request that the Lenders offer to enter into commitments to make additional term loans to the Borrower hereunder, which commitments shall, with respect to any Series (as defined below) of any Incremental Term Loans, not be less than $10,000,000 nor greater than $50,000,000 in the aggregate. Subject to the terms and conditions hereof, in the event that one or more of the Lenders offer, in their sole discretion, to enter into such commitments, and the Agent, such Lenders and the Borrower agree as to the amount of such commitments that shall be allocated to the respective Lenders making such offers and the fees (if any) to be payable by the Borrower in connection therewith and the other terms of such Incremental Facility Loans, then such Lenders shall become obligated to make Incremental Facility Loans under this Agreement in an amount equal to the amount of their respective Incremental Facility Commitments. The Incremental Facility Loans to be made pursuant to any such agreement between the Borrower and one or more Lenders in response to</w:t>
      </w:r>
    </w:p>
    <w:p>
      <w:pPr>
        <w:sectPr>
          <w:pgSz w:w="11900" w:h="16838" w:orient="portrait"/>
          <w:cols w:equalWidth="0" w:num="1">
            <w:col w:w="10239"/>
          </w:cols>
          <w:pgMar w:left="220" w:top="26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46</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pacing w:after="0" w:line="140" w:lineRule="exact"/>
        <w:rPr>
          <w:sz w:val="20"/>
          <w:szCs w:val="20"/>
          <w:color w:val="auto"/>
        </w:rPr>
      </w:pPr>
    </w:p>
    <w:p>
      <w:pPr>
        <w:ind w:right="3319"/>
        <w:spacing w:after="0" w:line="298" w:lineRule="auto"/>
        <w:rPr>
          <w:sz w:val="20"/>
          <w:szCs w:val="20"/>
          <w:color w:val="auto"/>
        </w:rPr>
      </w:pPr>
      <w:r>
        <w:rPr>
          <w:rFonts w:ascii="Courier New" w:cs="Courier New" w:eastAsia="Courier New" w:hAnsi="Courier New"/>
          <w:sz w:val="14"/>
          <w:szCs w:val="14"/>
          <w:color w:val="auto"/>
        </w:rPr>
        <w:t>any such request by the Company shall be deemed to be a separate "SERIES" of Incremental Facility Loans for all purposes of this Agreement. No Lender shall be obligated to make any Incremental Facility Loans of any Series and no Incremental Facility Loans of any Series shall be permitted to be made, UNLESS:</w:t>
      </w:r>
    </w:p>
    <w:p>
      <w:pPr>
        <w:spacing w:after="0" w:line="53" w:lineRule="exact"/>
        <w:rPr>
          <w:sz w:val="20"/>
          <w:szCs w:val="20"/>
          <w:color w:val="auto"/>
        </w:rPr>
      </w:pPr>
    </w:p>
    <w:p>
      <w:pPr>
        <w:ind w:left="540" w:right="3679" w:firstLine="782"/>
        <w:spacing w:after="0" w:line="381" w:lineRule="auto"/>
        <w:tabs>
          <w:tab w:leader="none" w:pos="185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such Series of Incremental Facility Loans shall have been approved by the Required Lenders;</w:t>
      </w:r>
    </w:p>
    <w:p>
      <w:pPr>
        <w:spacing w:after="0" w:line="1" w:lineRule="exact"/>
        <w:rPr>
          <w:rFonts w:ascii="Courier New" w:cs="Courier New" w:eastAsia="Courier New" w:hAnsi="Courier New"/>
          <w:sz w:val="14"/>
          <w:szCs w:val="14"/>
          <w:color w:val="auto"/>
        </w:rPr>
      </w:pPr>
    </w:p>
    <w:p>
      <w:pPr>
        <w:ind w:left="540" w:right="3319" w:firstLine="782"/>
        <w:spacing w:after="0" w:line="290" w:lineRule="auto"/>
        <w:tabs>
          <w:tab w:leader="none" w:pos="185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is continuing immediately prior to the making of such Incremental Facility Loan of such Series, and no Default or Event of Default would result therefrom; and</w:t>
      </w:r>
    </w:p>
    <w:p>
      <w:pPr>
        <w:spacing w:after="0" w:line="57" w:lineRule="exact"/>
        <w:rPr>
          <w:sz w:val="20"/>
          <w:szCs w:val="20"/>
          <w:color w:val="auto"/>
        </w:rPr>
      </w:pPr>
    </w:p>
    <w:p>
      <w:pPr>
        <w:ind w:left="540" w:right="3239" w:firstLine="782"/>
        <w:spacing w:after="0" w:line="269" w:lineRule="auto"/>
        <w:tabs>
          <w:tab w:leader="none" w:pos="185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demonstrated to the reasonable satisfaction of the Agent (based on, among other things, operating and financial projections and pro forma financial statements delivered to the Agent and certified by the Chief Financial Officer) that, immediately after giving effect to the making of such Incremental Facility Loans of such Series, all covenants (including all covenants contained in ARTICLE X hereof) contained herein (A) would have been satisfied on a pro forma basis as at the end of and for the Most Recent Reference Period, and (B) will be satisfied on a pro forma basis through the period ending two years after the date such Incremental Facility Loans of such Series are made.</w:t>
      </w:r>
    </w:p>
    <w:p>
      <w:pPr>
        <w:spacing w:after="0" w:line="73"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The aggregate principal amount of all Incremental Facility Commitments and Incremental Facility Loans shall not exceed $50,000,000.</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2.2. NOTICES RELATING TO LOANS; REQUESTS FOR EURODOLLAR Loans.</w:t>
      </w:r>
    </w:p>
    <w:p>
      <w:pPr>
        <w:spacing w:after="0" w:line="166" w:lineRule="exact"/>
        <w:rPr>
          <w:sz w:val="20"/>
          <w:szCs w:val="20"/>
          <w:color w:val="auto"/>
        </w:rPr>
      </w:pPr>
    </w:p>
    <w:p>
      <w:pPr>
        <w:ind w:right="3239" w:firstLine="534"/>
        <w:spacing w:after="0" w:line="269" w:lineRule="auto"/>
        <w:tabs>
          <w:tab w:leader="none" w:pos="87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RELATING TO LOANS. The Borrower shall give the Agent written or telephonic notice of each termination or reduction of the Revolving Credit Commitments, the Acquisition Loan Commitments or the Incremental Facility Commitments, each borrowing and prepayment of a Loan, each continuation or conversion of a Loan (other than any conversion of Eurodollar Loans to Base Rate Loans upon the expiration of the Interest Period for such Eurodollar Loans) and the duration of each Interest Period applicable to each Eurodollar Loan (in each case, a "BORROWING NOTICE", which shall be in form and substance satisfactory to the Agent). Each such notice shall be irrevocable and shall be effective only if received by the Agent not later than 11 a.m., Boston time, on the date which is:</w:t>
      </w:r>
    </w:p>
    <w:p>
      <w:pPr>
        <w:spacing w:after="0" w:line="72" w:lineRule="exact"/>
        <w:rPr>
          <w:rFonts w:ascii="Courier New" w:cs="Courier New" w:eastAsia="Courier New" w:hAnsi="Courier New"/>
          <w:sz w:val="14"/>
          <w:szCs w:val="14"/>
          <w:color w:val="auto"/>
        </w:rPr>
      </w:pPr>
    </w:p>
    <w:p>
      <w:pPr>
        <w:ind w:left="540" w:right="3319" w:firstLine="519"/>
        <w:spacing w:after="0" w:line="273" w:lineRule="auto"/>
        <w:tabs>
          <w:tab w:leader="none" w:pos="159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each notice of termination or reduction and each notice of borrowing or prepayment of, or conversion into, Base Rate Loans, one (1) Business Day prior to the date of the related termination, reduction, borrowing, prepayment or conversion; and</w:t>
      </w:r>
    </w:p>
    <w:p>
      <w:pPr>
        <w:spacing w:after="0" w:line="67" w:lineRule="exact"/>
        <w:rPr>
          <w:rFonts w:ascii="Courier New" w:cs="Courier New" w:eastAsia="Courier New" w:hAnsi="Courier New"/>
          <w:sz w:val="15"/>
          <w:szCs w:val="15"/>
          <w:color w:val="auto"/>
        </w:rPr>
      </w:pPr>
    </w:p>
    <w:p>
      <w:pPr>
        <w:ind w:left="540" w:right="3399" w:firstLine="519"/>
        <w:spacing w:after="0" w:line="385" w:lineRule="auto"/>
        <w:tabs>
          <w:tab w:leader="none" w:pos="159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each notice of borrowing or prepayment of, continuation of or conversion into, Eurodollar Loans, or the duration of</w:t>
      </w:r>
    </w:p>
    <w:p>
      <w:pPr>
        <w:sectPr>
          <w:pgSz w:w="11900" w:h="16838" w:orient="portrait"/>
          <w:cols w:equalWidth="0" w:num="1">
            <w:col w:w="10239"/>
          </w:cols>
          <w:pgMar w:left="220" w:top="26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47</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39</w:t>
      </w:r>
    </w:p>
    <w:p>
      <w:pPr>
        <w:spacing w:after="0" w:line="140" w:lineRule="exact"/>
        <w:rPr>
          <w:sz w:val="20"/>
          <w:szCs w:val="20"/>
          <w:color w:val="auto"/>
        </w:rPr>
      </w:pPr>
    </w:p>
    <w:p>
      <w:pPr>
        <w:ind w:left="540" w:right="3319"/>
        <w:spacing w:after="0" w:line="290" w:lineRule="auto"/>
        <w:rPr>
          <w:sz w:val="20"/>
          <w:szCs w:val="20"/>
          <w:color w:val="auto"/>
        </w:rPr>
      </w:pPr>
      <w:r>
        <w:rPr>
          <w:rFonts w:ascii="Courier New" w:cs="Courier New" w:eastAsia="Courier New" w:hAnsi="Courier New"/>
          <w:sz w:val="15"/>
          <w:szCs w:val="15"/>
          <w:color w:val="auto"/>
        </w:rPr>
        <w:t>an Interest Period for Eurodollar Loans, three (3) Eurodollar Business Days prior to the date of the related borrowing, prepayment, continuation or conversion.</w:t>
      </w:r>
    </w:p>
    <w:p>
      <w:pPr>
        <w:spacing w:after="0" w:line="57"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4"/>
          <w:szCs w:val="14"/>
          <w:color w:val="auto"/>
        </w:rPr>
        <w:t>Each such notice of termination or reduction shall specify the amount thereof. Each such notice of borrowing, conversion, continuation or prepayment shall specify the amount (subject to Section 2.1) and type of Loans to be borrowed, converted, continued or prepaid (and, in the case of a conversion, the type of Loans to result from such conversion), the date of borrowing, continuation, conversion or prepayment (which shall be: (x) a Business Day in the case of each borrowing or prepayment of Base Rate Loans, and (y) a Eurodollar Business Day in the case of each borrowing or prepayment of Eurodollar Loans and each conversion of or into a Eurodollar Loan). Each such notice of the duration of an Interest Period shall specify the Loans to which such Interest Period is to relate. The Agent shall notify the Lenders of the content of each such Borrowing Notice promptly after its receipt thereof. Any telephonic notice given under this SECTION 2.2 shall be promptly (and in any event, within one (1) Business Day) confirmed in writing delivered to the Agent, provided that the Lenders and the Agent shall be fully entitled to rely on any telephonic notice believed by the Agent to have been given by an authorized person on behalf of the Borrower.</w:t>
      </w:r>
    </w:p>
    <w:p>
      <w:pPr>
        <w:spacing w:after="0" w:line="79" w:lineRule="exact"/>
        <w:rPr>
          <w:sz w:val="20"/>
          <w:szCs w:val="20"/>
          <w:color w:val="auto"/>
        </w:rPr>
      </w:pPr>
    </w:p>
    <w:p>
      <w:pPr>
        <w:ind w:right="3239" w:firstLine="534"/>
        <w:spacing w:after="0" w:line="280" w:lineRule="auto"/>
        <w:tabs>
          <w:tab w:leader="none" w:pos="87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FOR EURODOLLAR LOANS. The Borrower may request a Loan in the form of a Eurodollar Loan only if compliance with Section 2.5 (with the payments provided for therein being applied in accordance with Subsection 2.5(h)) would not result in any portion of the principal amount of such Eurodollar Loan being paid prior to the last day of the Interest Period applicable thereto. No Lender shall have more than seven (7) Eurodollar Loans outstanding at any one time.</w:t>
      </w:r>
    </w:p>
    <w:p>
      <w:pPr>
        <w:spacing w:after="0" w:line="67"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5"/>
          <w:szCs w:val="15"/>
          <w:color w:val="auto"/>
        </w:rPr>
        <w:t>Section 2.3. DISBURSEMENT OF LOAN PROCEEDS. Not later than 1:00 p.m., Boston time, on the date specified for each borrowing hereunder, each Lender shall transfer to the Agent, by wire transfer or otherwise, but in any event in immediately available funds, the amount of the Loan to be made by it on such date, and the Agent, upon its receipt thereof, shall disburse such sum to the Borrower by depositing the amount thereof in an account of the Borrower designated by the Borrower maintained with the Agent</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2.4. NOTES.</w:t>
      </w:r>
    </w:p>
    <w:p>
      <w:pPr>
        <w:spacing w:after="0" w:line="166" w:lineRule="exact"/>
        <w:rPr>
          <w:sz w:val="20"/>
          <w:szCs w:val="20"/>
          <w:color w:val="auto"/>
        </w:rPr>
      </w:pPr>
    </w:p>
    <w:p>
      <w:pPr>
        <w:ind w:right="3319" w:firstLine="534"/>
        <w:spacing w:after="0" w:line="273" w:lineRule="auto"/>
        <w:tabs>
          <w:tab w:leader="none" w:pos="8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NOTES. The Revolving Credit Loans made by any Lender shall be evidenced by a single promissory note of the Borrower substantially in the form of EXHIBIT A-1 annexed hereto (each, a "REVOLVING CREDIT NOTE" and, collectively, the "REVOLVING CREDIT NOTES"), with appropriate insertions. Each Revolving Credit Note shall be payable to the order of such Lender in a principal amount equal to such Lender's Revolving Credit Commitment as of the Effective Date, and shall otherwise be duly completed. The Revolving Credit Loans shall be payable as provided in Section 2.5.</w:t>
      </w:r>
    </w:p>
    <w:p>
      <w:pPr>
        <w:sectPr>
          <w:pgSz w:w="11900" w:h="16838" w:orient="portrait"/>
          <w:cols w:equalWidth="0" w:num="1">
            <w:col w:w="10239"/>
          </w:cols>
          <w:pgMar w:left="220" w:top="26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48</w:t>
      </w:r>
    </w:p>
    <w:p>
      <w:pPr>
        <w:spacing w:after="0" w:line="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40</w:t>
      </w:r>
    </w:p>
    <w:p>
      <w:pPr>
        <w:spacing w:after="0" w:line="140" w:lineRule="exact"/>
        <w:rPr>
          <w:sz w:val="20"/>
          <w:szCs w:val="20"/>
          <w:color w:val="auto"/>
        </w:rPr>
      </w:pPr>
    </w:p>
    <w:p>
      <w:pPr>
        <w:ind w:left="-280" w:right="3239" w:firstLine="534"/>
        <w:spacing w:after="0" w:line="276" w:lineRule="auto"/>
        <w:tabs>
          <w:tab w:leader="none" w:pos="59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 NOTES. The Term Loans made by any Lender shall be evidenced by a single promissory note of the Borrower substantially in the form of EXHIBIT A-2 annexed hereto (each, a "TERM LOAN NOTE" and, collectively, the "TERM LOAN NOTES"), with appropriate insertions. Each Term Loan Note shall be payable to the order of such Lender in a principal amount equal to such Lender's Term Loan Commitment as of the Effective Date, and shall otherwise be duly completed. The Term Loan Notes shall be payable as provided in Section 2.5.</w:t>
      </w:r>
    </w:p>
    <w:p>
      <w:pPr>
        <w:spacing w:after="0" w:line="68" w:lineRule="exact"/>
        <w:rPr>
          <w:rFonts w:ascii="Courier New" w:cs="Courier New" w:eastAsia="Courier New" w:hAnsi="Courier New"/>
          <w:sz w:val="14"/>
          <w:szCs w:val="14"/>
          <w:color w:val="auto"/>
        </w:rPr>
      </w:pPr>
    </w:p>
    <w:p>
      <w:pPr>
        <w:ind w:left="-280" w:right="3239" w:firstLine="534"/>
        <w:spacing w:after="0" w:line="252" w:lineRule="auto"/>
        <w:tabs>
          <w:tab w:leader="none" w:pos="59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LOAN NOTES. The Acquisition Loans made by any Lender shall be evidenced by a single promissory note of the Borrower substantially in the form of EXHIBIT A-3 annexed hereto (each, an "ACQUISITION NOTE" and, collectively, the "ACQUISITION NOTES"), with appropriate insertions. Each Acquisition Note shall be dated the Effective Date, shall be payable to the order of such Lender in a principal amount equal to such Lender's Acquisition Loan Commitment as of the Effective Date, and shall otherwise be duly completed. The Acquisition Notes shall be payable as provided in Section 2.5.</w:t>
      </w:r>
    </w:p>
    <w:p>
      <w:pPr>
        <w:spacing w:after="0" w:line="86" w:lineRule="exact"/>
        <w:rPr>
          <w:rFonts w:ascii="Courier New" w:cs="Courier New" w:eastAsia="Courier New" w:hAnsi="Courier New"/>
          <w:sz w:val="15"/>
          <w:szCs w:val="15"/>
          <w:color w:val="auto"/>
        </w:rPr>
      </w:pPr>
    </w:p>
    <w:p>
      <w:pPr>
        <w:ind w:left="-280" w:right="3239" w:firstLine="534"/>
        <w:spacing w:after="0" w:line="249" w:lineRule="auto"/>
        <w:tabs>
          <w:tab w:leader="none" w:pos="59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INCREMENTAL FACILITY LOAN NOTES. The Incremental Facility Loans of each Series made by any Lender shall be evidenced by a single promissory note of the Borrower substantially in the form of EXHIBIT A-4 annexed hereto (each, an "INCREMENTAL FACILITY LOAN NOTE and, collectively, the INCREMENTAL FACILITY LOAN NOTES"). Each Incremental Facility Loan Note of each Series shall be dated on or prior to the date the related Incremental Facility Loan is made, shall be payable to the order of such Lender in a principal amount equal to such Lender's Incremental Facility Loan Commitment for such Series, and shall otherwise be duly completed. The Incremental Facility Loan Notes shall be payable as provided in Section 2.5.</w:t>
      </w:r>
    </w:p>
    <w:p>
      <w:pPr>
        <w:spacing w:after="0" w:line="87" w:lineRule="exact"/>
        <w:rPr>
          <w:rFonts w:ascii="Courier New" w:cs="Courier New" w:eastAsia="Courier New" w:hAnsi="Courier New"/>
          <w:sz w:val="15"/>
          <w:szCs w:val="15"/>
          <w:color w:val="auto"/>
        </w:rPr>
      </w:pPr>
    </w:p>
    <w:p>
      <w:pPr>
        <w:ind w:left="-280" w:right="3239" w:firstLine="534"/>
        <w:spacing w:after="0" w:line="273" w:lineRule="auto"/>
        <w:tabs>
          <w:tab w:leader="none" w:pos="59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NOTATIONS ON NOTES. Each Lender may enter on a schedule attached to each of its Notes a notation with respect to each Loan evidenced thereby of: (A) the date and principal amount thereof, (B) each payment and prepayment of principal thereof, (C) whether such Loan is a Base Rate Loan or a Eurodollar Loan, and (D) the Interest Period for such Loan, if applicable. The failure of any Lender to make a notation on the schedule to any of its Notes as aforesaid shall not limit or otherwise affect the obligation of the Borrower to repay the Loans in accordance with their respective terms as set forth herein.</w:t>
      </w:r>
    </w:p>
    <w:p>
      <w:pPr>
        <w:spacing w:after="0" w:line="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Section 2.5. MANDATORY PRINCIPAL PAYMENTS.</w:t>
      </w:r>
    </w:p>
    <w:p>
      <w:pPr>
        <w:spacing w:after="0" w:line="166" w:lineRule="exact"/>
        <w:rPr>
          <w:sz w:val="20"/>
          <w:szCs w:val="20"/>
          <w:color w:val="auto"/>
        </w:rPr>
      </w:pPr>
    </w:p>
    <w:p>
      <w:pPr>
        <w:jc w:val="both"/>
        <w:ind w:left="-280" w:right="3499" w:firstLine="534"/>
        <w:spacing w:after="0" w:line="298" w:lineRule="auto"/>
        <w:tabs>
          <w:tab w:leader="none" w:pos="59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OF REVOLVING CREDIT LOANS AT MATURITY DATE. All Revolving Credit Loans shall mature on the Maturity Date. All principal of, interest on and other amounts payable in respect of Revolving Credit Loans will, if not sooner paid, be absolutely due and payable on the Maturity Date.</w:t>
      </w:r>
    </w:p>
    <w:p>
      <w:pPr>
        <w:spacing w:after="0" w:line="53" w:lineRule="exact"/>
        <w:rPr>
          <w:rFonts w:ascii="Courier New" w:cs="Courier New" w:eastAsia="Courier New" w:hAnsi="Courier New"/>
          <w:sz w:val="14"/>
          <w:szCs w:val="14"/>
          <w:color w:val="auto"/>
        </w:rPr>
      </w:pPr>
    </w:p>
    <w:p>
      <w:pPr>
        <w:ind w:left="-280" w:right="3679" w:firstLine="534"/>
        <w:spacing w:after="0" w:line="385" w:lineRule="auto"/>
        <w:tabs>
          <w:tab w:leader="none" w:pos="59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REPAYMENTS OF TERM LOANS. The Borrower shall pay to the Agent, for the account of the Lenders with Term Loans, principal of the</w:t>
      </w:r>
    </w:p>
    <w:p>
      <w:pPr>
        <w:sectPr>
          <w:pgSz w:w="11900" w:h="16838" w:orient="portrait"/>
          <w:cols w:equalWidth="0" w:num="1">
            <w:col w:w="9959"/>
          </w:cols>
          <w:pgMar w:left="500" w:top="26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49</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41</w:t>
      </w:r>
    </w:p>
    <w:p>
      <w:pPr>
        <w:spacing w:after="0" w:line="140"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Term Loans in consecutive quarterly installments payable on the last day of each March, June, September and December, commencing on March 31, 2001, and on the Maturity Date (each such date a "TERM LOAN PAYMENT DATE"). The aggregate principal amount of the Term Loans due each Term Loan Payment Date shall be the amount obtained by (i) multiplying (A) $70,000,000 by (B) the percentage set forth below opposite the period during which such Term Loan Payment Date falls and (ii) dividing the product of CLAUSE (I) above by the number of Term Loan Payment Dates in such period.</w:t>
      </w:r>
    </w:p>
    <w:p>
      <w:pPr>
        <w:spacing w:after="0" w:line="8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2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AMORTIZATION</w:t>
      </w:r>
    </w:p>
    <w:p>
      <w:pPr>
        <w:ind w:left="2460"/>
        <w:spacing w:after="0" w:line="237" w:lineRule="auto"/>
        <w:tabs>
          <w:tab w:leader="none" w:pos="4280" w:val="left"/>
        </w:tabs>
        <w:rPr>
          <w:sz w:val="20"/>
          <w:szCs w:val="20"/>
          <w:color w:val="auto"/>
        </w:rPr>
      </w:pP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5"/>
          <w:szCs w:val="15"/>
          <w:color w:val="auto"/>
        </w:rPr>
        <w:t>PERCENTAGE</w:t>
      </w:r>
    </w:p>
    <w:p>
      <w:pPr>
        <w:ind w:left="158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1580" w:type="dxa"/>
        <w:tblCellMar>
          <w:top w:w="0" w:type="dxa"/>
          <w:left w:w="0" w:type="dxa"/>
          <w:bottom w:w="0" w:type="dxa"/>
          <w:right w:w="0" w:type="dxa"/>
        </w:tblCellMar>
      </w:tblP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Date - 12/31/99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4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w w:val="95"/>
              </w:rPr>
              <w:t>1/1/00 - 12/31/00</w:t>
            </w:r>
          </w:p>
        </w:tc>
        <w:tc>
          <w:tcPr>
            <w:tcW w:w="1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1/1/01 - 12/31/01</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1/1/02 - 12/31/02</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1/1/03 - 12/31/03</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17.50%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1/1/04 - 12/31/04</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1/1/05 - 12/31/05</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22.50%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2020" w:type="dxa"/>
        <w:tblCellMar>
          <w:top w:w="0" w:type="dxa"/>
          <w:left w:w="0" w:type="dxa"/>
          <w:bottom w:w="0" w:type="dxa"/>
          <w:right w:w="0" w:type="dxa"/>
        </w:tblCellMar>
      </w:tblPr>
      <w:tr>
        <w:trPr>
          <w:trHeight w:val="169"/>
        </w:trPr>
        <w:tc>
          <w:tcPr>
            <w:tcW w:w="192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1/1/06 - 6/30/06</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2460" w:type="dxa"/>
        <w:tblCellMar>
          <w:top w:w="0" w:type="dxa"/>
          <w:left w:w="0" w:type="dxa"/>
          <w:bottom w:w="0" w:type="dxa"/>
          <w:right w:w="0" w:type="dxa"/>
        </w:tblCellMar>
      </w:tblPr>
      <w:tr>
        <w:trPr>
          <w:trHeight w:val="169"/>
        </w:trPr>
        <w:tc>
          <w:tcPr>
            <w:tcW w:w="118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100.00%</w:t>
            </w:r>
          </w:p>
        </w:tc>
      </w:tr>
    </w:tbl>
    <w:p>
      <w:pPr>
        <w:ind w:left="15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both"/>
        <w:ind w:right="3239"/>
        <w:spacing w:after="0" w:line="320" w:lineRule="auto"/>
        <w:rPr>
          <w:sz w:val="20"/>
          <w:szCs w:val="20"/>
          <w:color w:val="auto"/>
        </w:rPr>
      </w:pPr>
      <w:r>
        <w:rPr>
          <w:rFonts w:ascii="Courier New" w:cs="Courier New" w:eastAsia="Courier New" w:hAnsi="Courier New"/>
          <w:sz w:val="14"/>
          <w:szCs w:val="14"/>
          <w:color w:val="auto"/>
        </w:rPr>
        <w:t>The Term Loans shall in any event mature on the Maturity Date. All principal of, interest on and other amounts payable in respect of the Term Loans will, if not sooner paid, become and be absolutely due and payable on the Maturity Date.</w:t>
      </w:r>
    </w:p>
    <w:p>
      <w:pPr>
        <w:spacing w:after="0" w:line="38" w:lineRule="exact"/>
        <w:rPr>
          <w:sz w:val="20"/>
          <w:szCs w:val="20"/>
          <w:color w:val="auto"/>
        </w:rPr>
      </w:pPr>
    </w:p>
    <w:p>
      <w:pPr>
        <w:ind w:right="3239" w:firstLine="534"/>
        <w:spacing w:after="0" w:line="266" w:lineRule="auto"/>
        <w:tabs>
          <w:tab w:leader="none" w:pos="87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REPAYMENTS OF ACQUISITION LOANS. The Borrower shall pay to the Agent, for the account of the Lenders with Acquisition Loans, the aggregate principal amount of the Acquisition Loans outstanding on the Conversion Date in consecutive quarterly installments payable on the last day of each March, June, September and December, commencing on March 31, 2001, and on the Maturity Date (each such date an "ACQUISITION LOAN PAYMENT Date"). The aggregate principal amount of the Acquisition Loans due each Acquisition Loan Payment Date shall be the amount obtained by (i) multiplying (A) the aggregate principal amount of the Acquisition Loans outstanding on the Conversion Date by (B) the percentage set forth below opposite the period during which such Acquisition Loan Payment Date falls and (ii) dividing the product of CLAUSE (I) above by the number of Acquisition Loan Payment Dates in such period.</w:t>
      </w:r>
    </w:p>
    <w:p>
      <w:pPr>
        <w:spacing w:after="0" w:line="7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2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AMORTIZATION</w:t>
      </w:r>
    </w:p>
    <w:p>
      <w:pPr>
        <w:ind w:left="2460"/>
        <w:spacing w:after="0" w:line="237" w:lineRule="auto"/>
        <w:tabs>
          <w:tab w:leader="none" w:pos="4280" w:val="left"/>
        </w:tabs>
        <w:rPr>
          <w:sz w:val="20"/>
          <w:szCs w:val="20"/>
          <w:color w:val="auto"/>
        </w:rPr>
      </w:pP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5"/>
          <w:szCs w:val="15"/>
          <w:color w:val="auto"/>
        </w:rPr>
        <w:t>PERCENTAGE</w:t>
      </w:r>
    </w:p>
    <w:p>
      <w:pPr>
        <w:ind w:left="158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1580" w:type="dxa"/>
        <w:tblCellMar>
          <w:top w:w="0" w:type="dxa"/>
          <w:left w:w="0" w:type="dxa"/>
          <w:bottom w:w="0" w:type="dxa"/>
          <w:right w:w="0" w:type="dxa"/>
        </w:tblCellMar>
      </w:tblP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Date - 12/31/99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4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w w:val="95"/>
              </w:rPr>
              <w:t>1/1/00 - 12/31/00</w:t>
            </w:r>
          </w:p>
        </w:tc>
        <w:tc>
          <w:tcPr>
            <w:tcW w:w="1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1/1/01 - 12/31/01</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1/1/02 - 12/31/02</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1/1/03 - 12/31/03</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17.50%</w:t>
            </w:r>
          </w:p>
        </w:tc>
      </w:tr>
    </w:tbl>
    <w:p>
      <w:pPr>
        <w:ind w:left="1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6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50</w:t>
      </w:r>
    </w:p>
    <w:p>
      <w:pPr>
        <w:spacing w:after="0" w:line="24" w:lineRule="exact"/>
        <w:rPr>
          <w:sz w:val="20"/>
          <w:szCs w:val="20"/>
          <w:color w:val="auto"/>
        </w:rPr>
      </w:pPr>
    </w:p>
    <w:tbl>
      <w:tblPr>
        <w:tblLayout w:type="fixed"/>
        <w:tblInd w:w="1580" w:type="dxa"/>
        <w:tblCellMar>
          <w:top w:w="0" w:type="dxa"/>
          <w:left w:w="0" w:type="dxa"/>
          <w:bottom w:w="0" w:type="dxa"/>
          <w:right w:w="0" w:type="dxa"/>
        </w:tblCellMar>
      </w:tblPr>
      <w:tr>
        <w:trPr>
          <w:trHeight w:val="245"/>
        </w:trPr>
        <w:tc>
          <w:tcPr>
            <w:tcW w:w="1840" w:type="dxa"/>
            <w:vAlign w:val="bottom"/>
          </w:tcPr>
          <w:p>
            <w:pPr>
              <w:spacing w:after="0"/>
              <w:rPr>
                <w:sz w:val="21"/>
                <w:szCs w:val="21"/>
                <w:color w:val="auto"/>
              </w:rPr>
            </w:pPr>
          </w:p>
        </w:tc>
        <w:tc>
          <w:tcPr>
            <w:tcW w:w="2180" w:type="dxa"/>
            <w:vAlign w:val="bottom"/>
          </w:tcPr>
          <w:p>
            <w:pPr>
              <w:jc w:val="right"/>
              <w:ind w:right="1927"/>
              <w:spacing w:after="0"/>
              <w:rPr>
                <w:sz w:val="20"/>
                <w:szCs w:val="20"/>
                <w:color w:val="auto"/>
              </w:rPr>
            </w:pPr>
            <w:r>
              <w:rPr>
                <w:rFonts w:ascii="Courier New" w:cs="Courier New" w:eastAsia="Courier New" w:hAnsi="Courier New"/>
                <w:sz w:val="15"/>
                <w:szCs w:val="15"/>
                <w:color w:val="auto"/>
                <w:w w:val="88"/>
              </w:rPr>
              <w:t>42</w:t>
            </w:r>
          </w:p>
        </w:tc>
      </w:tr>
      <w:tr>
        <w:trPr>
          <w:trHeight w:val="401"/>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1/1/04 - 12/31/04</w:t>
            </w:r>
          </w:p>
        </w:tc>
        <w:tc>
          <w:tcPr>
            <w:tcW w:w="2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1/1/05 - 12/31/05</w:t>
            </w:r>
          </w:p>
        </w:tc>
        <w:tc>
          <w:tcPr>
            <w:tcW w:w="2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22.50%</w:t>
            </w:r>
          </w:p>
        </w:tc>
      </w:tr>
      <w:tr>
        <w:trPr>
          <w:trHeight w:val="168"/>
        </w:trPr>
        <w:tc>
          <w:tcPr>
            <w:tcW w:w="4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1/1/06 - 6/30/06</w:t>
            </w:r>
          </w:p>
        </w:tc>
        <w:tc>
          <w:tcPr>
            <w:tcW w:w="2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4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2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100.00%</w:t>
            </w:r>
          </w:p>
        </w:tc>
      </w:tr>
      <w:tr>
        <w:trPr>
          <w:trHeight w:val="245"/>
        </w:trPr>
        <w:tc>
          <w:tcPr>
            <w:tcW w:w="4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91"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5"/>
          <w:szCs w:val="15"/>
          <w:color w:val="auto"/>
        </w:rPr>
        <w:t>All Acquisition Loans shall in any event mature on the Maturity Date. All principal of, interest on and other amounts payable in respect of the Acquisition Loans will, if not sooner paid, become and be absolutely due and payable on the Maturity Date.</w:t>
      </w:r>
    </w:p>
    <w:p>
      <w:pPr>
        <w:spacing w:after="0" w:line="68" w:lineRule="exact"/>
        <w:rPr>
          <w:sz w:val="20"/>
          <w:szCs w:val="20"/>
          <w:color w:val="auto"/>
        </w:rPr>
      </w:pPr>
    </w:p>
    <w:p>
      <w:pPr>
        <w:ind w:right="3239" w:firstLine="534"/>
        <w:spacing w:after="0" w:line="259" w:lineRule="auto"/>
        <w:tabs>
          <w:tab w:leader="none" w:pos="875"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SCHEDULED REPAYMENTS OF INCREMENTAL FACILITY LOANS. The Borrower shall pay to the Agent, for the account of the Lenders with Incremental Facility Loans, the aggregate principal amount of the Incremental Facility Loans outstanding on the Conversion Date in consecutive quarterly installments payable on the last day of each March, June, September and December, commencing on March 31, 2001, and on the Maturity Date (each such date an "INCREMENTAL FACILITY LOAN PAYMENT DATE"). The aggregate principal amount of the Incremental Facility Loans due each Incremental Facility Loan Payment Date shall be the amount obtained by</w:t>
      </w:r>
    </w:p>
    <w:p>
      <w:pPr>
        <w:spacing w:after="0" w:line="2" w:lineRule="exact"/>
        <w:rPr>
          <w:rFonts w:ascii="Courier New" w:cs="Courier New" w:eastAsia="Courier New" w:hAnsi="Courier New"/>
          <w:sz w:val="14"/>
          <w:szCs w:val="14"/>
          <w:color w:val="auto"/>
        </w:rPr>
      </w:pPr>
    </w:p>
    <w:p>
      <w:pPr>
        <w:ind w:right="3399" w:firstLine="10"/>
        <w:spacing w:after="0" w:line="255"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multiplying (A) the aggregate principal amount of the Incremental Facility Loans outstanding on the Conversion Date by (B) the percentage set forth below opposite the period during which such Incremental Facility Loan Payment Date falls and (ii) dividing the product of clause (i) above by the number of Incremental Facility Loan Payment Dates in such period.</w:t>
      </w:r>
    </w:p>
    <w:p>
      <w:pPr>
        <w:spacing w:after="0" w:line="8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2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AMORTIZATION</w:t>
      </w:r>
    </w:p>
    <w:p>
      <w:pPr>
        <w:ind w:left="2540"/>
        <w:spacing w:after="0" w:line="237" w:lineRule="auto"/>
        <w:tabs>
          <w:tab w:leader="none" w:pos="428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PERCENTAGE</w:t>
      </w:r>
    </w:p>
    <w:p>
      <w:pPr>
        <w:ind w:left="158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1580" w:type="dxa"/>
        <w:tblCellMar>
          <w:top w:w="0" w:type="dxa"/>
          <w:left w:w="0" w:type="dxa"/>
          <w:bottom w:w="0" w:type="dxa"/>
          <w:right w:w="0" w:type="dxa"/>
        </w:tblCellMar>
      </w:tblP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Date - 12/31/99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4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w w:val="95"/>
              </w:rPr>
              <w:t>1/1/00 - 12/31/00</w:t>
            </w:r>
          </w:p>
        </w:tc>
        <w:tc>
          <w:tcPr>
            <w:tcW w:w="1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1/1/01 - 12/31/01</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1/1/02 - 12/31/02</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1/1/03 - 12/31/03</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17.50%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1/1/04 - 12/31/04</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940" w:type="dxa"/>
        <w:tblCellMar>
          <w:top w:w="0" w:type="dxa"/>
          <w:left w:w="0" w:type="dxa"/>
          <w:bottom w:w="0" w:type="dxa"/>
          <w:right w:w="0" w:type="dxa"/>
        </w:tblCellMar>
      </w:tblPr>
      <w:tr>
        <w:trPr>
          <w:trHeight w:val="169"/>
        </w:trPr>
        <w:tc>
          <w:tcPr>
            <w:tcW w:w="20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1/1/05 - 12/31/05</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22.50%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2020" w:type="dxa"/>
        <w:tblCellMar>
          <w:top w:w="0" w:type="dxa"/>
          <w:left w:w="0" w:type="dxa"/>
          <w:bottom w:w="0" w:type="dxa"/>
          <w:right w:w="0" w:type="dxa"/>
        </w:tblCellMar>
      </w:tblPr>
      <w:tr>
        <w:trPr>
          <w:trHeight w:val="169"/>
        </w:trPr>
        <w:tc>
          <w:tcPr>
            <w:tcW w:w="192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w w:val="95"/>
              </w:rPr>
              <w:t>1/1/06 - 6/30/06</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15.00%</w:t>
            </w:r>
          </w:p>
        </w:tc>
      </w:tr>
    </w:tbl>
    <w:p>
      <w:pPr>
        <w:ind w:left="15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2460" w:type="dxa"/>
        <w:tblCellMar>
          <w:top w:w="0" w:type="dxa"/>
          <w:left w:w="0" w:type="dxa"/>
          <w:bottom w:w="0" w:type="dxa"/>
          <w:right w:w="0" w:type="dxa"/>
        </w:tblCellMar>
      </w:tblPr>
      <w:tr>
        <w:trPr>
          <w:trHeight w:val="169"/>
        </w:trPr>
        <w:tc>
          <w:tcPr>
            <w:tcW w:w="118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100.00%</w:t>
            </w:r>
          </w:p>
        </w:tc>
      </w:tr>
    </w:tbl>
    <w:p>
      <w:pPr>
        <w:ind w:left="15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All Incremental Facility Loans shall in any event mature on the Maturity Date. All principal of, interest on and other amounts payable in respect of the Incremental Facility Loans will, if not sooner paid, become and be absolutely due and payable on the Maturity Date.</w:t>
      </w:r>
    </w:p>
    <w:p>
      <w:pPr>
        <w:spacing w:after="0" w:line="68" w:lineRule="exact"/>
        <w:rPr>
          <w:sz w:val="20"/>
          <w:szCs w:val="20"/>
          <w:color w:val="auto"/>
        </w:rPr>
      </w:pPr>
    </w:p>
    <w:p>
      <w:pPr>
        <w:ind w:right="3239" w:firstLine="534"/>
        <w:spacing w:after="0" w:line="264" w:lineRule="auto"/>
        <w:tabs>
          <w:tab w:leader="none" w:pos="87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PAYMENTS FROM EXCESS CASH FLOW. On March 30 of each year, commencing March 30, 2001, the Borrower shall prepay Loans in an aggregate principal amount equal to (i) 40% of Excess Cash Flow for the fiscal year of the Borrower most recently ended if the Total Funded Debt Leverage Ratio of the Borrower and its Restricted Subsidiaries at the end of</w:t>
      </w:r>
    </w:p>
    <w:p>
      <w:pPr>
        <w:sectPr>
          <w:pgSz w:w="11900" w:h="16838" w:orient="portrait"/>
          <w:cols w:equalWidth="0" w:num="1">
            <w:col w:w="10239"/>
          </w:cols>
          <w:pgMar w:left="220" w:top="26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51</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pacing w:after="0" w:line="309"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such fiscal year was equal to or greater than 4.00:1.00, and (ii) 0% of Excess Cash Flow for such fiscal year if the Total Funded Debt Leverage Ratio of the Borrower and its Restricted Subsidiaries at the end of such fiscal year was less than 4.00:1.00 (each such payment being referred to herein as an "EXCESS CASH FLOW PAYMENT"). Excess Cash Flow Payments shall be applied as provided in Subsection 2.5(h).</w:t>
      </w:r>
    </w:p>
    <w:p>
      <w:pPr>
        <w:spacing w:after="0" w:line="81" w:lineRule="exact"/>
        <w:rPr>
          <w:sz w:val="20"/>
          <w:szCs w:val="20"/>
          <w:color w:val="auto"/>
        </w:rPr>
      </w:pPr>
    </w:p>
    <w:p>
      <w:pPr>
        <w:ind w:left="1060" w:hanging="526"/>
        <w:spacing w:after="0"/>
        <w:tabs>
          <w:tab w:leader="none" w:pos="10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PAYMENTS IN CONNECTION WITH PREPAYMENT EVENTS.</w:t>
      </w:r>
    </w:p>
    <w:p>
      <w:pPr>
        <w:spacing w:after="0" w:line="166" w:lineRule="exact"/>
        <w:rPr>
          <w:rFonts w:ascii="Courier New" w:cs="Courier New" w:eastAsia="Courier New" w:hAnsi="Courier New"/>
          <w:sz w:val="15"/>
          <w:szCs w:val="15"/>
          <w:color w:val="auto"/>
        </w:rPr>
      </w:pPr>
    </w:p>
    <w:p>
      <w:pPr>
        <w:ind w:left="540" w:right="3239" w:firstLine="519"/>
        <w:spacing w:after="0" w:line="255" w:lineRule="auto"/>
        <w:tabs>
          <w:tab w:leader="none" w:pos="159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 later than the Business Day next following each day any Net Proceeds are received by any Borrower Affiliated Company, pay to the Agent the amount of such Net Proceeds (each such payment to the Agent being referred to herein as a "NET PROCEEDS PAYMENT" and the date of each such payment being referred to herein as a "NET PROCEEDS PAYMENT DATE"). Each Net Proceeds Payment shall be applied as provided in SUBSECTION 2.5(h).</w:t>
      </w:r>
    </w:p>
    <w:p>
      <w:pPr>
        <w:spacing w:after="0" w:line="81" w:lineRule="exact"/>
        <w:rPr>
          <w:rFonts w:ascii="Courier New" w:cs="Courier New" w:eastAsia="Courier New" w:hAnsi="Courier New"/>
          <w:sz w:val="15"/>
          <w:szCs w:val="15"/>
          <w:color w:val="auto"/>
        </w:rPr>
      </w:pPr>
    </w:p>
    <w:p>
      <w:pPr>
        <w:ind w:left="540" w:right="3319" w:firstLine="519"/>
        <w:spacing w:after="0" w:line="258" w:lineRule="auto"/>
        <w:tabs>
          <w:tab w:leader="none" w:pos="159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Borrower shall not be required to make a Net Proceeds Payment with respect to any Net Proceeds if (A) the Borrower notifies the Agent in writing at the time such Net Proceeds are received that it intends to use such Net Proceeds to finance a Permitted Acquisition and (B) each of the following conditions is satisfied:</w:t>
      </w:r>
    </w:p>
    <w:p>
      <w:pPr>
        <w:spacing w:after="0" w:line="81" w:lineRule="exact"/>
        <w:rPr>
          <w:rFonts w:ascii="Courier New" w:cs="Courier New" w:eastAsia="Courier New" w:hAnsi="Courier New"/>
          <w:sz w:val="15"/>
          <w:szCs w:val="15"/>
          <w:color w:val="auto"/>
        </w:rPr>
      </w:pPr>
    </w:p>
    <w:p>
      <w:pPr>
        <w:ind w:left="1140" w:right="3239" w:firstLine="7"/>
        <w:spacing w:after="0" w:line="246" w:lineRule="auto"/>
        <w:tabs>
          <w:tab w:leader="none" w:pos="1665"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Net Proceeds are either (i) held by the Collateral Trustee in the Reinvestment Collateral Account pending application of such Net Proceeds, in which event the Collateral Trustee need not release such Net Proceeds to the Borrower except upon presentation of evidence satisfactory to it that such Net Proceeds are to be applied in accordance with the provisions of this Agreement, or (ii) applied by the Borrower to the prepayment of Revolving Credit Loans hereunder (in which event the Borrower shall notify the Agent in writing at the time of such prepayment of Revolving Credit Loans that such prepayment is being made from such Net Proceeds and that, as provided in SUBSECTION 2.1(a), a portion of the Revolving Credit Commitments equal to the amount of such prepayment constitutes a Reserved Commitment Amount); and</w:t>
      </w:r>
    </w:p>
    <w:p>
      <w:pPr>
        <w:spacing w:after="0" w:line="90" w:lineRule="exact"/>
        <w:rPr>
          <w:rFonts w:ascii="Courier New" w:cs="Courier New" w:eastAsia="Courier New" w:hAnsi="Courier New"/>
          <w:sz w:val="15"/>
          <w:szCs w:val="15"/>
          <w:color w:val="auto"/>
        </w:rPr>
      </w:pPr>
    </w:p>
    <w:p>
      <w:pPr>
        <w:ind w:left="1140" w:right="3239" w:firstLine="7"/>
        <w:spacing w:after="0" w:line="250" w:lineRule="auto"/>
        <w:tabs>
          <w:tab w:leader="none" w:pos="1665"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Net Proceeds are in fact so used to finance a Permitted Acquisition within nine months after the date such Net Proceeds are received (or, if the Borrower has, prior to the expiration of such nine month period, entered into a binding written agreement to make a Permitted Acquisition no later than the date which is six months after the termination of such nine month period, within fifteen months after the date such Net Proceeds are received), it being understood that, in the event Net Proceeds from more than one Prepayment Event are held by</w:t>
      </w:r>
    </w:p>
    <w:p>
      <w:pPr>
        <w:sectPr>
          <w:pgSz w:w="11900" w:h="16838" w:orient="portrait"/>
          <w:cols w:equalWidth="0" w:num="1">
            <w:col w:w="10239"/>
          </w:cols>
          <w:pgMar w:left="220" w:top="261"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52</w:t>
      </w:r>
    </w:p>
    <w:p>
      <w:pPr>
        <w:spacing w:after="0" w:line="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44</w:t>
      </w:r>
    </w:p>
    <w:p>
      <w:pPr>
        <w:spacing w:after="0" w:line="140" w:lineRule="exact"/>
        <w:rPr>
          <w:sz w:val="20"/>
          <w:szCs w:val="20"/>
          <w:color w:val="auto"/>
        </w:rPr>
      </w:pPr>
    </w:p>
    <w:p>
      <w:pPr>
        <w:ind w:left="780" w:right="3319"/>
        <w:spacing w:after="0" w:line="245" w:lineRule="auto"/>
        <w:rPr>
          <w:sz w:val="20"/>
          <w:szCs w:val="20"/>
          <w:color w:val="auto"/>
        </w:rPr>
      </w:pPr>
      <w:r>
        <w:rPr>
          <w:rFonts w:ascii="Courier New" w:cs="Courier New" w:eastAsia="Courier New" w:hAnsi="Courier New"/>
          <w:sz w:val="15"/>
          <w:szCs w:val="15"/>
          <w:color w:val="auto"/>
        </w:rPr>
        <w:t>the Collateral Trustee in the Reinvestment Collateral Account or applied to the prepayment of Revolving Credit Loans in accordance with CLAUSE (x) above, such Net Proceeds shall be deemed to be released (or, as the case may be, Revolving Credit Loans utilizing the Reserved Commitment Amount shall be deemed to be made) in the same order in which such Prepayment Events occurred and, accordingly, (A) any such Net Proceeds so held for more than nine months (or, as provided above, fifteen months) shall be forthwith used to make a Net Proceeds Payment and applied as provided in Subsection 2.5(h)(i) and (B) any Reserved Commitment Amount that remains so unutilized for more than nine months (or, as provided above, fifteen months) shall be utilized through the borrowing by the Borrower of Revolving Credit Loans, the proceeds of which shall be applied as provided in Subsection 2.5(h)(i).</w:t>
      </w:r>
    </w:p>
    <w:p>
      <w:pPr>
        <w:spacing w:after="0" w:line="95" w:lineRule="exact"/>
        <w:rPr>
          <w:sz w:val="20"/>
          <w:szCs w:val="20"/>
          <w:color w:val="auto"/>
        </w:rPr>
      </w:pPr>
    </w:p>
    <w:p>
      <w:pPr>
        <w:ind w:left="780" w:hanging="526"/>
        <w:spacing w:after="0"/>
        <w:tabs>
          <w:tab w:leader="none" w:pos="7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PAYMENTS IF LOANS EXCEED RELATED MAXIMUM COMMITMENTS.</w:t>
      </w:r>
    </w:p>
    <w:p>
      <w:pPr>
        <w:spacing w:after="0" w:line="166" w:lineRule="exact"/>
        <w:rPr>
          <w:rFonts w:ascii="Courier New" w:cs="Courier New" w:eastAsia="Courier New" w:hAnsi="Courier New"/>
          <w:sz w:val="15"/>
          <w:szCs w:val="15"/>
          <w:color w:val="auto"/>
        </w:rPr>
      </w:pPr>
    </w:p>
    <w:p>
      <w:pPr>
        <w:ind w:left="260" w:right="3319" w:firstLine="519"/>
        <w:spacing w:after="0" w:line="264" w:lineRule="auto"/>
        <w:tabs>
          <w:tab w:leader="none" w:pos="131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reduction in the aggregate amount of the Revolving Credit Commitments, the Borrower agrees immediately to repay principal of Revolving Credit Loans in such amount as may be necessary so that the Revolving Credit Outstandings do not exceed the aggregate amount of the Revolving Credit Commitments, as so reduced.</w:t>
      </w:r>
    </w:p>
    <w:p>
      <w:pPr>
        <w:spacing w:after="0" w:line="74" w:lineRule="exact"/>
        <w:rPr>
          <w:rFonts w:ascii="Courier New" w:cs="Courier New" w:eastAsia="Courier New" w:hAnsi="Courier New"/>
          <w:sz w:val="15"/>
          <w:szCs w:val="15"/>
          <w:color w:val="auto"/>
        </w:rPr>
      </w:pPr>
    </w:p>
    <w:p>
      <w:pPr>
        <w:ind w:left="260" w:right="3319" w:firstLine="519"/>
        <w:spacing w:after="0" w:line="264" w:lineRule="auto"/>
        <w:tabs>
          <w:tab w:leader="none" w:pos="131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reduction in the aggregate amount of the Acquisition Loan Commitments, the Borrower agrees immediately to repay principal of Acquisition Loans in such amount as may be necessary so that the outstanding Acquisition Loans do not exceed the aggregate amount of the Acquisition Loan Commitments, as so reduced.</w:t>
      </w:r>
    </w:p>
    <w:p>
      <w:pPr>
        <w:spacing w:after="0" w:line="74" w:lineRule="exact"/>
        <w:rPr>
          <w:rFonts w:ascii="Courier New" w:cs="Courier New" w:eastAsia="Courier New" w:hAnsi="Courier New"/>
          <w:sz w:val="15"/>
          <w:szCs w:val="15"/>
          <w:color w:val="auto"/>
        </w:rPr>
      </w:pPr>
    </w:p>
    <w:p>
      <w:pPr>
        <w:ind w:left="260" w:right="3239" w:firstLine="519"/>
        <w:spacing w:after="0" w:line="280" w:lineRule="auto"/>
        <w:tabs>
          <w:tab w:leader="none" w:pos="131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reduction in the aggregate amount of the Incremental Facility Commitments of any Series, the Borrower agrees immediately to repay principal of Incremental Facility Loans of such Series in such amount as may be necessary so that the outstanding Incremental Facility Loans of such Series do not exceed the aggregate amount of the Incremental Facility Commitments of such Series, as so reduced.</w:t>
      </w:r>
    </w:p>
    <w:p>
      <w:pPr>
        <w:spacing w:after="0" w:line="67" w:lineRule="exact"/>
        <w:rPr>
          <w:rFonts w:ascii="Courier New" w:cs="Courier New" w:eastAsia="Courier New" w:hAnsi="Courier New"/>
          <w:sz w:val="14"/>
          <w:szCs w:val="14"/>
          <w:color w:val="auto"/>
        </w:rPr>
      </w:pPr>
    </w:p>
    <w:p>
      <w:pPr>
        <w:ind w:left="780" w:hanging="526"/>
        <w:spacing w:after="0"/>
        <w:tabs>
          <w:tab w:leader="none" w:pos="7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PAYMENTS.</w:t>
      </w:r>
    </w:p>
    <w:p>
      <w:pPr>
        <w:spacing w:after="0" w:line="166" w:lineRule="exact"/>
        <w:rPr>
          <w:rFonts w:ascii="Courier New" w:cs="Courier New" w:eastAsia="Courier New" w:hAnsi="Courier New"/>
          <w:sz w:val="15"/>
          <w:szCs w:val="15"/>
          <w:color w:val="auto"/>
        </w:rPr>
      </w:pPr>
    </w:p>
    <w:p>
      <w:pPr>
        <w:ind w:left="260" w:right="3239" w:firstLine="519"/>
        <w:spacing w:after="0" w:line="258" w:lineRule="auto"/>
        <w:tabs>
          <w:tab w:leader="none" w:pos="131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Excess Cash Flow Payments, all Net Proceeds Payments and all proceeds of Revolving Credit Loans that utilize a Reserved Commitment Amount and do not finance a Permitted Acquisition in accordance with Subsection 2.5(f)(ii)(y) shall be applied by the Agent to pay principal of the Term Loans, the Acquisition Loans and the Incremental Facility Loans of each Series, on a pro rata basis,</w:t>
      </w:r>
    </w:p>
    <w:p>
      <w:pPr>
        <w:sectPr>
          <w:pgSz w:w="11900" w:h="16838" w:orient="portrait"/>
          <w:cols w:equalWidth="0" w:num="1">
            <w:col w:w="9959"/>
          </w:cols>
          <w:pgMar w:left="500" w:top="26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53</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pacing w:after="0" w:line="140" w:lineRule="exact"/>
        <w:rPr>
          <w:sz w:val="20"/>
          <w:szCs w:val="20"/>
          <w:color w:val="auto"/>
        </w:rPr>
      </w:pPr>
    </w:p>
    <w:p>
      <w:pPr>
        <w:ind w:left="540" w:right="3239"/>
        <w:spacing w:after="0" w:line="344" w:lineRule="auto"/>
        <w:rPr>
          <w:sz w:val="20"/>
          <w:szCs w:val="20"/>
          <w:color w:val="auto"/>
        </w:rPr>
      </w:pPr>
      <w:r>
        <w:rPr>
          <w:rFonts w:ascii="Courier New" w:cs="Courier New" w:eastAsia="Courier New" w:hAnsi="Courier New"/>
          <w:sz w:val="15"/>
          <w:szCs w:val="15"/>
          <w:color w:val="auto"/>
        </w:rPr>
        <w:t>determined based on the aggregate principal amount of each such Tranche of Loans outstanding immediately prior to such application.</w:t>
      </w:r>
    </w:p>
    <w:p>
      <w:pPr>
        <w:spacing w:after="0" w:line="17" w:lineRule="exact"/>
        <w:rPr>
          <w:sz w:val="20"/>
          <w:szCs w:val="20"/>
          <w:color w:val="auto"/>
        </w:rPr>
      </w:pPr>
    </w:p>
    <w:p>
      <w:pPr>
        <w:ind w:left="540" w:right="3319" w:firstLine="519"/>
        <w:spacing w:after="0" w:line="298" w:lineRule="auto"/>
        <w:tabs>
          <w:tab w:leader="none" w:pos="159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of Term Loans pursuant to CLAUSE (i) of this SUBSECTION 2.5(h) shall reduce the remaining scheduled installments of principal of the Term Loans on a pro rata basis (based upon the remaining principal amount of each such installment at the time of such payment).</w:t>
      </w:r>
    </w:p>
    <w:p>
      <w:pPr>
        <w:spacing w:after="0" w:line="53" w:lineRule="exact"/>
        <w:rPr>
          <w:rFonts w:ascii="Courier New" w:cs="Courier New" w:eastAsia="Courier New" w:hAnsi="Courier New"/>
          <w:sz w:val="14"/>
          <w:szCs w:val="14"/>
          <w:color w:val="auto"/>
        </w:rPr>
      </w:pPr>
    </w:p>
    <w:p>
      <w:pPr>
        <w:ind w:left="540" w:right="3239" w:firstLine="519"/>
        <w:spacing w:after="0" w:line="249" w:lineRule="auto"/>
        <w:tabs>
          <w:tab w:leader="none" w:pos="159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payment prior to the Conversion Date of any Acquisition Loans or Incremental Facility Loans of any Series pursuant to CLAUSE (i) of this Subsection 2.5(h) may not be reborrowed and shall reduce the remaining scheduled installments of principal of such Loans by operation of the applicable provisions of Section 2.16. Each payment on or after the Conversion Date of any Acquisition Loans or Incremental Facility Loans of any Series pursuant to CLAUSE (i) of this Subsection 2.5(h) shall reduce the remaining scheduled installments of principal of such Loans on a pro rata basis (based upon the remaining principal amount of each such installment at the time of such payment).</w:t>
      </w:r>
    </w:p>
    <w:p>
      <w:pPr>
        <w:spacing w:after="0" w:line="87" w:lineRule="exact"/>
        <w:rPr>
          <w:rFonts w:ascii="Courier New" w:cs="Courier New" w:eastAsia="Courier New" w:hAnsi="Courier New"/>
          <w:sz w:val="15"/>
          <w:szCs w:val="15"/>
          <w:color w:val="auto"/>
        </w:rPr>
      </w:pPr>
    </w:p>
    <w:p>
      <w:pPr>
        <w:ind w:left="540" w:right="3239" w:firstLine="519"/>
        <w:spacing w:after="0" w:line="270" w:lineRule="auto"/>
        <w:tabs>
          <w:tab w:leader="none" w:pos="159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payments and prepayments required to be made pursuant to Subsections 2.5(a) through (g), and except for payments required to be made pursuant to Sections 2.20, 2.21 and 2.23, all payments and repayments made pursuant to the terms hereof shall be applied (A) first to all (if any) Obligations (except principal, interest and Fees) due and payable under this Agreement at such time, (B) then to payment of all Fees due and payable at such time, (C) then to interest due and payable at such time, (D) then to accrued interest and then to principal of Base Rate Loans, and (E) finally, to principal of Eurodollar Loans.</w:t>
      </w:r>
    </w:p>
    <w:p>
      <w:pPr>
        <w:spacing w:after="0" w:line="7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Section 2.6. REDUCTION OR TERMINATION OF COMMITMENTS; VOLUNTARY PAYMENTS.</w:t>
      </w:r>
    </w:p>
    <w:p>
      <w:pPr>
        <w:spacing w:after="0" w:line="178" w:lineRule="exact"/>
        <w:rPr>
          <w:sz w:val="20"/>
          <w:szCs w:val="20"/>
          <w:color w:val="auto"/>
        </w:rPr>
      </w:pPr>
    </w:p>
    <w:p>
      <w:pPr>
        <w:ind w:right="3239" w:firstLine="534"/>
        <w:spacing w:after="0" w:line="264" w:lineRule="auto"/>
        <w:tabs>
          <w:tab w:leader="none" w:pos="1049"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REDUCTION OR TERMINATION OF COMMITMENTS. The Borrower shall be entitled to terminate or reduce the Revolving Credit Commitments, the Acquisition Loan Commitments and/or the Incremental Facility Commitments from time to time subject to the terms and conditions set forth herein, provided that</w:t>
      </w:r>
    </w:p>
    <w:p>
      <w:pPr>
        <w:ind w:left="360" w:hanging="350"/>
        <w:spacing w:after="0" w:line="237" w:lineRule="auto"/>
        <w:tabs>
          <w:tab w:leader="none" w:pos="3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must give notice of such termination or reduction to the</w:t>
      </w:r>
    </w:p>
    <w:p>
      <w:pPr>
        <w:ind w:right="349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Lenders as provided in SECTION 2.2 and (ii) any partial reduction of any such Commitments shall be in an integral multiple of One Million Dollars ($1,000,000). Any such termination or reduction shall be permanent and irrevocable.</w:t>
      </w:r>
    </w:p>
    <w:p>
      <w:pPr>
        <w:spacing w:after="0" w:line="78" w:lineRule="exact"/>
        <w:rPr>
          <w:rFonts w:ascii="Courier New" w:cs="Courier New" w:eastAsia="Courier New" w:hAnsi="Courier New"/>
          <w:sz w:val="15"/>
          <w:szCs w:val="15"/>
          <w:color w:val="auto"/>
        </w:rPr>
      </w:pPr>
    </w:p>
    <w:p>
      <w:pPr>
        <w:ind w:right="3239" w:firstLine="534"/>
        <w:spacing w:after="0" w:line="298" w:lineRule="auto"/>
        <w:tabs>
          <w:tab w:leader="none" w:pos="1049"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PREPAYMENTS. The Borrower shall be entitled to prepay the Revolving Credit Loans, the Term Loans, the Acquisition Loans and the Incremental Facility Loans from time to time (in accordance with Section 2.11), in whole or in part, without premium or penalty, PROVIDED, that (i) the Borrower</w:t>
      </w:r>
    </w:p>
    <w:p>
      <w:pPr>
        <w:sectPr>
          <w:pgSz w:w="11900" w:h="16838" w:orient="portrait"/>
          <w:cols w:equalWidth="0" w:num="1">
            <w:col w:w="10239"/>
          </w:cols>
          <w:pgMar w:left="220" w:top="26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54</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must give notice of such payment to the Agent as provided in Section 2.2, and</w:t>
      </w:r>
    </w:p>
    <w:p>
      <w:pPr>
        <w:spacing w:after="0" w:line="24" w:lineRule="exact"/>
        <w:rPr>
          <w:sz w:val="20"/>
          <w:szCs w:val="20"/>
          <w:color w:val="auto"/>
        </w:rPr>
      </w:pPr>
    </w:p>
    <w:p>
      <w:pPr>
        <w:ind w:right="3239" w:firstLine="10"/>
        <w:spacing w:after="0" w:line="264" w:lineRule="auto"/>
        <w:tabs>
          <w:tab w:leader="none" w:pos="43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Eurodollar Loans may be repaid only on the last day of an Interest Period for such Loans. All prepayments of Term Loans pursuant to this PARAGRAPH (B), and all prepayments of Acquisition Loans or Incremental Facility Loans after the Conversion Date pursuant to this PARAGRAPH (b), shall reduce the then remaining scheduled installments of such Tranche of Loans being prepaid on a PRO RATA basis (based upon the principal amount of each such installment at the time of such payment. Optional prepayments of Revolving Credit Loans may, subject to the terms and conditions hereof, be reborrowed hereunder until the Revolving Credit Commitments are terminated. Optional prepayments of Terms Loans, Acquisition Loans or Incremental Facility Loans may not be reborrowed.</w:t>
      </w:r>
    </w:p>
    <w:p>
      <w:pPr>
        <w:spacing w:after="0" w:line="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27. INTEREST.</w:t>
      </w:r>
    </w:p>
    <w:p>
      <w:pPr>
        <w:spacing w:after="0" w:line="166" w:lineRule="exact"/>
        <w:rPr>
          <w:sz w:val="20"/>
          <w:szCs w:val="20"/>
          <w:color w:val="auto"/>
        </w:rPr>
      </w:pPr>
    </w:p>
    <w:p>
      <w:pPr>
        <w:ind w:right="3399" w:firstLine="534"/>
        <w:spacing w:after="0" w:line="344" w:lineRule="auto"/>
        <w:tabs>
          <w:tab w:leader="none" w:pos="87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LOANS. Each Base Rate Loan shall bear interest at the Base Rate plus the Applicable Margin for Base Rate Loans then in effect.</w:t>
      </w:r>
    </w:p>
    <w:p>
      <w:pPr>
        <w:spacing w:after="0" w:line="17" w:lineRule="exact"/>
        <w:rPr>
          <w:rFonts w:ascii="Courier New" w:cs="Courier New" w:eastAsia="Courier New" w:hAnsi="Courier New"/>
          <w:sz w:val="15"/>
          <w:szCs w:val="15"/>
          <w:color w:val="auto"/>
        </w:rPr>
      </w:pPr>
    </w:p>
    <w:p>
      <w:pPr>
        <w:ind w:right="3399" w:firstLine="534"/>
        <w:spacing w:after="0" w:line="273" w:lineRule="auto"/>
        <w:tabs>
          <w:tab w:leader="none" w:pos="87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LOANS. Each Eurodollar Loan shall bear interest at the Eurodollar Rate applicable to such Loan and the Interest Period therefor, plus the Applicable Margin for Eurodollar Loans in effect on the first day of such Interest Period.</w:t>
      </w:r>
    </w:p>
    <w:p>
      <w:pPr>
        <w:spacing w:after="0" w:line="67" w:lineRule="exact"/>
        <w:rPr>
          <w:rFonts w:ascii="Courier New" w:cs="Courier New" w:eastAsia="Courier New" w:hAnsi="Courier New"/>
          <w:sz w:val="15"/>
          <w:szCs w:val="15"/>
          <w:color w:val="auto"/>
        </w:rPr>
      </w:pPr>
    </w:p>
    <w:p>
      <w:pPr>
        <w:ind w:right="3239" w:firstLine="534"/>
        <w:spacing w:after="0" w:line="264" w:lineRule="auto"/>
        <w:tabs>
          <w:tab w:leader="none" w:pos="87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RATE. Notwithstanding the foregoing, during the continuance of a Specified Default, the Borrower shall pay interest at the applicable Default Rate on the principal of the Loans and (to the extent permitted by law) interest and all other amounts payable hereunder or under any of the other Loan Documents.</w:t>
      </w:r>
    </w:p>
    <w:p>
      <w:pPr>
        <w:spacing w:after="0" w:line="74" w:lineRule="exact"/>
        <w:rPr>
          <w:rFonts w:ascii="Courier New" w:cs="Courier New" w:eastAsia="Courier New" w:hAnsi="Courier New"/>
          <w:sz w:val="15"/>
          <w:szCs w:val="15"/>
          <w:color w:val="auto"/>
        </w:rPr>
      </w:pPr>
    </w:p>
    <w:p>
      <w:pPr>
        <w:ind w:right="3239" w:firstLine="534"/>
        <w:spacing w:after="0" w:line="261" w:lineRule="auto"/>
        <w:tabs>
          <w:tab w:leader="none" w:pos="87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INTEREST. Except as provided in the next sentence, accrued interest on each Loan shall be payable: (i) in the case of each Base Rate Loan, quarterly in arrears on the Quarterly Dates, and (ii) in the case of each Eurodollar Loan, on the last day of the Interest Period for such Loan (and, if such Interest Period exceeds three months' duration, quarterly, on the Quarterly Dates), and (iii) in the case of any Loan, (A) upon any payment or prepayment thereof or the conversion thereof into a Loan of another type (but only on the principal so paid, prepaid or converted) and (B) on the Maturity Date, (iv) in the case of the Revolving Credit Loans, on the date of termination of the Revolving Credit Commitments, (v) in the case of the Acquisition Loans on the date of termination of the Acquisition Loan Commitments, and (vi) in the case of the Incremental Facility Loans on the date of termination of the Incremental Facility Loan Commitments. Interest which is payable at the Default Rate shall be payable from time to time on demand of the Agent or any Lender. Promptly after the establishment of any interest rate provided for herein or any change therein, the Agent will notify the Lenders and the Borrower thereof, provided that the failure of the Agent to so notify the Borrower or the Lenders shall not affect the obligations of the Borrower hereunder or under any of the Notes in any respect.</w:t>
      </w:r>
    </w:p>
    <w:p>
      <w:pPr>
        <w:sectPr>
          <w:pgSz w:w="11900" w:h="16838" w:orient="portrait"/>
          <w:cols w:equalWidth="0" w:num="1">
            <w:col w:w="10239"/>
          </w:cols>
          <w:pgMar w:left="220" w:top="26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55</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2.8. FEES.</w:t>
      </w:r>
    </w:p>
    <w:p>
      <w:pPr>
        <w:spacing w:after="0" w:line="166" w:lineRule="exact"/>
        <w:rPr>
          <w:sz w:val="20"/>
          <w:szCs w:val="20"/>
          <w:color w:val="auto"/>
        </w:rPr>
      </w:pPr>
    </w:p>
    <w:p>
      <w:pPr>
        <w:ind w:right="3239" w:firstLine="534"/>
        <w:spacing w:after="0" w:line="267" w:lineRule="auto"/>
        <w:tabs>
          <w:tab w:leader="none" w:pos="87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COMMITMENT FEES. The Borrower shall pay to the Agent, for the accounts of the Lenders with Revolving Credit Commitments, commitment fees ("REVOLVING CREDIT COMMITMENT FEES") in an amount equal to the product of</w:t>
      </w:r>
    </w:p>
    <w:p>
      <w:pPr>
        <w:spacing w:after="0" w:line="1" w:lineRule="exact"/>
        <w:rPr>
          <w:rFonts w:ascii="Courier New" w:cs="Courier New" w:eastAsia="Courier New" w:hAnsi="Courier New"/>
          <w:sz w:val="14"/>
          <w:szCs w:val="14"/>
          <w:color w:val="auto"/>
        </w:rPr>
      </w:pPr>
    </w:p>
    <w:p>
      <w:pPr>
        <w:ind w:right="3239" w:firstLine="10"/>
        <w:spacing w:after="0" w:line="272" w:lineRule="auto"/>
        <w:tabs>
          <w:tab w:leader="none" w:pos="35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daily average amount of the Available Revolving Credit Commitments during the applicable calendar quarter and (ii) the annual rate set forth in the table below based upon the Total Funded Debt Leverage Ratio for the Reference Period ending immediately prior to such calendar quarter. The Revolving Credit Commitment Fees shall be payable (i) quarterly in arrears on the Quarterly Dates, and (ii) on the date the Revolving Credit Commitments terminate.</w:t>
      </w:r>
    </w:p>
    <w:p>
      <w:pPr>
        <w:spacing w:after="0" w:line="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80" w:type="dxa"/>
            <w:vAlign w:val="bottom"/>
          </w:tcPr>
          <w:p>
            <w:pPr>
              <w:ind w:left="620"/>
              <w:spacing w:after="0"/>
              <w:rPr>
                <w:sz w:val="20"/>
                <w:szCs w:val="20"/>
                <w:color w:val="auto"/>
              </w:rPr>
            </w:pPr>
            <w:r>
              <w:rPr>
                <w:rFonts w:ascii="Courier New" w:cs="Courier New" w:eastAsia="Courier New" w:hAnsi="Courier New"/>
                <w:sz w:val="15"/>
                <w:szCs w:val="15"/>
                <w:color w:val="auto"/>
              </w:rPr>
              <w:t>Total Funded Debt</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Annual Rate</w:t>
            </w:r>
          </w:p>
        </w:tc>
        <w:tc>
          <w:tcPr>
            <w:tcW w:w="0" w:type="dxa"/>
            <w:vAlign w:val="bottom"/>
          </w:tcPr>
          <w:p>
            <w:pPr>
              <w:spacing w:after="0"/>
              <w:rPr>
                <w:sz w:val="1"/>
                <w:szCs w:val="1"/>
                <w:color w:val="auto"/>
              </w:rPr>
            </w:pPr>
          </w:p>
        </w:tc>
      </w:tr>
      <w:tr>
        <w:trPr>
          <w:trHeight w:val="168"/>
        </w:trPr>
        <w:tc>
          <w:tcPr>
            <w:tcW w:w="32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Leverage Ratio</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28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Greater than or equal to 4.0:1.0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0.500%</w:t>
            </w:r>
          </w:p>
        </w:tc>
        <w:tc>
          <w:tcPr>
            <w:tcW w:w="0" w:type="dxa"/>
            <w:vAlign w:val="bottom"/>
          </w:tcPr>
          <w:p>
            <w:pPr>
              <w:spacing w:after="0"/>
              <w:rPr>
                <w:sz w:val="1"/>
                <w:szCs w:val="1"/>
                <w:color w:val="auto"/>
              </w:rPr>
            </w:pPr>
          </w:p>
        </w:tc>
      </w:tr>
      <w:tr>
        <w:trPr>
          <w:trHeight w:val="336"/>
        </w:trPr>
        <w:tc>
          <w:tcPr>
            <w:tcW w:w="3280" w:type="dxa"/>
            <w:vAlign w:val="bottom"/>
          </w:tcPr>
          <w:p>
            <w:pPr>
              <w:ind w:left="620"/>
              <w:spacing w:after="0"/>
              <w:rPr>
                <w:sz w:val="20"/>
                <w:szCs w:val="20"/>
                <w:color w:val="auto"/>
              </w:rPr>
            </w:pPr>
            <w:r>
              <w:rPr>
                <w:rFonts w:ascii="Courier New" w:cs="Courier New" w:eastAsia="Courier New" w:hAnsi="Courier New"/>
                <w:sz w:val="15"/>
                <w:szCs w:val="15"/>
                <w:color w:val="auto"/>
              </w:rPr>
              <w:t>Less than 4.0:1.0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0.375%</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239" w:firstLine="534"/>
        <w:spacing w:after="0" w:line="267" w:lineRule="auto"/>
        <w:tabs>
          <w:tab w:leader="none" w:pos="875"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LOAN COMMITMENT FEES. The Borrower shall pay to the Agent, for the accounts of the Lenders with Acquisition Loan Commitments, commitment fees ("ACQUISITION LOAN COMMITMENT FEES") in an amount equal to the product of</w:t>
      </w:r>
    </w:p>
    <w:p>
      <w:pPr>
        <w:spacing w:after="0" w:line="1" w:lineRule="exact"/>
        <w:rPr>
          <w:rFonts w:ascii="Courier New" w:cs="Courier New" w:eastAsia="Courier New" w:hAnsi="Courier New"/>
          <w:sz w:val="14"/>
          <w:szCs w:val="14"/>
          <w:color w:val="auto"/>
        </w:rPr>
      </w:pPr>
    </w:p>
    <w:p>
      <w:pPr>
        <w:ind w:right="3239" w:firstLine="10"/>
        <w:spacing w:after="0" w:line="272" w:lineRule="auto"/>
        <w:tabs>
          <w:tab w:leader="none" w:pos="35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daily average amount of the Available Acquisition Loan Commitments during the applicable calendar quarter and (ii) the annual rate set forth in the table below based upon the Total Funded Debt Leverage Ratio for the Reference Period ending immediately prior to such calendar quarter. The Acquisition Loan Commitment Fees shall be payable (i) quarterly in arrears on the Quarterly Dates and (ii) on the date the Acquisition Loan Commitments terminate.</w:t>
      </w:r>
    </w:p>
    <w:p>
      <w:pPr>
        <w:spacing w:after="0" w:line="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80" w:type="dxa"/>
            <w:vAlign w:val="bottom"/>
          </w:tcPr>
          <w:p>
            <w:pPr>
              <w:ind w:left="620"/>
              <w:spacing w:after="0"/>
              <w:rPr>
                <w:sz w:val="20"/>
                <w:szCs w:val="20"/>
                <w:color w:val="auto"/>
              </w:rPr>
            </w:pPr>
            <w:r>
              <w:rPr>
                <w:rFonts w:ascii="Courier New" w:cs="Courier New" w:eastAsia="Courier New" w:hAnsi="Courier New"/>
                <w:sz w:val="15"/>
                <w:szCs w:val="15"/>
                <w:color w:val="auto"/>
              </w:rPr>
              <w:t>Total Funded Debt</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Annual Rate</w:t>
            </w:r>
          </w:p>
        </w:tc>
        <w:tc>
          <w:tcPr>
            <w:tcW w:w="0" w:type="dxa"/>
            <w:vAlign w:val="bottom"/>
          </w:tcPr>
          <w:p>
            <w:pPr>
              <w:spacing w:after="0"/>
              <w:rPr>
                <w:sz w:val="1"/>
                <w:szCs w:val="1"/>
                <w:color w:val="auto"/>
              </w:rPr>
            </w:pPr>
          </w:p>
        </w:tc>
      </w:tr>
      <w:tr>
        <w:trPr>
          <w:trHeight w:val="168"/>
        </w:trPr>
        <w:tc>
          <w:tcPr>
            <w:tcW w:w="32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Leverage Ratio</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28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Greater than or equal to 4.0:1.0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0.500%</w:t>
            </w:r>
          </w:p>
        </w:tc>
        <w:tc>
          <w:tcPr>
            <w:tcW w:w="0" w:type="dxa"/>
            <w:vAlign w:val="bottom"/>
          </w:tcPr>
          <w:p>
            <w:pPr>
              <w:spacing w:after="0"/>
              <w:rPr>
                <w:sz w:val="1"/>
                <w:szCs w:val="1"/>
                <w:color w:val="auto"/>
              </w:rPr>
            </w:pPr>
          </w:p>
        </w:tc>
      </w:tr>
      <w:tr>
        <w:trPr>
          <w:trHeight w:val="336"/>
        </w:trPr>
        <w:tc>
          <w:tcPr>
            <w:tcW w:w="3280" w:type="dxa"/>
            <w:vAlign w:val="bottom"/>
          </w:tcPr>
          <w:p>
            <w:pPr>
              <w:ind w:left="620"/>
              <w:spacing w:after="0"/>
              <w:rPr>
                <w:sz w:val="20"/>
                <w:szCs w:val="20"/>
                <w:color w:val="auto"/>
              </w:rPr>
            </w:pPr>
            <w:r>
              <w:rPr>
                <w:rFonts w:ascii="Courier New" w:cs="Courier New" w:eastAsia="Courier New" w:hAnsi="Courier New"/>
                <w:sz w:val="15"/>
                <w:szCs w:val="15"/>
                <w:color w:val="auto"/>
              </w:rPr>
              <w:t>Less than 4.0:1.0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0.375%</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839" w:firstLine="534"/>
        <w:spacing w:after="0" w:line="344" w:lineRule="auto"/>
        <w:tabs>
          <w:tab w:leader="none" w:pos="87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FEES. The Borrower shall pay to the Agent certain fees as provided in the Fee Letter.</w:t>
      </w:r>
    </w:p>
    <w:p>
      <w:pPr>
        <w:spacing w:after="0" w:line="17" w:lineRule="exact"/>
        <w:rPr>
          <w:sz w:val="20"/>
          <w:szCs w:val="20"/>
          <w:color w:val="auto"/>
        </w:rPr>
      </w:pPr>
    </w:p>
    <w:p>
      <w:pPr>
        <w:ind w:right="3679" w:firstLine="525"/>
        <w:spacing w:after="0" w:line="344" w:lineRule="auto"/>
        <w:rPr>
          <w:sz w:val="20"/>
          <w:szCs w:val="20"/>
          <w:color w:val="auto"/>
        </w:rPr>
      </w:pPr>
      <w:r>
        <w:rPr>
          <w:rFonts w:ascii="Courier New" w:cs="Courier New" w:eastAsia="Courier New" w:hAnsi="Courier New"/>
          <w:sz w:val="15"/>
          <w:szCs w:val="15"/>
          <w:color w:val="auto"/>
        </w:rPr>
        <w:t>Section 2.9. USE OF PROCEEDS OF LOANS. The Borrower hereby covenants, warrants and represents as follows:</w:t>
      </w:r>
    </w:p>
    <w:p>
      <w:pPr>
        <w:spacing w:after="0" w:line="17" w:lineRule="exact"/>
        <w:rPr>
          <w:sz w:val="20"/>
          <w:szCs w:val="20"/>
          <w:color w:val="auto"/>
        </w:rPr>
      </w:pPr>
    </w:p>
    <w:p>
      <w:pPr>
        <w:ind w:right="3399" w:firstLine="534"/>
        <w:spacing w:after="0" w:line="385" w:lineRule="auto"/>
        <w:tabs>
          <w:tab w:leader="none" w:pos="87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proceeds of Revolving Credit Loans shall be used by the Borrower solely (i) for working capital and general corporate purposes of the</w:t>
      </w:r>
    </w:p>
    <w:p>
      <w:pPr>
        <w:sectPr>
          <w:pgSz w:w="11900" w:h="16838" w:orient="portrait"/>
          <w:cols w:equalWidth="0" w:num="1">
            <w:col w:w="10239"/>
          </w:cols>
          <w:pgMar w:left="220" w:top="26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56</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48</w:t>
      </w:r>
    </w:p>
    <w:p>
      <w:pPr>
        <w:spacing w:after="0" w:line="140"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4"/>
          <w:szCs w:val="14"/>
          <w:color w:val="auto"/>
        </w:rPr>
        <w:t>Principal Companies (including the making of Investments permitted by PARAGRAPHS (a), (b), (c), (f) and (i) of SECTION 9.4), (ii) to finance Permitted Acquisitions and (iii) to finance the repurchase of shares of Class A Common Stock of the Borrower in accordance with the terms and conditions of PARAGRAPH</w:t>
      </w:r>
    </w:p>
    <w:p>
      <w:pPr>
        <w:spacing w:after="0" w:line="1" w:lineRule="exact"/>
        <w:rPr>
          <w:sz w:val="20"/>
          <w:szCs w:val="20"/>
          <w:color w:val="auto"/>
        </w:rPr>
      </w:pPr>
    </w:p>
    <w:p>
      <w:pPr>
        <w:ind w:right="3239" w:firstLine="10"/>
        <w:spacing w:after="0" w:line="254" w:lineRule="auto"/>
        <w:tabs>
          <w:tab w:leader="none" w:pos="35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9.5; PROVIDED, HOWEVER, that (i) any proceeds of Revolving Credit Loans that would utilize any Reserved Commitment Amount shall be applied solely</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(x) to finance a Permitted Acquisition in accordance with SUBSECTION</w:t>
      </w: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2.5(f)(ii)(y) or (y) as provided in Subsection 2.5(h)(i); and (ii) proceeds of Revolving Loans shall not be used to finance any Permitted Acquisitions, UNLESS</w:t>
      </w:r>
    </w:p>
    <w:p>
      <w:pPr>
        <w:ind w:right="3319" w:firstLine="10"/>
        <w:spacing w:after="0" w:line="247" w:lineRule="auto"/>
        <w:tabs>
          <w:tab w:leader="none" w:pos="35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Loan Commitments have either been fully utilized or terminated at the time of the Loan request, and (B) after giving effect to the making of such Revolving Credit Loans, the aggregate amount of Revolving Loans used to finance all Permitted Acquisitions is less than $10,000,000. The $10,000,000 limitation in the preceding CLAUSE (ii) shall not limit the amount of Revolving Credit Loans the proceeds of which utilize any Reserved Commitment Amount and are used to finance a Permitted Acquisition in accordance with Subsection 2.5(f)(ii)(y).</w:t>
      </w:r>
    </w:p>
    <w:p>
      <w:pPr>
        <w:spacing w:after="0" w:line="88" w:lineRule="exact"/>
        <w:rPr>
          <w:rFonts w:ascii="Courier New" w:cs="Courier New" w:eastAsia="Courier New" w:hAnsi="Courier New"/>
          <w:sz w:val="15"/>
          <w:szCs w:val="15"/>
          <w:color w:val="auto"/>
        </w:rPr>
      </w:pPr>
    </w:p>
    <w:p>
      <w:pPr>
        <w:ind w:right="3239" w:firstLine="534"/>
        <w:spacing w:after="0" w:line="280" w:lineRule="auto"/>
        <w:tabs>
          <w:tab w:leader="none" w:pos="875"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proceeds of Term Loans shall be used by the Borrower solely (i) to replace obligations of the Borrower under the Existing Credit Agreement, (ii) to pay fees, costs and expenses incurred by the Borrower and its Restricted Subsidiaries in connection with the Transaction, (iii) to make Investments permitted by SUBSECTION 9.4(a), and (iv) to finance Permitted Acquisitions and to pay fees, costs and expenses incurred in connection therewith.</w:t>
      </w:r>
    </w:p>
    <w:p>
      <w:pPr>
        <w:spacing w:after="0" w:line="67" w:lineRule="exact"/>
        <w:rPr>
          <w:rFonts w:ascii="Courier New" w:cs="Courier New" w:eastAsia="Courier New" w:hAnsi="Courier New"/>
          <w:sz w:val="14"/>
          <w:szCs w:val="14"/>
          <w:color w:val="auto"/>
        </w:rPr>
      </w:pPr>
    </w:p>
    <w:p>
      <w:pPr>
        <w:ind w:right="3499" w:firstLine="534"/>
        <w:spacing w:after="0" w:line="290" w:lineRule="auto"/>
        <w:tabs>
          <w:tab w:leader="none" w:pos="875"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proceeds of Acquisition Loans shall be used by the Principal Companies solely to finance Permitted Acquisitions and to pay fees, costs and expenses incurred in connection therewith.</w:t>
      </w:r>
    </w:p>
    <w:p>
      <w:pPr>
        <w:spacing w:after="0" w:line="56" w:lineRule="exact"/>
        <w:rPr>
          <w:rFonts w:ascii="Courier New" w:cs="Courier New" w:eastAsia="Courier New" w:hAnsi="Courier New"/>
          <w:sz w:val="15"/>
          <w:szCs w:val="15"/>
          <w:color w:val="auto"/>
        </w:rPr>
      </w:pPr>
    </w:p>
    <w:p>
      <w:pPr>
        <w:ind w:right="3499" w:firstLine="534"/>
        <w:spacing w:after="0" w:line="290" w:lineRule="auto"/>
        <w:tabs>
          <w:tab w:leader="none" w:pos="875"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proceeds of Incremental Facility Loans shall be used by the Principal Companies solely to finance Permitted Acquisitions and to pay fees, costs and expenses incurred in connection therewith.</w:t>
      </w:r>
    </w:p>
    <w:p>
      <w:pPr>
        <w:spacing w:after="0" w:line="56" w:lineRule="exact"/>
        <w:rPr>
          <w:rFonts w:ascii="Courier New" w:cs="Courier New" w:eastAsia="Courier New" w:hAnsi="Courier New"/>
          <w:sz w:val="15"/>
          <w:szCs w:val="15"/>
          <w:color w:val="auto"/>
        </w:rPr>
      </w:pPr>
    </w:p>
    <w:p>
      <w:pPr>
        <w:ind w:right="3319" w:firstLine="534"/>
        <w:spacing w:after="0" w:line="255" w:lineRule="auto"/>
        <w:tabs>
          <w:tab w:leader="none" w:pos="875"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 of the proceeds of any Loan will be used (directly or indirectly) (i) to purchase or carry, or to extend credit to any Person or Persons for the purpose of purchasing or carrying (A) any margin security or margin stock (within the meaning of Regulations U and X of the Board of Governors of the Federal Reserve System) or (B) any other stock of any class in the capital of the Borrower, or (ii) otherwise in any manner which would be in violation of such Regulations U or X.</w:t>
      </w:r>
    </w:p>
    <w:p>
      <w:pPr>
        <w:spacing w:after="0" w:line="82"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Section 2.10. COMPUTATIONS. Interest on Eurodollar Loans and each Fee (other than the Agency Fee) shall be computed on the basis of a year of 360 days and actual days elapsed (including the first day but excluding the last) during the period for which payable. Interest on Base Rate Loans shall be computed on the basis of a year of 365 or 366 days (as the case may be), and actual days elapsed (including the first day but excluding the last) during the period for which payable.</w:t>
      </w:r>
    </w:p>
    <w:p>
      <w:pPr>
        <w:sectPr>
          <w:pgSz w:w="11900" w:h="16838" w:orient="portrait"/>
          <w:cols w:equalWidth="0" w:num="1">
            <w:col w:w="10239"/>
          </w:cols>
          <w:pgMar w:left="220" w:top="26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57</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pacing w:after="0" w:line="309"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Section 2.11. MINIMUM AMOUNTS OF BORROWINGS, CONVERSIONS AND PREPAYMENTS. Except for borrowings of Revolving Credit Loans, Acquisition Loans or Incremental Facility Loans which exhaust the full remaining amount of the Revolving Credit Commitments, the Acquisition Loan Commitments or the Incremental Facility Commitments of any Series, respectively, conversions or prepayments of all Loans of a particular type, or conversions made pursuant to Sections 2.19, 2.20(c) or 2.22, each borrowing, each conversion of Loans of one type into Loans of another type and each prepayment of principal of Loans hereunder shall (i) in the case of Base Rate Loans, be in an integral multiple of $100,000, and (ii) in the case of Eurodollar Loans, be in a minimum amount of $1,000,000 and in an integral multiple of $100,000 if in excess of $1,000,000 (prepayments of different types of Loans at the same time to be deemed separate borrowings, conversions or prepayments for purposes of the foregoing, one for each type).</w:t>
      </w:r>
    </w:p>
    <w:p>
      <w:pPr>
        <w:spacing w:after="0" w:line="95"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Section 2.12. TIME AND METHOD OF PAYMENTS. All payments of principal, interest, Fees and other amounts (including indemnities) payable by any Principal Company hereunder shall be made in Dollars, in immediately available funds, without deduction, set-off or counterclaim, to the Agent at its Principal Office on the date on which such payment shall become due; PROVIDED, HOWEVER, that any payment not received by the Agent by 1:00 p.m., Boston time, on the date made shall be deemed received on the next Business Day; PROVIDED, HOWEVER, that no Default shall be deemed to have occurred under Section 11.1 if payment is received after l:00 p.m., Boston time, but prior to 5:00 p.m., Boston time, on the date on which such payment shall become due. The Agent or any Lender for whose account any such payment is to be made may, but shall not be obligated to, debit the amount of any such payment which is not made by such time to any ordinary deposit account of the Borrower with the Agent or such Lender, as the case may be. Each payment received by the Agent hereunder for the account of a Lender shall be paid promptly to such Lender, in like funds, for the account of such Lender's Applicable Lending Office for the Loan in respect of which such payment is made. If any payment or principal or interest becomes due on a day other than a Business Day, such payment may be made on the next succeeding Business Day, and such extension shall be included in computing interest in connection with such payment. All payments hereunder and under the Notes shall be made without set-off or counterclaim and in such amounts as may be necessary in order that all such payments shall not be less than the amounts otherwise specified to be paid under this Agreement and the Notes after withholding for or on account of (i) any present or future taxes, levies, imposts, duties or other similar charges of whatever nature imposed by any government or any political subdivision or taxing authority thereof, other than any tax (except those referred to in CLAUSE (ii) below) on or measured by the net income of the Lender to which any such payment is due pursuant to applicable federal, state and local income tax laws, and (ii) deduction of amounts equal to the taxes on or measured by the net income of such Lender payable by such Lender with respect to the amount by which the payments required to be made</w:t>
      </w:r>
    </w:p>
    <w:p>
      <w:pPr>
        <w:sectPr>
          <w:pgSz w:w="11900" w:h="16838" w:orient="portrait"/>
          <w:cols w:equalWidth="0" w:num="1">
            <w:col w:w="10239"/>
          </w:cols>
          <w:pgMar w:left="220" w:top="26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58</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50</w:t>
      </w:r>
    </w:p>
    <w:p>
      <w:pPr>
        <w:spacing w:after="0" w:line="140" w:lineRule="exact"/>
        <w:rPr>
          <w:sz w:val="20"/>
          <w:szCs w:val="20"/>
          <w:color w:val="auto"/>
        </w:rPr>
      </w:pPr>
    </w:p>
    <w:p>
      <w:pPr>
        <w:jc w:val="both"/>
        <w:ind w:right="3399"/>
        <w:spacing w:after="0" w:line="264" w:lineRule="auto"/>
        <w:rPr>
          <w:sz w:val="20"/>
          <w:szCs w:val="20"/>
          <w:color w:val="auto"/>
        </w:rPr>
      </w:pPr>
      <w:r>
        <w:rPr>
          <w:rFonts w:ascii="Courier New" w:cs="Courier New" w:eastAsia="Courier New" w:hAnsi="Courier New"/>
          <w:sz w:val="15"/>
          <w:szCs w:val="15"/>
          <w:color w:val="auto"/>
        </w:rPr>
        <w:t>under this sentence exceed the amounts otherwise specified to be paid in this Agreement and the Notes. Upon payment in full of any Note, and in the case of any Lender holding any Revolving Credit Note, the termination of the Revolving Credit Commitment of such Lender, the Lender holding such Note shall mark the Note "Paid" and return it to the Borrower.</w:t>
      </w:r>
    </w:p>
    <w:p>
      <w:pPr>
        <w:spacing w:after="0" w:line="75" w:lineRule="exact"/>
        <w:rPr>
          <w:sz w:val="20"/>
          <w:szCs w:val="20"/>
          <w:color w:val="auto"/>
        </w:rPr>
      </w:pPr>
    </w:p>
    <w:p>
      <w:pPr>
        <w:ind w:right="3319" w:firstLine="525"/>
        <w:spacing w:after="0" w:line="290" w:lineRule="auto"/>
        <w:rPr>
          <w:sz w:val="20"/>
          <w:szCs w:val="20"/>
          <w:color w:val="auto"/>
        </w:rPr>
      </w:pPr>
      <w:r>
        <w:rPr>
          <w:rFonts w:ascii="Courier New" w:cs="Courier New" w:eastAsia="Courier New" w:hAnsi="Courier New"/>
          <w:sz w:val="15"/>
          <w:szCs w:val="15"/>
          <w:color w:val="auto"/>
        </w:rPr>
        <w:t>Section 2.13. LENDING OFFICES. The Loans of each type made by each Lender shall be made and maintained at such Lender's Applicable Lending Office for Loans of such type.</w:t>
      </w:r>
    </w:p>
    <w:p>
      <w:pPr>
        <w:spacing w:after="0" w:line="5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Section 2.14. SEVERAL OBLIGATIONS. The failure of any Lender to make any Loan to be made by it on the date specified therefor shall not relieve the other Lenders of their respective obligations to make their Loans on such date, but no Lender shall be responsible for the failure of any other Lender to make Loans to be made by such other Lender.</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2.15. SECURITY.</w:t>
      </w:r>
    </w:p>
    <w:p>
      <w:pPr>
        <w:spacing w:after="0" w:line="166" w:lineRule="exact"/>
        <w:rPr>
          <w:sz w:val="20"/>
          <w:szCs w:val="20"/>
          <w:color w:val="auto"/>
        </w:rPr>
      </w:pPr>
    </w:p>
    <w:p>
      <w:pPr>
        <w:jc w:val="both"/>
        <w:ind w:right="3399" w:firstLine="534"/>
        <w:spacing w:after="0" w:line="273" w:lineRule="auto"/>
        <w:tabs>
          <w:tab w:leader="none" w:pos="10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In order to secure the payment and performance of all the Obligations, it is the intention and understanding of each of the parties hereto that the following Collateral has been or will be made available to the Collateral Trustee on or prior to the Effective Date:</w:t>
      </w:r>
    </w:p>
    <w:p>
      <w:pPr>
        <w:spacing w:after="0" w:line="67" w:lineRule="exact"/>
        <w:rPr>
          <w:rFonts w:ascii="Courier New" w:cs="Courier New" w:eastAsia="Courier New" w:hAnsi="Courier New"/>
          <w:sz w:val="15"/>
          <w:szCs w:val="15"/>
          <w:color w:val="auto"/>
        </w:rPr>
      </w:pPr>
    </w:p>
    <w:p>
      <w:pPr>
        <w:ind w:left="540" w:right="3239" w:firstLine="519"/>
        <w:spacing w:after="0" w:line="273" w:lineRule="auto"/>
        <w:tabs>
          <w:tab w:leader="none" w:pos="159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granted and shall grant to the Collateral Trustee, pursuant to the Borrower Stock Pledge Agreement, a first-priority perfected security interest in and to all of the Capital Stock of each direct Restricted Subsidiary of the Borrower;</w:t>
      </w:r>
    </w:p>
    <w:p>
      <w:pPr>
        <w:spacing w:after="0" w:line="67" w:lineRule="exact"/>
        <w:rPr>
          <w:rFonts w:ascii="Courier New" w:cs="Courier New" w:eastAsia="Courier New" w:hAnsi="Courier New"/>
          <w:sz w:val="15"/>
          <w:szCs w:val="15"/>
          <w:color w:val="auto"/>
        </w:rPr>
      </w:pPr>
    </w:p>
    <w:p>
      <w:pPr>
        <w:ind w:left="540" w:right="3399" w:firstLine="519"/>
        <w:spacing w:after="0" w:line="298" w:lineRule="auto"/>
        <w:tabs>
          <w:tab w:leader="none" w:pos="159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Saga Broadcast has granted and shall grant to the Collateral Trustee, pursuant to the Saga Broadcast Stock Pledge Agreement, a first-priority perfected security interest in and to all of the Capital Stock of each direct Restricted Subsidiary of Saga Broadcast;</w:t>
      </w:r>
    </w:p>
    <w:p>
      <w:pPr>
        <w:spacing w:after="0" w:line="53" w:lineRule="exact"/>
        <w:rPr>
          <w:rFonts w:ascii="Courier New" w:cs="Courier New" w:eastAsia="Courier New" w:hAnsi="Courier New"/>
          <w:sz w:val="14"/>
          <w:szCs w:val="14"/>
          <w:color w:val="auto"/>
        </w:rPr>
      </w:pPr>
    </w:p>
    <w:p>
      <w:pPr>
        <w:ind w:left="540" w:right="3499" w:firstLine="519"/>
        <w:spacing w:after="0" w:line="298" w:lineRule="auto"/>
        <w:tabs>
          <w:tab w:leader="none" w:pos="159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Saga of Iowa has granted and shall grant to the Collateral Trustee, pursuant to the Saga of Iowa Stock Pledge Agreement, a first-priority perfected security interest in and to all of the Capital Stock of each direct Restricted Subsidiary of Saga of Iowa;</w:t>
      </w:r>
    </w:p>
    <w:p>
      <w:pPr>
        <w:spacing w:after="0" w:line="53" w:lineRule="exact"/>
        <w:rPr>
          <w:rFonts w:ascii="Courier New" w:cs="Courier New" w:eastAsia="Courier New" w:hAnsi="Courier New"/>
          <w:sz w:val="14"/>
          <w:szCs w:val="14"/>
          <w:color w:val="auto"/>
        </w:rPr>
      </w:pPr>
    </w:p>
    <w:p>
      <w:pPr>
        <w:ind w:left="540" w:right="3319" w:firstLine="519"/>
        <w:spacing w:after="0" w:line="264" w:lineRule="auto"/>
        <w:tabs>
          <w:tab w:leader="none" w:pos="159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granted and shall grant to the Collateral Trustee, pursuant to the Borrower Security Agreement, a first-priority security interest (subject to Liens permitted by Section 9.2) in and to all of its Assets of every description (other than those Assets set forth on SCHEDULE 4.4(a));</w:t>
      </w:r>
    </w:p>
    <w:p>
      <w:pPr>
        <w:spacing w:after="0" w:line="74" w:lineRule="exact"/>
        <w:rPr>
          <w:rFonts w:ascii="Courier New" w:cs="Courier New" w:eastAsia="Courier New" w:hAnsi="Courier New"/>
          <w:sz w:val="15"/>
          <w:szCs w:val="15"/>
          <w:color w:val="auto"/>
        </w:rPr>
      </w:pPr>
    </w:p>
    <w:p>
      <w:pPr>
        <w:ind w:left="540" w:right="3319" w:firstLine="519"/>
        <w:spacing w:after="0" w:line="298" w:lineRule="auto"/>
        <w:tabs>
          <w:tab w:leader="none" w:pos="159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Restricted Subsidiaries have granted and shall grant to the Collateral Trustee, pursuant to the terms of the Borrower Subsidiary Security Agreement (to the maximum extent permitted by applicable law), a first priority security interest (subject to Liens permitted by</w:t>
      </w:r>
    </w:p>
    <w:p>
      <w:pPr>
        <w:sectPr>
          <w:pgSz w:w="11900" w:h="16838" w:orient="portrait"/>
          <w:cols w:equalWidth="0" w:num="1">
            <w:col w:w="10239"/>
          </w:cols>
          <w:pgMar w:left="220" w:top="26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59</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51</w:t>
      </w:r>
    </w:p>
    <w:p>
      <w:pPr>
        <w:spacing w:after="0" w:line="140" w:lineRule="exact"/>
        <w:rPr>
          <w:sz w:val="20"/>
          <w:szCs w:val="20"/>
          <w:color w:val="auto"/>
        </w:rPr>
      </w:pPr>
    </w:p>
    <w:p>
      <w:pPr>
        <w:ind w:left="540" w:right="3579"/>
        <w:spacing w:after="0" w:line="344" w:lineRule="auto"/>
        <w:rPr>
          <w:sz w:val="20"/>
          <w:szCs w:val="20"/>
          <w:color w:val="auto"/>
        </w:rPr>
      </w:pPr>
      <w:r>
        <w:rPr>
          <w:rFonts w:ascii="Courier New" w:cs="Courier New" w:eastAsia="Courier New" w:hAnsi="Courier New"/>
          <w:sz w:val="15"/>
          <w:szCs w:val="15"/>
          <w:color w:val="auto"/>
        </w:rPr>
        <w:t>Section 9.2) in and to all of their Assets of every description (other than those Assets set forth on SCHEDULE 4.4(a)); and</w:t>
      </w:r>
    </w:p>
    <w:p>
      <w:pPr>
        <w:spacing w:after="0" w:line="17" w:lineRule="exact"/>
        <w:rPr>
          <w:sz w:val="20"/>
          <w:szCs w:val="20"/>
          <w:color w:val="auto"/>
        </w:rPr>
      </w:pPr>
    </w:p>
    <w:p>
      <w:pPr>
        <w:jc w:val="both"/>
        <w:ind w:left="540" w:right="3579" w:firstLine="519"/>
        <w:spacing w:after="0" w:line="320" w:lineRule="auto"/>
        <w:tabs>
          <w:tab w:leader="none" w:pos="159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due payment and performance in full of the Obligations shall be guaranteed to the Lenders by each of the Guarantors, upon the terms and subject to the conditions contained in ARTICLE VI hereof.</w:t>
      </w:r>
    </w:p>
    <w:p>
      <w:pPr>
        <w:spacing w:after="0" w:line="38" w:lineRule="exact"/>
        <w:rPr>
          <w:rFonts w:ascii="Courier New" w:cs="Courier New" w:eastAsia="Courier New" w:hAnsi="Courier New"/>
          <w:sz w:val="14"/>
          <w:szCs w:val="14"/>
          <w:color w:val="auto"/>
        </w:rPr>
      </w:pPr>
    </w:p>
    <w:p>
      <w:pPr>
        <w:ind w:right="3239" w:firstLine="534"/>
        <w:spacing w:after="0" w:line="252" w:lineRule="auto"/>
        <w:tabs>
          <w:tab w:leader="none" w:pos="104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COLLATERAL. It is also the intention and understanding of the parties hereto that the Collateral Trustee shall be granted additional Collateral from time to time pursuant to Sections 8.12 and 8.15 to secure the payment and performance of all the Obligations. The Principal Companies shall execute and deliver such other agreements, instruments and documents as the Agent or the Collateral Trustee (with the consent of the Agent) reasonably requests in order to effect the purposes of the Security Documents and the other Loan Documents.</w:t>
      </w:r>
    </w:p>
    <w:p>
      <w:pPr>
        <w:spacing w:after="0" w:line="86" w:lineRule="exact"/>
        <w:rPr>
          <w:rFonts w:ascii="Courier New" w:cs="Courier New" w:eastAsia="Courier New" w:hAnsi="Courier New"/>
          <w:sz w:val="15"/>
          <w:szCs w:val="15"/>
          <w:color w:val="auto"/>
        </w:rPr>
      </w:pPr>
    </w:p>
    <w:p>
      <w:pPr>
        <w:ind w:right="3319" w:firstLine="534"/>
        <w:spacing w:after="0" w:line="290" w:lineRule="auto"/>
        <w:tabs>
          <w:tab w:leader="none" w:pos="104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COLLATERAL. Reference is hereby made to the Loan Documents for a complete statement of the terms and provisions relating to, and for a complete description of, the Collateral.</w:t>
      </w:r>
    </w:p>
    <w:p>
      <w:pPr>
        <w:spacing w:after="0" w:line="57" w:lineRule="exact"/>
        <w:rPr>
          <w:sz w:val="20"/>
          <w:szCs w:val="20"/>
          <w:color w:val="auto"/>
        </w:rPr>
      </w:pPr>
    </w:p>
    <w:p>
      <w:pPr>
        <w:ind w:right="3239" w:firstLine="525"/>
        <w:spacing w:after="0" w:line="241" w:lineRule="auto"/>
        <w:rPr>
          <w:sz w:val="20"/>
          <w:szCs w:val="20"/>
          <w:color w:val="auto"/>
        </w:rPr>
      </w:pPr>
      <w:r>
        <w:rPr>
          <w:rFonts w:ascii="Courier New" w:cs="Courier New" w:eastAsia="Courier New" w:hAnsi="Courier New"/>
          <w:sz w:val="15"/>
          <w:szCs w:val="15"/>
          <w:color w:val="auto"/>
        </w:rPr>
        <w:t>Section 2.16. PRO RATA TREATMENT AMONG LENDERS. Except as otherwise provided herein: (i) each borrowing of Revolving Credit Loans, Term Loans, Acquisition Loans or Incremental Facility Loans of any Series will be made from the Lenders PRO RATA according to their respective Commitments with respect to such Tranche of Loans, as applicable; (ii) each payment of each Revolving Credit Commitment Fee, Acquisition Loan Commitment Fee, and Letter of Credit Fee (other than the Issuing Bank Fee) shall be made for the account of the Lenders PRO RATA according to their respective applicable Commitments; (iii) each partial reduction of the Revolving Credit Commitments, Acquisition Loan Commitments or Incremental Facility Commitments of any Series shall be applied to the applicable Tranche of Commitments of each Lender PRO RATA according to each Lender's respective Commitment with respect to such Tranche; (iv) each conversion of Loans of a particular type under Section 2.19 (other than conversions provided for by Section 2.23 or 2.24) will be made PRO RATA among the Lenders holding Loans of such type according to the respective principal amounts of such Loans held by such Lenders; (v) each payment and prepayment of principal of or interest on Loans of a particular Tranche will be made to the Agent for the account of the Lenders holding Loans of such Tranche PRO RATA in accordance with the respective unpaid principal amounts of such Loans held by such Lenders; (vi) each purchase by Revolving Credit Lenders of a participation in each Letter of Credit issued by the Issuing Bank under ARTICLE III hereof will be made by such Lenders in accordance with such Lender's Revolving Credit Commitment Percentage; and (vii) Interest Periods for Loans of a particular type shall be allocated among the Lenders holding Loans of such type PRO RATA according to the respective principal amounts of such Loans held by such Lenders.</w:t>
      </w:r>
    </w:p>
    <w:p>
      <w:pPr>
        <w:sectPr>
          <w:pgSz w:w="11900" w:h="16838" w:orient="portrait"/>
          <w:cols w:equalWidth="0" w:num="1">
            <w:col w:w="10239"/>
          </w:cols>
          <w:pgMar w:left="220" w:top="26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pacing w:after="0" w:line="166"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Section 2.17. NON-RECEIPT OF FUNDS BY AGENT. Unless the Agent shall have been notified by a Lender or the Borrower (the "PAYOR") prior to the date on which such Lender is to make payment to the Agent of the proceeds of a Loan to be made by it hereunder or any Principal Company is to make a payment to the Agent for the account of one or more of the Lenders, as the case may be (each such payment being herein called a "MANDATORY PAYMENT"), which notice shall be effective upon receipt, that the Payor does not intend to make the Mandatory Payment to the Agent, the Agent may assume that the Mandatory Payment has been made and may, in reliance upon such assumption (but shall not be required to), make the amount thereof available to the intended recipient on such date and, if the Payor has not in fact made the Mandatory Payment to the Agent, the recipient of such payment shall, on demand, repay to the Agent the amount made available to it together with interest thereon in respect of each day during the period commencing on the date such amount was so made available by the Agent until the date the Agent recovers such amount at a rate per annum equal to the Federal Funds Rate for such day (when the recipient is a Lender) or equal to the rate of interest applicable to such Loan (when the recipient is the Borrower).</w:t>
      </w:r>
    </w:p>
    <w:p>
      <w:pPr>
        <w:spacing w:after="0" w:line="84" w:lineRule="exact"/>
        <w:rPr>
          <w:sz w:val="20"/>
          <w:szCs w:val="20"/>
          <w:color w:val="auto"/>
        </w:rPr>
      </w:pPr>
    </w:p>
    <w:p>
      <w:pPr>
        <w:ind w:right="3239" w:firstLine="525"/>
        <w:spacing w:after="0" w:line="259" w:lineRule="auto"/>
        <w:rPr>
          <w:sz w:val="20"/>
          <w:szCs w:val="20"/>
          <w:color w:val="auto"/>
        </w:rPr>
      </w:pPr>
      <w:r>
        <w:rPr>
          <w:rFonts w:ascii="Courier New" w:cs="Courier New" w:eastAsia="Courier New" w:hAnsi="Courier New"/>
          <w:sz w:val="14"/>
          <w:szCs w:val="14"/>
          <w:color w:val="auto"/>
        </w:rPr>
        <w:t>Section 2.18. SHARING OF PAYMENTS AND SET-OFF AMONG LENDERS. The Borrower hereby agrees that, in addition to (and without limitation of) any right of set-off, banker's lien or counterclaim a Lender may otherwise have, each Lender shall be entitled, at its option, to offset balances held by it at any of its offices against any principal of or interest on any of its Loans hereunder, or any Fee payable to it, which is not paid when due (regardless of whether such balances held by such Lender are then due to the Borrower), in which case it shall promptly notify the Borrower and the Agent thereof, provided that its failure to give such notice shall not affect the validity thereof. If a Lender shall effect payment of any principal of or interest on any of its Loans hereunder or any Fee payable to it, through the exercise of any right of set-off, banker's lien, counterclaim, or otherwise, or it shall promptly purchase at par from the other Lenders participations in the corresponding Obligations held by the other Lenders in such amounts, and make such other adjustments from time to time as shall be equitable, to the end that all the Lenders shall share the benefit of such payment PRO RATA in accordance with the unpaid principal and interest on the Obligations held by each of them. To such end all the Lenders shall make appropriate adjustments among themselves (by the resale of participations sold or otherwise) if such payment is rescinded or must otherwise be restored. The Borrower agrees that any Lender so purchasing a participation in the Loans held by the other Lenders may exercise all rights of set-off, banker's lien, counterclaim or similar rights with respect to such participation as fully as if such Lender were a direct holder of Obligations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ectPr>
          <w:pgSz w:w="11900" w:h="16838" w:orient="portrait"/>
          <w:cols w:equalWidth="0" w:num="1">
            <w:col w:w="10239"/>
          </w:cols>
          <w:pgMar w:left="220" w:top="261"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53</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Section 2.19. CONVERSION OF LOANS; CONTINUATION OF LOANS.</w:t>
      </w:r>
    </w:p>
    <w:p>
      <w:pPr>
        <w:spacing w:after="0" w:line="166" w:lineRule="exact"/>
        <w:rPr>
          <w:sz w:val="20"/>
          <w:szCs w:val="20"/>
          <w:color w:val="auto"/>
        </w:rPr>
      </w:pPr>
    </w:p>
    <w:p>
      <w:pPr>
        <w:ind w:left="-280" w:right="3239" w:firstLine="534"/>
        <w:spacing w:after="0" w:line="270" w:lineRule="auto"/>
        <w:tabs>
          <w:tab w:leader="none" w:pos="59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to convert Loans of one type of a Tranche into Loans of another type of such Tranche from time to time, PROVIDED THAT: (i) the Borrower shall give the Agent notice of each such conversion as provided in Section 2.2; (ii) Eurodollar Loans may be converted only on the last day of an Interest Period for such Loans; and (iii) no Base Rate Loan may be converted into a Eurodollar Loan if on the proposed date of conversion a Default or an Event of Default exists. The Agent shall notify the Lenders of the effectiveness of such conversion, and the new interest rate to which the converted Loans are subject, as soon as practicable after the conversion.</w:t>
      </w:r>
    </w:p>
    <w:p>
      <w:pPr>
        <w:spacing w:after="0" w:line="76" w:lineRule="exact"/>
        <w:rPr>
          <w:rFonts w:ascii="Courier New" w:cs="Courier New" w:eastAsia="Courier New" w:hAnsi="Courier New"/>
          <w:sz w:val="14"/>
          <w:szCs w:val="14"/>
          <w:color w:val="auto"/>
        </w:rPr>
      </w:pPr>
    </w:p>
    <w:p>
      <w:pPr>
        <w:ind w:left="-280" w:right="3239" w:firstLine="534"/>
        <w:spacing w:after="0" w:line="263" w:lineRule="auto"/>
        <w:tabs>
          <w:tab w:leader="none" w:pos="59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right to continue any Eurodollar Loan of a Tranche as a Eurodollar Loan of the same Tranche upon the expiration of an Interest Period with respect thereto, PROVIDED that: (i) the Borrower shall give the Agent notice of such continuation as provided in Section 2.2; and (ii) no Eurodollar Loan may be continued as such when any Default or Event of Default has occurred and is continuing, but shall be automatically converted to a Base Rate Loan on the last day of the first Interest Period relating thereto ending during the continuance of any Default or Event of Default. In the event that the Borrower fails to provide any such notice with respect to the continuation of any Eurodollar Loan as such, then such Eurodollar Loan shall be automatically converted to a Base Rate Loan on the last day of the first Interest Period relating thereto. The Agent shall notify the Lenders promptly (A) when any such automatic conversion contemplated by this Section 2.19 is scheduled to occur; and (B) of the effectiveness of the continuation of any Eurodollar Loan and the new interest rate to which such continued Eurodollar Loan is subject.</w:t>
      </w:r>
    </w:p>
    <w:p>
      <w:pPr>
        <w:spacing w:after="0" w:line="8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Section 2.20. ADDITIONAL COSTS; CAPITAL REQUIREMENTS.</w:t>
      </w:r>
    </w:p>
    <w:p>
      <w:pPr>
        <w:spacing w:after="0" w:line="166" w:lineRule="exact"/>
        <w:rPr>
          <w:sz w:val="20"/>
          <w:szCs w:val="20"/>
          <w:color w:val="auto"/>
        </w:rPr>
      </w:pPr>
    </w:p>
    <w:p>
      <w:pPr>
        <w:ind w:left="-280" w:right="3239" w:firstLine="534"/>
        <w:spacing w:after="0" w:line="263" w:lineRule="auto"/>
        <w:tabs>
          <w:tab w:leader="none" w:pos="59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existing or future law or regulation, guideline or interpretation thereof, by any Governmental Authority charged with the administration thereof, or compliance by any Lender or any Affiliate of any Lender with any request or directive (whether or not having the force of law) of any such Authority shall impose, modify or deem applicable or result in the application of, any capital maintenance, capital ratio or similar requirement against any Lender's Loans or Commitments hereunder, and the result of any such event is to impose upon any Lender or any Affiliate of any Lender or increase any capital requirement applicable as a result of the making or maintenance of such Lender's Loans or its Commitments or the obligation of the Borrower hereunder with respect to such Commitments (which imposition of capital requirements may be determined by such Lender's reasonable allocation of the aggregate of such capital increases or impositions), then such Lender may make demand on the Borrower and within 30 days after demand made by such Lender (a copy of which demand shall be delivered to the Agent), the Borrower shall immediately pay to such Lender from time to time as</w:t>
      </w:r>
    </w:p>
    <w:p>
      <w:pPr>
        <w:sectPr>
          <w:pgSz w:w="11900" w:h="16838" w:orient="portrait"/>
          <w:cols w:equalWidth="0" w:num="1">
            <w:col w:w="9959"/>
          </w:cols>
          <w:pgMar w:left="500" w:top="26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62</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pacing w:after="0" w:line="309" w:lineRule="exact"/>
        <w:rPr>
          <w:sz w:val="20"/>
          <w:szCs w:val="20"/>
          <w:color w:val="auto"/>
        </w:rPr>
      </w:pPr>
    </w:p>
    <w:p>
      <w:pPr>
        <w:ind w:right="3239"/>
        <w:spacing w:after="0" w:line="265" w:lineRule="auto"/>
        <w:rPr>
          <w:sz w:val="20"/>
          <w:szCs w:val="20"/>
          <w:color w:val="auto"/>
        </w:rPr>
      </w:pPr>
      <w:r>
        <w:rPr>
          <w:rFonts w:ascii="Courier New" w:cs="Courier New" w:eastAsia="Courier New" w:hAnsi="Courier New"/>
          <w:sz w:val="14"/>
          <w:szCs w:val="14"/>
          <w:color w:val="auto"/>
        </w:rPr>
        <w:t>specified by such Lender additional amounts which shall be sufficient to compensate such Lender for such imposition of or increase in capital requirements together with interest on each such amount from the date such payment becomes due until payment in full thereof at the Default Rate, PROVIDED, HOWEVER, that if such Lender does not make demand on the Borrower within 90 days after becoming aware of such imposition or increase in capital requirements, then such Lender may make demand only for such additional amounts which shall be sufficient to compensate such Lender for such imposition or increase in capital requirements for periods not preceding the day 90 days prior than the date on which demand is made. A certificate setting forth in reasonable detail the amount necessary to compensate such Lender as a result of an imposition of or increase in capital requirements submitted by such Lender to the Borrower shall be conclusive, absent manifest error, as to the amount thereof.</w:t>
      </w:r>
    </w:p>
    <w:p>
      <w:pPr>
        <w:spacing w:after="0" w:line="78" w:lineRule="exact"/>
        <w:rPr>
          <w:sz w:val="20"/>
          <w:szCs w:val="20"/>
          <w:color w:val="auto"/>
        </w:rPr>
      </w:pPr>
    </w:p>
    <w:p>
      <w:pPr>
        <w:ind w:right="3239" w:firstLine="534"/>
        <w:spacing w:after="0" w:line="259" w:lineRule="auto"/>
        <w:tabs>
          <w:tab w:leader="none" w:pos="875"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Regulatory Change shall: (i) change the basis of taxation of any amounts payable to any Lender under this Agreement or the Notes in respect of any Loans including Eurodollar Loans (other than taxes imposed on the overall net income of such Lender); or (ii) impose or modify any reserve, FDIC premium or assessment, special deposit or similar requirements relating to any extensions of credit or other assets of, or any deposits with or other liabilities of, such Lender (including any of such Loans or any deposits referred to in the definition of "Eurodollar Base Rate" in ARTICLE I hereof); or</w:t>
      </w:r>
    </w:p>
    <w:p>
      <w:pPr>
        <w:spacing w:after="0" w:line="2" w:lineRule="exact"/>
        <w:rPr>
          <w:rFonts w:ascii="Courier New" w:cs="Courier New" w:eastAsia="Courier New" w:hAnsi="Courier New"/>
          <w:sz w:val="14"/>
          <w:szCs w:val="14"/>
          <w:color w:val="auto"/>
        </w:rPr>
      </w:pPr>
    </w:p>
    <w:p>
      <w:pPr>
        <w:ind w:right="3239" w:firstLine="10"/>
        <w:spacing w:after="0" w:line="258" w:lineRule="auto"/>
        <w:tabs>
          <w:tab w:leader="none" w:pos="52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 any other conditions affecting this Agreement in respect of Loans, including Eurodollar Loans (or any of such extensions of credit, assets, deposits or liabilities); and the result of any event referred to in CLAUSE (I), (II) or (III) above shall be to increase such Lender's costs of making or maintaining any Loans, including Eurodollar Loans, or its Commitments, or to reduce any amount receivable by such Lender hereunder in respect of any of its Eurodollar Loans, or its Commitments (such increases in costs and reductions in amounts receivable are hereinafter referred to as "ADDITIONAL COSTS") in each case, only to the extent that such Additional Costs are not included in the Eurodollar Base Rate applicable to such Eurodollar Loans, then such Lender may make demand on the Borrower and within 30 days after demand made by such Lender (a copy of which demand shall be delivered to the Agent), the Borrower shall pay to such Lender from time to time as specified by such Lender, additional amounts which shall be sufficient to compensate such Lender for such increased cost or reduction in amounts receivable by such Lender from the date of such change, together with interest on each such amount from the date such payment becomes due until payment in full thereof at the Default Rate, PROVIDED, HOWEVER, that if such Lender does not make demand on the Borrower within 90 days after becoming aware of such Regulatory Change, then such Lender may make demand only for such additional amounts as shall be sufficient to compensate such Lender for increased costs or reductions in amounts receivable by such Lender for periods not preceding the day 90 days prior to such demand.</w:t>
      </w:r>
    </w:p>
    <w:p>
      <w:pPr>
        <w:sectPr>
          <w:pgSz w:w="11900" w:h="16838" w:orient="portrait"/>
          <w:cols w:equalWidth="0" w:num="1">
            <w:col w:w="10239"/>
          </w:cols>
          <w:pgMar w:left="220" w:top="26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63</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pacing w:after="0" w:line="309" w:lineRule="exact"/>
        <w:rPr>
          <w:sz w:val="20"/>
          <w:szCs w:val="20"/>
          <w:color w:val="auto"/>
        </w:rPr>
      </w:pPr>
    </w:p>
    <w:p>
      <w:pPr>
        <w:ind w:right="3239" w:firstLine="534"/>
        <w:spacing w:after="0" w:line="264" w:lineRule="auto"/>
        <w:tabs>
          <w:tab w:leader="none" w:pos="8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provisions of this Section 2.20, in the event that, by reason of any Regulatory Change, any Lender either: (i) incurs Additional Costs based on or measured by the excess above a specified level of the amount of a category of deposits or other liabilities of such Lender which includes deposits by reference to which the interest rate on Eurodollar Loans is determined as provided in this Agreement or a category of extensions of credit or other assets of such Lender which includes Eurodollar Loans, or (ii) becomes subject to restrictions on the amount of such a category of liabilities or assets which it may hold, then, if such Lender so elects by notice to the Borrower (with a copy to the Agent), the obligation of such Lender to make, and to convert Loans of any other type into, Loans of such type hereunder shall be suspended until the date such Regulatory Change ceases to be in effect (and all Loans of such type then outstanding shall be converted into Base Rate Loans or into Eurodollar Loans of another duration, as the case may be, in accordance with Sections 2.19 and 2.23).</w:t>
      </w:r>
    </w:p>
    <w:p>
      <w:pPr>
        <w:spacing w:after="0" w:line="248" w:lineRule="exact"/>
        <w:rPr>
          <w:rFonts w:ascii="Courier New" w:cs="Courier New" w:eastAsia="Courier New" w:hAnsi="Courier New"/>
          <w:sz w:val="14"/>
          <w:szCs w:val="14"/>
          <w:color w:val="auto"/>
        </w:rPr>
      </w:pPr>
    </w:p>
    <w:p>
      <w:pPr>
        <w:ind w:right="3319" w:firstLine="534"/>
        <w:spacing w:after="0" w:line="276" w:lineRule="auto"/>
        <w:tabs>
          <w:tab w:leader="none" w:pos="8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Determinations by any Lender for purposes of this Section 2.20 of the effect of any Regulatory Change on its costs of making or maintaining Loans or on amounts receivable by it in respect of Loans, and of the additional amounts required to compensate such Lender in respect of any Additional Costs, shall be set forth in writing in reasonable detail and shall be conclusive, absent manifest error. Each Lender shall allocate any cost increases required by this SECTION 2.20 among its customers in good faith and on an equitable basis.</w:t>
      </w:r>
    </w:p>
    <w:p>
      <w:pPr>
        <w:spacing w:after="0" w:line="69" w:lineRule="exact"/>
        <w:rPr>
          <w:sz w:val="20"/>
          <w:szCs w:val="20"/>
          <w:color w:val="auto"/>
        </w:rPr>
      </w:pPr>
    </w:p>
    <w:p>
      <w:pPr>
        <w:ind w:right="3239" w:firstLine="1312"/>
        <w:spacing w:after="0" w:line="257" w:lineRule="auto"/>
        <w:rPr>
          <w:sz w:val="20"/>
          <w:szCs w:val="20"/>
          <w:color w:val="auto"/>
        </w:rPr>
      </w:pPr>
      <w:r>
        <w:rPr>
          <w:rFonts w:ascii="Courier New" w:cs="Courier New" w:eastAsia="Courier New" w:hAnsi="Courier New"/>
          <w:sz w:val="14"/>
          <w:szCs w:val="14"/>
          <w:color w:val="auto"/>
        </w:rPr>
        <w:t>(e)If any Lender makes demand pursuant to Paragraphs (a) or (b) of this Section 2.20, so long as no Event of Default shall have occurred and be continuing and the Borrower has obtained from another Lender or another bank or financial institution acceptable to the Agent a commitment to become a Lender for all purposes under this Agreement and to assume all obligations of the Lender to be replaced, the Borrower may require the Lender making such demand to assign all of its rights and obligations under this Agreement, its Note and the other Loan Documents to such other Lender or other bank or financial institution pursuant to the provisions of SUBSECTION 13.11(b); PROVIDED that, prior to or concurrently with such replacement (i) the Borrower has paid to the Lender making demand all principal, interest, fees and other amounts owed to such Lender through such date of replacement, (ii) the Borrower has paid to the Agent the registration and processing fee required to be paid by Section 13.11(d), and</w:t>
      </w:r>
    </w:p>
    <w:p>
      <w:pPr>
        <w:spacing w:after="0" w:line="5" w:lineRule="exact"/>
        <w:rPr>
          <w:sz w:val="20"/>
          <w:szCs w:val="20"/>
          <w:color w:val="auto"/>
        </w:rPr>
      </w:pPr>
    </w:p>
    <w:p>
      <w:pPr>
        <w:ind w:right="3239" w:firstLine="10"/>
        <w:spacing w:after="0" w:line="272" w:lineRule="auto"/>
        <w:tabs>
          <w:tab w:leader="none" w:pos="52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requirements for such assignment contained in SECTION 13.11(b), including the receipt by the Agent of an executed Assignment and Acceptance Agreement and other supporting documents, have been fulfilled.</w:t>
      </w:r>
    </w:p>
    <w:p>
      <w:pPr>
        <w:spacing w:after="0" w:line="69" w:lineRule="exact"/>
        <w:rPr>
          <w:sz w:val="20"/>
          <w:szCs w:val="20"/>
          <w:color w:val="auto"/>
        </w:rPr>
      </w:pPr>
    </w:p>
    <w:p>
      <w:pPr>
        <w:ind w:right="3239" w:firstLine="525"/>
        <w:spacing w:after="0" w:line="320" w:lineRule="auto"/>
        <w:rPr>
          <w:sz w:val="20"/>
          <w:szCs w:val="20"/>
          <w:color w:val="auto"/>
        </w:rPr>
      </w:pPr>
      <w:r>
        <w:rPr>
          <w:rFonts w:ascii="Courier New" w:cs="Courier New" w:eastAsia="Courier New" w:hAnsi="Courier New"/>
          <w:sz w:val="14"/>
          <w:szCs w:val="14"/>
          <w:color w:val="auto"/>
        </w:rPr>
        <w:t>Section 2.21. LIMITATION OF TYPES OF LOANS. Anything herein to the contrary notwithstanding, if, on or prior to the determination of an interest rate for any Eurodollar Loans for any Interest Period therefor, the Agent of the</w:t>
      </w:r>
    </w:p>
    <w:p>
      <w:pPr>
        <w:sectPr>
          <w:pgSz w:w="11900" w:h="16838" w:orient="portrait"/>
          <w:cols w:equalWidth="0" w:num="1">
            <w:col w:w="10239"/>
          </w:cols>
          <w:pgMar w:left="220" w:top="26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64</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pacing w:after="0" w:line="309"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Required Lenders determine (which determination shall be conclusive absent manifest error):</w:t>
      </w:r>
    </w:p>
    <w:p>
      <w:pPr>
        <w:spacing w:after="0" w:line="17" w:lineRule="exact"/>
        <w:rPr>
          <w:sz w:val="20"/>
          <w:szCs w:val="20"/>
          <w:color w:val="auto"/>
        </w:rPr>
      </w:pPr>
    </w:p>
    <w:p>
      <w:pPr>
        <w:ind w:right="3319" w:firstLine="534"/>
        <w:spacing w:after="0" w:line="264" w:lineRule="auto"/>
        <w:tabs>
          <w:tab w:leader="none" w:pos="87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reason of any event affecting the money markets in the United States of America or the Eurodollar interbank market, quotations of interest rates for the relevant deposits are not being provided in the relevant amounts or for the relevant maturities for purposes of determining the rate of interest for such Loans under this Agreement; or</w:t>
      </w:r>
    </w:p>
    <w:p>
      <w:pPr>
        <w:spacing w:after="0" w:line="74" w:lineRule="exact"/>
        <w:rPr>
          <w:rFonts w:ascii="Courier New" w:cs="Courier New" w:eastAsia="Courier New" w:hAnsi="Courier New"/>
          <w:sz w:val="15"/>
          <w:szCs w:val="15"/>
          <w:color w:val="auto"/>
        </w:rPr>
      </w:pPr>
    </w:p>
    <w:p>
      <w:pPr>
        <w:ind w:right="3239" w:firstLine="534"/>
        <w:spacing w:after="0" w:line="298" w:lineRule="auto"/>
        <w:tabs>
          <w:tab w:leader="none" w:pos="8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rates of interest referred to in the definition of "Eurodollar Base Rate" in ARTICLE I hereof upon the basis of which the rate of interest on any Eurodollar Loans for such period is determined do not accurately reflect the cost to the Lenders of making or maintaining such Loans for such period;</w:t>
      </w:r>
    </w:p>
    <w:p>
      <w:pPr>
        <w:spacing w:after="0" w:line="53"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then the Agent shall give the Borrower and each Lender prompt notice thereof (and shall thereafter give the Borrower and each Lender prompt notice of the cessation, if any, of such condition), and so long as such condition remains in effect, the Lenders shall be under no obligation to make Loans of such type or to convert Loans of any other type into Loans of such type and the Borrower shall, on the last day(s) of the then current Interest Period(s) for the outstanding Loans of the affected type either prepay such Loans in accordance with Section 2.6 or convert such Loans into Loans of another type in accordance with Section 2.19.</w:t>
      </w:r>
    </w:p>
    <w:p>
      <w:pPr>
        <w:spacing w:after="0" w:line="89" w:lineRule="exact"/>
        <w:rPr>
          <w:sz w:val="20"/>
          <w:szCs w:val="20"/>
          <w:color w:val="auto"/>
        </w:rPr>
      </w:pPr>
    </w:p>
    <w:p>
      <w:pPr>
        <w:ind w:right="3239" w:firstLine="525"/>
        <w:spacing w:after="0" w:line="245" w:lineRule="auto"/>
        <w:rPr>
          <w:sz w:val="20"/>
          <w:szCs w:val="20"/>
          <w:color w:val="auto"/>
        </w:rPr>
      </w:pPr>
      <w:r>
        <w:rPr>
          <w:rFonts w:ascii="Courier New" w:cs="Courier New" w:eastAsia="Courier New" w:hAnsi="Courier New"/>
          <w:sz w:val="15"/>
          <w:szCs w:val="15"/>
          <w:color w:val="auto"/>
        </w:rPr>
        <w:t>Section 2.22. ILLEGALITY. Notwithstanding any other provision in this Agreement, in the event that it becomes unlawful for any Lender or its Applicable Lending Office to: (i) honor its obligation to make Eurodollar Loans hereunder, or (ii) maintain Eurodollar Loans hereunder, then such Lender shall promptly notify the Borrower thereof (with a copy to the Agent), describing such illegality in reasonable detail (and shall thereafter promptly notify the Borrower and the Agent of the cessation, if any, of such illegality), and such Lender's obligation to make Eurodollar Loans and to convert other types of Loans into Eurodollar Loans hereunder shall, upon written notice given by such Lender to the Borrower, be suspended until such time as such Lender may again make and maintain Eurodollar Loans and such Lender's outstanding Eurodollar Loans shall be converted into Base Rate Loans (as shall be designated in a notice from the Borrower to the Agent pursuant to SECTION 2.2) in accordance with Sections 2.19 and 2.23.</w:t>
      </w:r>
    </w:p>
    <w:p>
      <w:pPr>
        <w:spacing w:after="0" w:line="95"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Section 2.23. CERTAIN CONVERSIONS PURSUANT TO SECTIONS 2.20 AND 2.22. If the Loans of any Lender of a particular type (Loans of such type are hereinafter referred to as "AFFECTED LOANS" and such type is hereinafter referred to as the "AFFECTED TYPE") are to be converted pursuant to SECTION 2.20 or 2.22, such Lender's Affected Loans shall be converted into Base Rate Loans (the "NEW TYPE LOANS") on the last day(s) of the then current Interest Period(s) for the Affected Loans (or, in the case of a conversion required by Subsection 2.20(c) or Section 2.22 on such earlier date as such Lender may specify to the Borrower with a copy to the Agent) and, until such Lender gives notice as</w:t>
      </w:r>
    </w:p>
    <w:p>
      <w:pPr>
        <w:sectPr>
          <w:pgSz w:w="11900" w:h="16838" w:orient="portrait"/>
          <w:cols w:equalWidth="0" w:num="1">
            <w:col w:w="10239"/>
          </w:cols>
          <w:pgMar w:left="220" w:top="26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65</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57</w:t>
      </w:r>
    </w:p>
    <w:p>
      <w:pPr>
        <w:spacing w:after="0" w:line="140"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provided below that the circumstances specified in Section 2.20 or 2.22 which gave rise to such conversion no longer exist:</w:t>
      </w:r>
    </w:p>
    <w:p>
      <w:pPr>
        <w:spacing w:after="0" w:line="17" w:lineRule="exact"/>
        <w:rPr>
          <w:sz w:val="20"/>
          <w:szCs w:val="20"/>
          <w:color w:val="auto"/>
        </w:rPr>
      </w:pPr>
    </w:p>
    <w:p>
      <w:pPr>
        <w:ind w:right="3399" w:firstLine="534"/>
        <w:spacing w:after="0" w:line="320" w:lineRule="auto"/>
        <w:tabs>
          <w:tab w:leader="none" w:pos="8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such Lender's Affected Loans have been so converted, all payments and prepayments of principal which would otherwise be applied to such Affected Loans shall be applied instead to its New Type Loans;</w:t>
      </w:r>
    </w:p>
    <w:p>
      <w:pPr>
        <w:spacing w:after="0" w:line="38" w:lineRule="exact"/>
        <w:rPr>
          <w:rFonts w:ascii="Courier New" w:cs="Courier New" w:eastAsia="Courier New" w:hAnsi="Courier New"/>
          <w:sz w:val="14"/>
          <w:szCs w:val="14"/>
          <w:color w:val="auto"/>
        </w:rPr>
      </w:pPr>
    </w:p>
    <w:p>
      <w:pPr>
        <w:ind w:right="3239" w:firstLine="534"/>
        <w:spacing w:after="0" w:line="273" w:lineRule="auto"/>
        <w:tabs>
          <w:tab w:leader="none" w:pos="87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Loans which would otherwise be made by such Lender as Loans of the Affected Type shall be made instead as New Type Loans and all Loans of such Lender which would otherwise be converted into Loans of the Affected Type shall be converted instead into (or shall remain as) New Type Loans; and</w:t>
      </w:r>
    </w:p>
    <w:p>
      <w:pPr>
        <w:spacing w:after="0" w:line="67" w:lineRule="exact"/>
        <w:rPr>
          <w:rFonts w:ascii="Courier New" w:cs="Courier New" w:eastAsia="Courier New" w:hAnsi="Courier New"/>
          <w:sz w:val="15"/>
          <w:szCs w:val="15"/>
          <w:color w:val="auto"/>
        </w:rPr>
      </w:pPr>
    </w:p>
    <w:p>
      <w:pPr>
        <w:ind w:right="3239" w:firstLine="534"/>
        <w:spacing w:after="0" w:line="273" w:lineRule="auto"/>
        <w:tabs>
          <w:tab w:leader="none" w:pos="8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Loans of any of the Lenders other than such Lender which are the same type as the Affected Type are subsequently converted into Loans of another type (which type is other than New Type Loans), then such Lender's New Type Loans shall be automatically converted on the conversion date into Loans of such other type to the extent necessary so that, after giving effect thereto, all Loans held by such Lender and the Lenders whose Loans are so converted are held PRO RATA (as to principal amounts, types and, to the extent applicable, Interest Periods) in accordance with their respective Commitments.</w:t>
      </w:r>
    </w:p>
    <w:p>
      <w:pPr>
        <w:spacing w:after="0" w:line="71"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Section 2.24. INDEMNIFICATION. The Borrower shall pay to the Agent for the account of each Lender, upon the request of such Lender through the Agent, such amount or amounts as shall compensate such Lender for any loss (including loss of profit), cost or expense incurred by such Lender (as reasonably determined by such Lender) as a result of:</w:t>
      </w:r>
    </w:p>
    <w:p>
      <w:pPr>
        <w:spacing w:after="0" w:line="75" w:lineRule="exact"/>
        <w:rPr>
          <w:sz w:val="20"/>
          <w:szCs w:val="20"/>
          <w:color w:val="auto"/>
        </w:rPr>
      </w:pPr>
    </w:p>
    <w:p>
      <w:pPr>
        <w:ind w:right="3399" w:firstLine="534"/>
        <w:spacing w:after="0" w:line="290" w:lineRule="auto"/>
        <w:tabs>
          <w:tab w:leader="none" w:pos="87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prepayment or conversion of a Eurodollar Loan held by such Lender on a date other than the last day of an Interest Period for such Eurodollar Loan; or</w:t>
      </w:r>
    </w:p>
    <w:p>
      <w:pPr>
        <w:spacing w:after="0" w:line="56" w:lineRule="exact"/>
        <w:rPr>
          <w:rFonts w:ascii="Courier New" w:cs="Courier New" w:eastAsia="Courier New" w:hAnsi="Courier New"/>
          <w:sz w:val="15"/>
          <w:szCs w:val="15"/>
          <w:color w:val="auto"/>
        </w:rPr>
      </w:pPr>
    </w:p>
    <w:p>
      <w:pPr>
        <w:ind w:right="3319" w:firstLine="534"/>
        <w:spacing w:after="0" w:line="290" w:lineRule="auto"/>
        <w:tabs>
          <w:tab w:leader="none" w:pos="87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Borrower to borrow, prepay or convert a Eurodollar Loan on the date for such borrowing, prepayment or conversion specified in the relevant notice under Section 2.2,</w:t>
      </w:r>
    </w:p>
    <w:p>
      <w:pPr>
        <w:spacing w:after="0" w:line="57"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such compensation to include an amount equal to: (i) any loss or expense suffered by such Lender during the period from the date of receipt of such early payment or prepayment or the date of such conversion or failure to borrow or convert to the last day of such Interest Period if the rate of interest obtainable by such Lender upon the redeployment of an amount of funds equal to such Lender's PRO RATA share of such payment, prepayment or conversion or failure to borrow or convert is less than the rate of interest applicable to such Eurodollar Loan for such Interest Period, or (ii) any loss or expense suffered by such Lender in liquidating Eurodollar deposits prior to maturity which correspond to such Lender's PRO RATA share of such payment, prepayment, conversion, failure to borrow or failure to convert. The determination by each</w:t>
      </w:r>
    </w:p>
    <w:p>
      <w:pPr>
        <w:sectPr>
          <w:pgSz w:w="11900" w:h="16838" w:orient="portrait"/>
          <w:cols w:equalWidth="0" w:num="1">
            <w:col w:w="10239"/>
          </w:cols>
          <w:pgMar w:left="220" w:top="26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66</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pacing w:after="0" w:line="140" w:lineRule="exact"/>
        <w:rPr>
          <w:sz w:val="20"/>
          <w:szCs w:val="20"/>
          <w:color w:val="auto"/>
        </w:rPr>
      </w:pPr>
    </w:p>
    <w:p>
      <w:pPr>
        <w:ind w:right="3319"/>
        <w:spacing w:after="0" w:line="320" w:lineRule="auto"/>
        <w:rPr>
          <w:sz w:val="20"/>
          <w:szCs w:val="20"/>
          <w:color w:val="auto"/>
        </w:rPr>
      </w:pPr>
      <w:r>
        <w:rPr>
          <w:rFonts w:ascii="Courier New" w:cs="Courier New" w:eastAsia="Courier New" w:hAnsi="Courier New"/>
          <w:sz w:val="14"/>
          <w:szCs w:val="14"/>
          <w:color w:val="auto"/>
        </w:rPr>
        <w:t>such Lender or the amount of any such loss or expense, when set forth in a written notice to the Borrower, containing such Lender's calculation thereof in reasonable detail, shall be presumed correct, in the absence of manifest error.</w:t>
      </w:r>
    </w:p>
    <w:p>
      <w:pPr>
        <w:spacing w:after="0" w:line="38"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Section 2.25. WAIVER OF CLAIMS. The Principal Companies hereby waive any and all claims, counterclaims, defenses and similar rights with respect to the Existing Loans which any of the Principal Companies have or may have as of the effectiveness of this Agreement based on all information available to the Principal Companies at such time.</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2.26. ASSIGNMENT AND REASSIGNMENT OF EXISTING LOANS.</w:t>
      </w:r>
    </w:p>
    <w:p>
      <w:pPr>
        <w:spacing w:after="0" w:line="166" w:lineRule="exact"/>
        <w:rPr>
          <w:sz w:val="20"/>
          <w:szCs w:val="20"/>
          <w:color w:val="auto"/>
        </w:rPr>
      </w:pPr>
    </w:p>
    <w:p>
      <w:pPr>
        <w:ind w:right="3239" w:firstLine="534"/>
        <w:spacing w:after="0" w:line="264" w:lineRule="auto"/>
        <w:tabs>
          <w:tab w:leader="none" w:pos="87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Lender Assignment Agreements, immediately prior to the effectiveness hereof, each Existing Lender has sold and assigned to the Agent, and the Agent has purchased and assumed from such Existing Lender, all Loans of such Existing Lender under (and as such term is defined in) the Existing Credit Agreement;</w:t>
      </w:r>
    </w:p>
    <w:p>
      <w:pPr>
        <w:spacing w:after="0" w:line="74" w:lineRule="exact"/>
        <w:rPr>
          <w:rFonts w:ascii="Courier New" w:cs="Courier New" w:eastAsia="Courier New" w:hAnsi="Courier New"/>
          <w:sz w:val="15"/>
          <w:szCs w:val="15"/>
          <w:color w:val="auto"/>
        </w:rPr>
      </w:pPr>
    </w:p>
    <w:p>
      <w:pPr>
        <w:ind w:right="3239" w:firstLine="534"/>
        <w:spacing w:after="0" w:line="269" w:lineRule="auto"/>
        <w:tabs>
          <w:tab w:leader="none" w:pos="8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effectiveness of this Agreement: (i) all Revolving Credit Loans under (and as such term is defined in) the Existing Credit Agreement shall automatically be converted into Term Loans hereunder; (ii) all Term Loans A under (and as such term is defined in) the Existing Credit Agreement shall automatically be converted into Term Loans hereunder; (iii) the Agent shall and does hereby sell and assign to each Lender with a Term Loan Commitment such Lender's Term Loan Commitment Percentage of all Term Loans outstanding immediately prior to such assignments and each such Lender shall and does hereby purchase from the Agent, for cash, at par, such Lender's Term Loan Commitment Percentage of all Term Loans outstanding immediately prior to such assignments.</w:t>
      </w:r>
    </w:p>
    <w:p>
      <w:pPr>
        <w:spacing w:after="0" w:line="72" w:lineRule="exact"/>
        <w:rPr>
          <w:rFonts w:ascii="Courier New" w:cs="Courier New" w:eastAsia="Courier New" w:hAnsi="Courier New"/>
          <w:sz w:val="14"/>
          <w:szCs w:val="14"/>
          <w:color w:val="auto"/>
        </w:rPr>
      </w:pPr>
    </w:p>
    <w:p>
      <w:pPr>
        <w:jc w:val="both"/>
        <w:ind w:right="3399" w:firstLine="534"/>
        <w:spacing w:after="0" w:line="290" w:lineRule="auto"/>
        <w:tabs>
          <w:tab w:leader="none" w:pos="87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all Revolving Credit Loans and Term Loans of each Lender, after giving effect to the assignments described in paragraph (b) above is as set forth on SCHEDULE 1 hereto.</w:t>
      </w:r>
    </w:p>
    <w:p>
      <w:pPr>
        <w:spacing w:after="0" w:line="56" w:lineRule="exact"/>
        <w:rPr>
          <w:rFonts w:ascii="Courier New" w:cs="Courier New" w:eastAsia="Courier New" w:hAnsi="Courier New"/>
          <w:sz w:val="15"/>
          <w:szCs w:val="15"/>
          <w:color w:val="auto"/>
        </w:rPr>
      </w:pPr>
    </w:p>
    <w:p>
      <w:pPr>
        <w:ind w:right="3579" w:firstLine="534"/>
        <w:spacing w:after="0" w:line="274" w:lineRule="auto"/>
        <w:tabs>
          <w:tab w:leader="none" w:pos="8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Principal Companies acknowledges and agrees that all Existing Loans assigned by the Agent to the Lenders pursuant to this Section</w:t>
      </w:r>
    </w:p>
    <w:p>
      <w:pPr>
        <w:ind w:right="3319"/>
        <w:spacing w:after="0" w:line="30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2.26 shall be entitled to all the benefits of this Agreement and the other Loan Documents.</w:t>
      </w:r>
    </w:p>
    <w:p>
      <w:pPr>
        <w:spacing w:after="0" w:line="43" w:lineRule="exact"/>
        <w:rPr>
          <w:rFonts w:ascii="Courier New" w:cs="Courier New" w:eastAsia="Courier New" w:hAnsi="Courier New"/>
          <w:sz w:val="14"/>
          <w:szCs w:val="14"/>
          <w:color w:val="auto"/>
        </w:rPr>
      </w:pPr>
    </w:p>
    <w:p>
      <w:pPr>
        <w:ind w:right="3239" w:firstLine="534"/>
        <w:spacing w:after="0" w:line="270" w:lineRule="auto"/>
        <w:tabs>
          <w:tab w:leader="none" w:pos="8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(i) makes no representation or warranty and assumes no responsibility with respect to any statements, warranties or representations made in or in connection with the Existing Credit Agreement or any of the other documents or instruments furnished pursuant thereto or the execution, legality, validity, enforceability, genuineness, sufficiency or value of the Existing Credit Agreement or any other instrument or document furnished pursuant thereto, other than that it is the legal and beneficial owner of the Assigned Interests being assigned by it hereunder, that such interests are free and clear of any adverse claim, and that the Agent has the requisite corporate</w:t>
      </w:r>
    </w:p>
    <w:p>
      <w:pPr>
        <w:sectPr>
          <w:pgSz w:w="11900" w:h="16838" w:orient="portrait"/>
          <w:cols w:equalWidth="0" w:num="1">
            <w:col w:w="10239"/>
          </w:cols>
          <w:pgMar w:left="220" w:top="26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67</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59</w:t>
      </w:r>
    </w:p>
    <w:p>
      <w:pPr>
        <w:spacing w:after="0" w:line="14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power and authority and all consents necessary to execute, deliver and perform such assignment; and (ii) makes no representation or warranty and assumes no responsibility with respect to the financial condition of any Borrower Affiliated Company or the performance or observance by the Borrower or any other Person of any of their obligations under the Existing Credit Agreement or any other instrument or document furnished pursuant thereto.</w:t>
      </w:r>
    </w:p>
    <w:p>
      <w:pPr>
        <w:spacing w:after="0" w:line="81" w:lineRule="exact"/>
        <w:rPr>
          <w:sz w:val="20"/>
          <w:szCs w:val="20"/>
          <w:color w:val="auto"/>
        </w:rPr>
      </w:pPr>
    </w:p>
    <w:p>
      <w:pPr>
        <w:ind w:right="3319" w:firstLine="534"/>
        <w:spacing w:after="0" w:line="258" w:lineRule="auto"/>
        <w:tabs>
          <w:tab w:leader="none" w:pos="87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purchasing Existing Loans pursuant to this SECTION 2.26 represents and warrants that it has the requisite corporate power and authority and all consents necessary to execute, deliver and perform such purchase and acknowledges and agrees that such purchase is without recourse to the Agent, except to the extent that the Agent breaches its representations and warranties made pursuant to paragraph (e) above.</w:t>
      </w:r>
    </w:p>
    <w:p>
      <w:pPr>
        <w:spacing w:after="0" w:line="8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LETTERS OF CREDIT</w:t>
      </w:r>
    </w:p>
    <w:p>
      <w:pPr>
        <w:spacing w:after="0" w:line="166" w:lineRule="exact"/>
        <w:rPr>
          <w:sz w:val="20"/>
          <w:szCs w:val="20"/>
          <w:color w:val="auto"/>
        </w:rPr>
      </w:pPr>
    </w:p>
    <w:p>
      <w:pPr>
        <w:jc w:val="both"/>
        <w:ind w:right="3239" w:firstLine="525"/>
        <w:spacing w:after="0" w:line="273" w:lineRule="auto"/>
        <w:rPr>
          <w:sz w:val="20"/>
          <w:szCs w:val="20"/>
          <w:color w:val="auto"/>
        </w:rPr>
      </w:pPr>
      <w:r>
        <w:rPr>
          <w:rFonts w:ascii="Courier New" w:cs="Courier New" w:eastAsia="Courier New" w:hAnsi="Courier New"/>
          <w:sz w:val="15"/>
          <w:szCs w:val="15"/>
          <w:color w:val="auto"/>
        </w:rPr>
        <w:t>Section 3.1. LETTER OF CREDIT COMMITMENT. On the terms and subject to the conditions contained in this Agreement, the Issuing Bank shall from time to time from and after the effectiveness hereof until the Maturity Date issue Letters of Credit for the account of the Borrower.</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3.2. ISSUANCE OF LETTERS OF CREDIT.</w:t>
      </w:r>
    </w:p>
    <w:p>
      <w:pPr>
        <w:spacing w:after="0" w:line="166" w:lineRule="exact"/>
        <w:rPr>
          <w:sz w:val="20"/>
          <w:szCs w:val="20"/>
          <w:color w:val="auto"/>
        </w:rPr>
      </w:pPr>
    </w:p>
    <w:p>
      <w:pPr>
        <w:ind w:right="3239" w:firstLine="534"/>
        <w:spacing w:after="0" w:line="290" w:lineRule="auto"/>
        <w:tabs>
          <w:tab w:leader="none" w:pos="104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Issuing Bank to issue any Letter of Credit requested by the Borrower is subject to the following conditions (in addition to conditions specified elsewhere in this Agreement):</w:t>
      </w:r>
    </w:p>
    <w:p>
      <w:pPr>
        <w:spacing w:after="0" w:line="56" w:lineRule="exact"/>
        <w:rPr>
          <w:rFonts w:ascii="Courier New" w:cs="Courier New" w:eastAsia="Courier New" w:hAnsi="Courier New"/>
          <w:sz w:val="15"/>
          <w:szCs w:val="15"/>
          <w:color w:val="auto"/>
        </w:rPr>
      </w:pPr>
    </w:p>
    <w:p>
      <w:pPr>
        <w:ind w:left="540" w:right="3319" w:firstLine="519"/>
        <w:spacing w:after="0" w:line="298" w:lineRule="auto"/>
        <w:tabs>
          <w:tab w:leader="none" w:pos="159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shall have no obligation to issue any Letter of Credit if, after giving effect to such issuance, (A) the Revolving Credit Outstandings would exceed the aggregate Revolving Credit Commitments or (B) the Letter of Credit Exposure would exceed $5,000,000.</w:t>
      </w:r>
    </w:p>
    <w:p>
      <w:pPr>
        <w:spacing w:after="0" w:line="53" w:lineRule="exact"/>
        <w:rPr>
          <w:rFonts w:ascii="Courier New" w:cs="Courier New" w:eastAsia="Courier New" w:hAnsi="Courier New"/>
          <w:sz w:val="14"/>
          <w:szCs w:val="14"/>
          <w:color w:val="auto"/>
        </w:rPr>
      </w:pPr>
    </w:p>
    <w:p>
      <w:pPr>
        <w:ind w:left="540" w:right="3499" w:firstLine="519"/>
        <w:spacing w:after="0" w:line="381" w:lineRule="auto"/>
        <w:tabs>
          <w:tab w:leader="none" w:pos="159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and terms of each Letter of Credit and any related documentation must be reasonably acceptable to the Issuing Bank.</w:t>
      </w:r>
    </w:p>
    <w:p>
      <w:pPr>
        <w:spacing w:after="0" w:line="1" w:lineRule="exact"/>
        <w:rPr>
          <w:rFonts w:ascii="Courier New" w:cs="Courier New" w:eastAsia="Courier New" w:hAnsi="Courier New"/>
          <w:sz w:val="14"/>
          <w:szCs w:val="14"/>
          <w:color w:val="auto"/>
        </w:rPr>
      </w:pPr>
    </w:p>
    <w:p>
      <w:pPr>
        <w:ind w:left="540" w:right="3239" w:firstLine="519"/>
        <w:spacing w:after="0" w:line="273" w:lineRule="auto"/>
        <w:tabs>
          <w:tab w:leader="none" w:pos="159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by its terms must provide for payment of drawings thereunder in Dollars and must expire on or prior to the earlier to occur of (A) ten days prior to the Maturity Date and (B) the first anniversary of the date of its issuance.</w:t>
      </w:r>
    </w:p>
    <w:p>
      <w:pPr>
        <w:spacing w:after="0" w:line="67" w:lineRule="exact"/>
        <w:rPr>
          <w:rFonts w:ascii="Courier New" w:cs="Courier New" w:eastAsia="Courier New" w:hAnsi="Courier New"/>
          <w:sz w:val="15"/>
          <w:szCs w:val="15"/>
          <w:color w:val="auto"/>
        </w:rPr>
      </w:pPr>
    </w:p>
    <w:p>
      <w:pPr>
        <w:ind w:left="540" w:right="3679" w:firstLine="519"/>
        <w:spacing w:after="0" w:line="344" w:lineRule="auto"/>
        <w:tabs>
          <w:tab w:leader="none" w:pos="159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Letter of Credit must be issued in connection with a Permitted Acquisition.</w:t>
      </w:r>
    </w:p>
    <w:p>
      <w:pPr>
        <w:sectPr>
          <w:pgSz w:w="11900" w:h="16838" w:orient="portrait"/>
          <w:cols w:equalWidth="0" w:num="1">
            <w:col w:w="10239"/>
          </w:cols>
          <w:pgMar w:left="220" w:top="26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68</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pacing w:after="0" w:line="140" w:lineRule="exact"/>
        <w:rPr>
          <w:sz w:val="20"/>
          <w:szCs w:val="20"/>
          <w:color w:val="auto"/>
        </w:rPr>
      </w:pPr>
    </w:p>
    <w:p>
      <w:pPr>
        <w:ind w:left="540" w:right="3239" w:firstLine="519"/>
        <w:spacing w:after="0" w:line="280" w:lineRule="auto"/>
        <w:tabs>
          <w:tab w:leader="none" w:pos="141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Letter of Credit shall contain a provision permitting the Issuing Bank to terminate such Letter of Credit upon 30 days' prior written notice to the beneficiary thereof and authorizing such beneficiary to draw up to the full undrawn amount of such Letter of Credit during such 30-day period. The Issuing Bank agrees that it will not give any such termination notice except in compliance with Section 11.4.</w:t>
      </w:r>
    </w:p>
    <w:p>
      <w:pPr>
        <w:spacing w:after="0" w:line="67" w:lineRule="exact"/>
        <w:rPr>
          <w:sz w:val="20"/>
          <w:szCs w:val="20"/>
          <w:color w:val="auto"/>
        </w:rPr>
      </w:pPr>
    </w:p>
    <w:p>
      <w:pPr>
        <w:ind w:right="3399"/>
        <w:spacing w:after="0" w:line="381" w:lineRule="auto"/>
        <w:rPr>
          <w:sz w:val="20"/>
          <w:szCs w:val="20"/>
          <w:color w:val="auto"/>
        </w:rPr>
      </w:pPr>
      <w:r>
        <w:rPr>
          <w:rFonts w:ascii="Courier New" w:cs="Courier New" w:eastAsia="Courier New" w:hAnsi="Courier New"/>
          <w:sz w:val="14"/>
          <w:szCs w:val="14"/>
          <w:color w:val="auto"/>
        </w:rPr>
        <w:t>In determining compliance with clause (i) above, the Issuing Bank shall be entitled to rely on information received by it from the Agent or the Borrower.</w:t>
      </w:r>
    </w:p>
    <w:p>
      <w:pPr>
        <w:spacing w:after="0" w:line="1" w:lineRule="exact"/>
        <w:rPr>
          <w:sz w:val="20"/>
          <w:szCs w:val="20"/>
          <w:color w:val="auto"/>
        </w:rPr>
      </w:pPr>
    </w:p>
    <w:p>
      <w:pPr>
        <w:ind w:right="3239" w:firstLine="534"/>
        <w:spacing w:after="0" w:line="265" w:lineRule="auto"/>
        <w:tabs>
          <w:tab w:leader="none" w:pos="1049"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Borrower desires to have a Letter of Credit issued, the Borrower will furnish to the Agent and the Issuing Bank a written application therefor (each, a "LETTER OF CREDIT APPLICATION") which shall (i) be received by the Agent and the Issuing Bank not less than three (3) Business Days and not more than ten (10) Business Days prior to the Issue Date of such Letter of Credit and (ii) specify (A) the Issue Date of such Letter of Credit (which must be a Business Day), (B) the expiration date of such Letter of Credit, (C) the name and address of the beneficiary of the Letter of Credit, (D) the amount of such Letter of Credit, and (E) the purpose and proposed form of such Letter of Credit. The Agent shall give each Lender prompt notice of its receipt of each such application and the Issuing Bank shall give the Agent and each Lender prompt notice of the issuance and amount of each Letter of Credit and the expiration date of each Letter of Credit.</w:t>
      </w:r>
    </w:p>
    <w:p>
      <w:pPr>
        <w:spacing w:after="0" w:line="25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3.3. PARTICIPATION BY LENDERS.</w:t>
      </w:r>
    </w:p>
    <w:p>
      <w:pPr>
        <w:spacing w:after="0" w:line="166" w:lineRule="exact"/>
        <w:rPr>
          <w:sz w:val="20"/>
          <w:szCs w:val="20"/>
          <w:color w:val="auto"/>
        </w:rPr>
      </w:pPr>
    </w:p>
    <w:p>
      <w:pPr>
        <w:ind w:right="3239" w:firstLine="534"/>
        <w:spacing w:after="0" w:line="264" w:lineRule="auto"/>
        <w:tabs>
          <w:tab w:leader="none" w:pos="1049"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issuance of a Letter of Credit and without any further action on the part of the Issuing Bank or the other Lenders in respect thereof, the Issuing Bank hereby grants to each Revolving Credit Lender, and each Revolving Credit Lender hereby acquires from the Issuing Bank, a participation in such Letter of Credit equal to such Revolving Credit Lender's Revolving Credit Commitment Percentage of the face amount of such Letter of Credit, effective upon the issuance of such Letter of Credit; PROVIDED, HOWEVER, that no Revolving Credit Lender shall be required to acquire participations in Letters of Credit that would result in its Revolving Credit Commitment Percentage of all Revolving Credit Outstandings to be greater than its Revolving Credit Commitment. In consideration and in furtherance of the foregoing, each Revolving Credit Lender hereby absolutely and unconditionally agrees to pay to the Agent, for the account of the Issuing Bank, in accordance with Section 3.4 below, such Revolving Credit Lender's Revolving Credit Commitment Percentage of each Letter of Credit Disbursement.</w:t>
      </w:r>
    </w:p>
    <w:p>
      <w:pPr>
        <w:spacing w:after="0" w:line="248" w:lineRule="exact"/>
        <w:rPr>
          <w:rFonts w:ascii="Courier New" w:cs="Courier New" w:eastAsia="Courier New" w:hAnsi="Courier New"/>
          <w:sz w:val="14"/>
          <w:szCs w:val="14"/>
          <w:color w:val="auto"/>
        </w:rPr>
      </w:pPr>
    </w:p>
    <w:p>
      <w:pPr>
        <w:ind w:right="3319" w:firstLine="534"/>
        <w:spacing w:after="0" w:line="298" w:lineRule="auto"/>
        <w:tabs>
          <w:tab w:leader="none" w:pos="1049"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Revolving Credit Lender acknowledges and agrees that its obligation to acquire participations pursuant to paragraph (a) above in respect of Letters of Credit is absolute and unconditional and shall not be affected by any circumstances whatsoever, including the occurrence and continuance of</w:t>
      </w:r>
    </w:p>
    <w:p>
      <w:pPr>
        <w:sectPr>
          <w:pgSz w:w="11900" w:h="16838" w:orient="portrait"/>
          <w:cols w:equalWidth="0" w:num="1">
            <w:col w:w="10239"/>
          </w:cols>
          <w:pgMar w:left="220" w:top="26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69</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61</w:t>
      </w:r>
    </w:p>
    <w:p>
      <w:pPr>
        <w:spacing w:after="0" w:line="140" w:lineRule="exact"/>
        <w:rPr>
          <w:sz w:val="20"/>
          <w:szCs w:val="20"/>
          <w:color w:val="auto"/>
        </w:rPr>
      </w:pPr>
    </w:p>
    <w:p>
      <w:pPr>
        <w:ind w:right="3499"/>
        <w:spacing w:after="0" w:line="381" w:lineRule="auto"/>
        <w:rPr>
          <w:sz w:val="20"/>
          <w:szCs w:val="20"/>
          <w:color w:val="auto"/>
        </w:rPr>
      </w:pPr>
      <w:r>
        <w:rPr>
          <w:rFonts w:ascii="Courier New" w:cs="Courier New" w:eastAsia="Courier New" w:hAnsi="Courier New"/>
          <w:sz w:val="14"/>
          <w:szCs w:val="14"/>
          <w:color w:val="auto"/>
        </w:rPr>
        <w:t>an Event of Default or Default hereunder, and that each such payment shall be made without any offset, abatement, withholding or reduction whatsoever.</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3.4. LETTER OF CREDIT DISBURSEMENTS.</w:t>
      </w:r>
    </w:p>
    <w:p>
      <w:pPr>
        <w:spacing w:after="0" w:line="166" w:lineRule="exact"/>
        <w:rPr>
          <w:sz w:val="20"/>
          <w:szCs w:val="20"/>
          <w:color w:val="auto"/>
        </w:rPr>
      </w:pPr>
    </w:p>
    <w:p>
      <w:pPr>
        <w:ind w:right="3239" w:firstLine="534"/>
        <w:spacing w:after="0" w:line="261" w:lineRule="auto"/>
        <w:tabs>
          <w:tab w:leader="none" w:pos="875"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Agent has not received from the Borrower the payment permitted pursuant to paragraph (b) of this Section 3.4 by 11:00 a.m., Boston time, on the date on which the Issuing Bank has notified the Borrower that payment of a draft presented under any Letter of Credit will be made, as provided in such paragraph (b), the Agent shall promptly notify the Issuing Bank and each other Lender of the Letter of Credit Disbursement and, in the case of each Revolving Credit Lender, its Revolving Credit Commitment Percentage of such Letter of Credit Disbursement. Each Revolving Credit Lender shall promptly pay to the Agent (or, if the Issuing Bank shall elect to defer reimbursement from the Revolving Credit Lenders hereunder, at such later time as the Issuing Bank shall specify by notice to the Agent and the Revolving Credit Lenders), such Revolving Credit Lender's Revolving Credit Commitment Percentage of such Letter of Credit Disbursement, which the Agent shall promptly pay to the Issuing Bank. The Agent will promptly remit to each Revolving Credit Lender its share of any amounts subsequently received by the Agent from the Borrower in respect of such Letter of Credit Disbursement; PROVIDED that amounts so received for the account of any Revolving Credit Lender prior to payment by such Lender of amounts required to be paid by it hereunder in respect of any Revolving Credit Disbursement shall be remitted to the Issuing Bank.</w:t>
      </w:r>
    </w:p>
    <w:p>
      <w:pPr>
        <w:spacing w:after="0" w:line="259" w:lineRule="exact"/>
        <w:rPr>
          <w:rFonts w:ascii="Courier New" w:cs="Courier New" w:eastAsia="Courier New" w:hAnsi="Courier New"/>
          <w:sz w:val="14"/>
          <w:szCs w:val="14"/>
          <w:color w:val="auto"/>
        </w:rPr>
      </w:pPr>
    </w:p>
    <w:p>
      <w:pPr>
        <w:ind w:right="3239" w:firstLine="534"/>
        <w:spacing w:after="0" w:line="274" w:lineRule="auto"/>
        <w:tabs>
          <w:tab w:leader="none" w:pos="875"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Issuing Bank shall receive any draft presented under any Letter of Credit, the Issuing Bank shall give notice thereof as provided in PARAGRAPH</w:t>
      </w:r>
    </w:p>
    <w:p>
      <w:pPr>
        <w:ind w:right="3319" w:firstLine="10"/>
        <w:spacing w:after="0" w:line="262" w:lineRule="auto"/>
        <w:tabs>
          <w:tab w:leader="none" w:pos="35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If the Issuing Bank shall pay any draft presented under a Letter of Credit, the Borrower may (but shall not be required to) pay to the Agent, for the account of the Issuing Bank, an amount equal to the amount of such draft before noon, Boston time, on the Business Day on which the Issuing Bank shall have notified the Borrower that payment of such draft will be made. The Agent will promptly pay any such amounts received by it to the Issuing Bank. If the Borrower shall not elect to make such payment, the Borrower shall pay to the Agent, on behalf of the Issuing Bank, an amount equal to the Letter of Credit Disbursement made by the Issuing Bank, together with interest thereon at the rate then applicable to Base Rate Loans pursuant to SECTION 2.7 from and including the date of such Letter of Credit Disbursement to but excluding the date of payment, on or prior to the date one Business Day following the date of such Letter of Credit Disbursement.</w:t>
      </w:r>
    </w:p>
    <w:p>
      <w:pPr>
        <w:spacing w:after="0" w:line="77" w:lineRule="exact"/>
        <w:rPr>
          <w:rFonts w:ascii="Courier New" w:cs="Courier New" w:eastAsia="Courier New" w:hAnsi="Courier New"/>
          <w:sz w:val="14"/>
          <w:szCs w:val="14"/>
          <w:color w:val="auto"/>
        </w:rPr>
      </w:pPr>
    </w:p>
    <w:p>
      <w:pPr>
        <w:ind w:right="3399" w:firstLine="534"/>
        <w:spacing w:after="0" w:line="280" w:lineRule="auto"/>
        <w:tabs>
          <w:tab w:leader="none" w:pos="875"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shall, promptly following its receipt thereof, examine all documents purporting to represent a demand for payment under a Letter of Credit to ascertain that the same appear on their face to be in substantial conformity with the terms and conditions of such Letter of Credit. The Issuing Bank shall as promptly as reasonably practicable give oral notification, confirmed in writing, to the Agent and the Borrower of such</w:t>
      </w:r>
    </w:p>
    <w:p>
      <w:pPr>
        <w:sectPr>
          <w:pgSz w:w="11900" w:h="16838" w:orient="portrait"/>
          <w:cols w:equalWidth="0" w:num="1">
            <w:col w:w="10239"/>
          </w:cols>
          <w:pgMar w:left="220" w:top="26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70</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62</w:t>
      </w:r>
    </w:p>
    <w:p>
      <w:pPr>
        <w:spacing w:after="0" w:line="14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demand for payment and the determination by the Issuing Bank as to whether such demand for payment was in accordance with the terms and conditions of such Letter of Credit and whether the Issuing Bank has made or will make a Letter of Credit Disbursement thereunder, provided that the failure to give such notice shall not relieve the Borrower of its obligation to reimburse such Letter of Credit Disbursement, and the Agent shall promptly give each Revolving Credit Lender notice thereof.</w:t>
      </w:r>
    </w:p>
    <w:p>
      <w:pPr>
        <w:spacing w:after="0" w:line="82"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Section 3.5. OBLIGATION TO REPAY LETTER OF CREDIT DISBURSEMENTS, ETC. The Borrower assumes all risks in connection with the Letters of Credit and the Borrower's obligation to repay Letter of Credit Disbursements shall be absolute, unconditional and irrevocable under any and all circumstances and irrespective of:</w:t>
      </w:r>
    </w:p>
    <w:p>
      <w:pPr>
        <w:spacing w:after="0" w:line="75" w:lineRule="exact"/>
        <w:rPr>
          <w:sz w:val="20"/>
          <w:szCs w:val="20"/>
          <w:color w:val="auto"/>
        </w:rPr>
      </w:pPr>
    </w:p>
    <w:p>
      <w:pPr>
        <w:ind w:left="1580" w:hanging="521"/>
        <w:spacing w:after="0"/>
        <w:tabs>
          <w:tab w:leader="none" w:pos="15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any Letter of</w:t>
      </w:r>
    </w:p>
    <w:p>
      <w:pPr>
        <w:spacing w:after="0" w:line="2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Credit;</w:t>
      </w:r>
    </w:p>
    <w:p>
      <w:pPr>
        <w:spacing w:after="0" w:line="140" w:lineRule="exact"/>
        <w:rPr>
          <w:rFonts w:ascii="Courier New" w:cs="Courier New" w:eastAsia="Courier New" w:hAnsi="Courier New"/>
          <w:sz w:val="15"/>
          <w:szCs w:val="15"/>
          <w:color w:val="auto"/>
        </w:rPr>
      </w:pPr>
    </w:p>
    <w:p>
      <w:pPr>
        <w:ind w:left="540" w:right="3239" w:firstLine="519"/>
        <w:spacing w:after="0" w:line="255" w:lineRule="auto"/>
        <w:tabs>
          <w:tab w:leader="none" w:pos="159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which the Borrower or any other person may at any time have against the beneficiary under any Letter of Credit, the Agent or the Issuing Bank (other than the defense of payment in accordance with the terms of this Agreement or a defense based on the gross negligence or willful misconduct of the Issuing Bank) or any other Person in connection with this Agreement or any other agreement or transaction;</w:t>
      </w:r>
    </w:p>
    <w:p>
      <w:pPr>
        <w:spacing w:after="0" w:line="81" w:lineRule="exact"/>
        <w:rPr>
          <w:rFonts w:ascii="Courier New" w:cs="Courier New" w:eastAsia="Courier New" w:hAnsi="Courier New"/>
          <w:sz w:val="15"/>
          <w:szCs w:val="15"/>
          <w:color w:val="auto"/>
        </w:rPr>
      </w:pPr>
    </w:p>
    <w:p>
      <w:pPr>
        <w:ind w:left="540" w:right="3239" w:firstLine="519"/>
        <w:spacing w:after="0" w:line="320" w:lineRule="auto"/>
        <w:tabs>
          <w:tab w:leader="none" w:pos="159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draft or other document presented under a Letter of Credit proving to be forged, fraudulent, invalid or insufficient in any respect or any statement therein being untrue or inaccurate in any respect; and</w:t>
      </w:r>
    </w:p>
    <w:p>
      <w:pPr>
        <w:spacing w:after="0" w:line="38" w:lineRule="exact"/>
        <w:rPr>
          <w:rFonts w:ascii="Courier New" w:cs="Courier New" w:eastAsia="Courier New" w:hAnsi="Courier New"/>
          <w:sz w:val="14"/>
          <w:szCs w:val="14"/>
          <w:color w:val="auto"/>
        </w:rPr>
      </w:pPr>
    </w:p>
    <w:p>
      <w:pPr>
        <w:ind w:left="540" w:right="3239" w:firstLine="519"/>
        <w:spacing w:after="0" w:line="344" w:lineRule="auto"/>
        <w:tabs>
          <w:tab w:leader="none" w:pos="150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or event whatsoever, whether or not similar to any of the foregoing.</w:t>
      </w:r>
    </w:p>
    <w:p>
      <w:pPr>
        <w:spacing w:after="0" w:line="17" w:lineRule="exact"/>
        <w:rPr>
          <w:sz w:val="20"/>
          <w:szCs w:val="20"/>
          <w:color w:val="auto"/>
        </w:rPr>
      </w:pPr>
    </w:p>
    <w:p>
      <w:pPr>
        <w:ind w:right="3319" w:firstLine="525"/>
        <w:spacing w:after="0" w:line="244" w:lineRule="auto"/>
        <w:rPr>
          <w:sz w:val="20"/>
          <w:szCs w:val="20"/>
          <w:color w:val="auto"/>
        </w:rPr>
      </w:pPr>
      <w:r>
        <w:rPr>
          <w:rFonts w:ascii="Courier New" w:cs="Courier New" w:eastAsia="Courier New" w:hAnsi="Courier New"/>
          <w:sz w:val="15"/>
          <w:szCs w:val="15"/>
          <w:color w:val="auto"/>
        </w:rPr>
        <w:t>It is understood that in making any payment under a Letter of Credit (A) the Issuing Bank's exclusive reliance as to any and all matters set forth therein, including reliance on the amount of any draft presented under such Letter of Credit, whether or not the amount due to the beneficiary equals the amount of such draft and whether or not any document presented pursuant to such Letter of Credit proves to be insufficient in any respect, if such document on its face appears to be in order, and whether or not any such Letter of Credit proves to be forged or invalid or any statement therein proves to be inaccurate or untrue in any respect whatsoever and (B) any noncompliance in any immaterial respect of the documents presented under a Letter of Credit with the terms thereof, shall, in each case, not be deemed willful misconduct or gross negligence of the Issuing Bank. It is further understood that in making any payment under a Letter of Credit, the Issuing Bank's payment of any draft presented under such Letter of Credit, if such document on its face is clearly not in order, shall be deemed willful misconduct or gross negligence of the Issuing Bank.</w:t>
      </w:r>
    </w:p>
    <w:p>
      <w:pPr>
        <w:sectPr>
          <w:pgSz w:w="11900" w:h="16838" w:orient="portrait"/>
          <w:cols w:equalWidth="0" w:num="1">
            <w:col w:w="10239"/>
          </w:cols>
          <w:pgMar w:left="220" w:top="26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71</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63</w:t>
      </w:r>
    </w:p>
    <w:p>
      <w:pPr>
        <w:spacing w:after="0" w:line="140"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The Borrower absolutely and unconditionally agrees to hold the Issuing Bank harmless from, and to indemnify the Issuing Bank immediately upon demand by the Issuing Bank at any time and as often as the occasion therefor may require against, any and all claims, demands, suits, actions, damages, losses, costs, expenses and other liabilities whatsoever which shall at any time or times be incurred or sustained by the Issuing Bank on account of, or in relation to, or in any way in connection with, the Letters of Credit except that the Borrower shall not be liable to the Lenders for any claims, demands, suits, actions, damages, losses, costs, expenses and other liabilities resulting from the gross negligence or willful misconduct of the Issuing Bank.</w:t>
      </w:r>
    </w:p>
    <w:p>
      <w:pPr>
        <w:spacing w:after="0" w:line="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Section 3.6 LETTER OF CREDIT FEES. The Borrower agrees to pay to the Agent</w:t>
      </w:r>
    </w:p>
    <w:p>
      <w:pPr>
        <w:spacing w:after="0" w:line="36" w:lineRule="exact"/>
        <w:rPr>
          <w:sz w:val="20"/>
          <w:szCs w:val="20"/>
          <w:color w:val="auto"/>
        </w:rPr>
      </w:pPr>
    </w:p>
    <w:p>
      <w:pPr>
        <w:ind w:right="3239" w:firstLine="10"/>
        <w:spacing w:after="0" w:line="262" w:lineRule="auto"/>
        <w:tabs>
          <w:tab w:leader="none" w:pos="3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account of the Revolving Credit Lenders, a fee in an amount equal to the product of (i) the average undrawn face amount of each Letter of Credit outstanding during all or any part of the applicable calendar quarter multiplied by (ii) an annual rate equal to the Applicable Margin for Eurodollar Loans during such calendar quarter and (b) for the account of the Issuing Bank, a fee (the "ISSUING BANK FEE") in an amount equal to the product of (i) the average undrawn face amount of each Letter of Credit outstanding during all or any part of the applicable calendar quarter multiplied by (ii) an annual rate equal to 0.125% (the fees described in clause (a) of this SECTION 3.6 and the Issuing Bank Fees shall be referred to herein collectively as the "LETTER OF CREDIT FEES"). Letter of Credit Fees shall be payable (i) quarterly in arrears on each of the Quarterly Dates and (ii) on the earlier of the Maturity Date and the date the Revolving Credit Commitments terminate.</w:t>
      </w:r>
    </w:p>
    <w:p>
      <w:pPr>
        <w:spacing w:after="0" w:line="78" w:lineRule="exact"/>
        <w:rPr>
          <w:sz w:val="20"/>
          <w:szCs w:val="20"/>
          <w:color w:val="auto"/>
        </w:rPr>
      </w:pPr>
    </w:p>
    <w:p>
      <w:pPr>
        <w:ind w:right="3319" w:firstLine="525"/>
        <w:spacing w:after="0" w:line="320" w:lineRule="auto"/>
        <w:rPr>
          <w:sz w:val="20"/>
          <w:szCs w:val="20"/>
          <w:color w:val="auto"/>
        </w:rPr>
      </w:pPr>
      <w:r>
        <w:rPr>
          <w:rFonts w:ascii="Courier New" w:cs="Courier New" w:eastAsia="Courier New" w:hAnsi="Courier New"/>
          <w:sz w:val="14"/>
          <w:szCs w:val="14"/>
          <w:color w:val="auto"/>
        </w:rPr>
        <w:t>Section 3.7 LETTER OF CREDIT APPLICATIONS. To the extent that any provision of any Letter of Credit Application is inconsistent with the provisions of this ARTICLE III, the provisions of this ARTICLE III shall apply.</w:t>
      </w:r>
    </w:p>
    <w:p>
      <w:pPr>
        <w:spacing w:after="0" w:line="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66"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The Principal Companies hereby jointly and severally represent and warrant to the Lenders, the Agent and the Issuing Bank as follows:</w:t>
      </w:r>
    </w:p>
    <w:p>
      <w:pPr>
        <w:spacing w:after="0" w:line="17"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Section 4.1. ORGANIZATION, ETC. Each of the Principal Companies (a) is duly organized, validly existing and in good standing under the laws of its state of organization or incorporation, (b) has all corporate power and authority, and all material licenses, permits, franchises, consents and approvals, required to own its Assets and carry on its business as now conducted and as proposed to be conducted, (c) is duly qualified to do business and is in good standing as a foreign corporation in each jurisdiction where the nature of its properties or its business requires such qualification unless the failure to so qualify could not reasonably be expected to have a Material Adverse Effect. SCHEDULE 4.1</w:t>
      </w:r>
    </w:p>
    <w:p>
      <w:pPr>
        <w:sectPr>
          <w:pgSz w:w="11900" w:h="16838" w:orient="portrait"/>
          <w:cols w:equalWidth="0" w:num="1">
            <w:col w:w="10239"/>
          </w:cols>
          <w:pgMar w:left="220" w:top="26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72</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64</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accurately and completely lists, as to (i) the Borrower as of the date hereof:</w:t>
      </w:r>
    </w:p>
    <w:p>
      <w:pPr>
        <w:spacing w:after="0" w:line="36" w:lineRule="exact"/>
        <w:rPr>
          <w:sz w:val="20"/>
          <w:szCs w:val="20"/>
          <w:color w:val="auto"/>
        </w:rPr>
      </w:pPr>
    </w:p>
    <w:p>
      <w:pPr>
        <w:ind w:right="3239" w:firstLine="10"/>
        <w:spacing w:after="0" w:line="254" w:lineRule="auto"/>
        <w:tabs>
          <w:tab w:leader="none" w:pos="35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state of incorporation and (B) the classes and number of authorized and outstanding shares of its Capital Stock, and (ii) each of the other Principal Companies: (A) the state of incorporation of each such corporation and (B) the classes and number of authorized and outstanding shares of Capital Stock of each such corporation, and the owners of such outstanding shares of Capital Stock. All the issued and outstanding shares of Capital Stock of each Restricted Subsidiary have been duly and validly issued and are fully paid and non-assessable. All the issued and outstanding shares of Capital Stock of each Restricted Subsidiary, except for the pledge of such Capital Stock pursuant to the Stock Pledge Agreements, are owned by the Persons identified on SCHEDULE 4.1, free and clear of any Liens or restrictions on transfer. There are no outstanding warrants, options, contracts or commitments of any kind entitling any Person to purchase or otherwise acquire any Capital Stock of any Restricted Subsidiary nor are there outstanding any securities which are convertible into or exchangeable for any Capital Stock of any Restricted Subsidiary. Except for the obligations of the Borrower, Saga Broadcast and Saga of Iowa under the Stock Pledge Agreements, there are no outstanding commitments, options, warrants, calls or other agreements (whether written or oral) binding on any Principal Company to issue, sell, grant, transfer, assign, mortgage, pledge or otherwise dispose of any Capital Stock of any Restricted Subsidiary. No shares of Capital Stock of any Restricted Subsidiary are subject to (A) any restrictions on transfer pursuant to any Governing Documents of such Restricted Subsidiary, or</w:t>
      </w:r>
    </w:p>
    <w:p>
      <w:pPr>
        <w:spacing w:after="0" w:line="7" w:lineRule="exact"/>
        <w:rPr>
          <w:rFonts w:ascii="Courier New" w:cs="Courier New" w:eastAsia="Courier New" w:hAnsi="Courier New"/>
          <w:sz w:val="14"/>
          <w:szCs w:val="14"/>
          <w:color w:val="auto"/>
        </w:rPr>
      </w:pPr>
    </w:p>
    <w:p>
      <w:pPr>
        <w:ind w:right="3319" w:firstLine="10"/>
        <w:spacing w:after="0" w:line="277" w:lineRule="auto"/>
        <w:tabs>
          <w:tab w:leader="none" w:pos="35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shareholders agreements, voting trusts, voting agreements, trust agreements, trust deeds, irrevocable proxies or any other similar agreements or instruments (whether written or oral). The Principal Companies shall promptly notify the Agent in writing of any changes which would make any of the representations set forth in this SECTION 4.1 untrue, inaccurate or incomplete.</w:t>
      </w:r>
    </w:p>
    <w:p>
      <w:pPr>
        <w:spacing w:after="0" w:line="68"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Section 4.2. POWER; AUTHORITY; CONSENTS; NO CONFLICTS. Each of the Principal Companies has the power and corporate authority to execute and deliver the Transaction Documents and to perform the Loan Documents and the Ancillary Documents to which it is a party. The Borrower has the power to borrow and request Letters of Credit hereunder and has taken all necessary action to authorize the borrowings and requests for Letters of Credit hereunder on the terms and conditions of this Agreement. Each of the Principal Companies has taken all necessary action, corporate or otherwise, to authorize the execution and delivery of the Transaction Documents and the performance of the Loan Documents and the Ancillary Documents to which it is a party. The execution and delivery by each Principal Company of each of the Transaction Documents and the performance of each of the Loan Documents and each of the Ancillary Documents to which it is or is to become a party do not and will not (i) contravene or result in a breach of any Requirement of Law, (ii) conflict with or result in a breach of or (with the giving of notice or lapse of time, or both) a default under any Contractual Obligation of any Principal Company, or (iii) result in or require the creation of any Lien on any Assets of any Principal Company, except for Liens created pursuant to the Security</w:t>
      </w:r>
    </w:p>
    <w:p>
      <w:pPr>
        <w:sectPr>
          <w:pgSz w:w="11900" w:h="16838" w:orient="portrait"/>
          <w:cols w:equalWidth="0" w:num="1">
            <w:col w:w="10239"/>
          </w:cols>
          <w:pgMar w:left="220" w:top="26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73</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65</w:t>
      </w:r>
    </w:p>
    <w:p>
      <w:pPr>
        <w:spacing w:after="0" w:line="140" w:lineRule="exact"/>
        <w:rPr>
          <w:sz w:val="20"/>
          <w:szCs w:val="20"/>
          <w:color w:val="auto"/>
        </w:rPr>
      </w:pPr>
    </w:p>
    <w:p>
      <w:pPr>
        <w:ind w:right="3319"/>
        <w:spacing w:after="0" w:line="269" w:lineRule="auto"/>
        <w:rPr>
          <w:sz w:val="20"/>
          <w:szCs w:val="20"/>
          <w:color w:val="auto"/>
        </w:rPr>
      </w:pPr>
      <w:r>
        <w:rPr>
          <w:rFonts w:ascii="Courier New" w:cs="Courier New" w:eastAsia="Courier New" w:hAnsi="Courier New"/>
          <w:sz w:val="14"/>
          <w:szCs w:val="14"/>
          <w:color w:val="auto"/>
        </w:rPr>
        <w:t>Documents. No consent or approval of any Person, no waiver of any Lien or right of distraint or other similar right and no consent, license, certificate of need, approval, authorization or declaration of any Governmental Authority, including the FCC, is or will be required in connection with the Transaction, the execution and delivery by the Principal Companies of the Transaction Documents or the performance of the Loan Documents and the Ancillary Documents, or the validity, enforcement or priority of the Loan Documents or any Lien created and granted thereunder, except as set forth on SCHEDULE 4.2, each of which either has been duly and validly obtained on or prior to the date hereof and is now in full force and effect.</w:t>
      </w:r>
    </w:p>
    <w:p>
      <w:pPr>
        <w:spacing w:after="0" w:line="73"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Section 4.3. DUE EXECUTION, VALIDITY AND ENFORCEABILITY. Each Transaction Document has been duly executed and delivered by each Principal Company which is a party thereto and each of the Loan Documents and the Ancillary Documents constitutes the legal, valid and binding obligation of such Principal Company, enforceable in accordance with its terms, except as such enforceability may be limited by bankruptcy, insolvency, moratorium, reorganization or other similar laws affecting generally the enforcement of creditors' rights or by general principles of public policy and except to the extent that the availability of the remedy of specific performance or injunctive relief is subject to the discretion of the court before which any proceeding therefor may be brought.</w:t>
      </w:r>
    </w:p>
    <w:p>
      <w:pPr>
        <w:spacing w:after="0" w:line="7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4.4. PRIORITY OF LIENS; CONDITION OF ASSETS.</w:t>
      </w:r>
    </w:p>
    <w:p>
      <w:pPr>
        <w:spacing w:after="0" w:line="166" w:lineRule="exact"/>
        <w:rPr>
          <w:sz w:val="20"/>
          <w:szCs w:val="20"/>
          <w:color w:val="auto"/>
        </w:rPr>
      </w:pPr>
    </w:p>
    <w:p>
      <w:pPr>
        <w:ind w:right="3319" w:firstLine="534"/>
        <w:spacing w:after="0" w:line="260" w:lineRule="auto"/>
        <w:tabs>
          <w:tab w:leader="none" w:pos="87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Assets owned by each Principal Company are owned by it free and clear of any Lien, except Liens permitted by SECTION 9.2. Each of the Principal Companies has granted to the Collateral Trustee a perfected first-priority security interest (to the maximum extent permitted by applicable law and subject only to Liens permitted by Section 9.2) in all of its Assets, other than those Assets described on SCHEDULE 4.4(a) or excluded by the express terms of the Security Documents (any such Assets which are not so described on SCHEDULE 4.4(a) and are not so excluded by the express terms of the Security Documents are sometimes referred to herein as the "PERFECTED COLLATERAL"). The Liens which have been created and granted by the Security Documents, to the extent such Liens may be perfected by filing a financing statement under the Uniform Commercial Code of the applicable jurisdiction, or by recording an assignment or other appropriate documents with the U.S. Patent and Trademark Office or the United States Copyright Office, or by taking possession of securities or instruments, or by recording a mortgage or deed of trust in the real estate records of the applicable jurisdiction, constitute valid perfected first-priority Liens on the Perfected Collateral, subject to no prior or equal Lien except as permitted by SECTION 9.2. All Assets of each Principal Company which are reasonably necessary for the operation of its business are in good working condition, ordinary wear and tear excepted, and are able to serve the function for which they are currently being used. Each Principal Company enjoys peaceful and undisturbed possession under all</w:t>
      </w:r>
    </w:p>
    <w:p>
      <w:pPr>
        <w:sectPr>
          <w:pgSz w:w="11900" w:h="16838" w:orient="portrait"/>
          <w:cols w:equalWidth="0" w:num="1">
            <w:col w:w="10239"/>
          </w:cols>
          <w:pgMar w:left="220" w:top="26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74</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66</w:t>
      </w:r>
    </w:p>
    <w:p>
      <w:pPr>
        <w:spacing w:after="0" w:line="140" w:lineRule="exact"/>
        <w:rPr>
          <w:sz w:val="20"/>
          <w:szCs w:val="20"/>
          <w:color w:val="auto"/>
        </w:rPr>
      </w:pPr>
    </w:p>
    <w:p>
      <w:pPr>
        <w:ind w:right="3499"/>
        <w:spacing w:after="0" w:line="381" w:lineRule="auto"/>
        <w:rPr>
          <w:sz w:val="20"/>
          <w:szCs w:val="20"/>
          <w:color w:val="auto"/>
        </w:rPr>
      </w:pPr>
      <w:r>
        <w:rPr>
          <w:rFonts w:ascii="Courier New" w:cs="Courier New" w:eastAsia="Courier New" w:hAnsi="Courier New"/>
          <w:sz w:val="14"/>
          <w:szCs w:val="14"/>
          <w:color w:val="auto"/>
        </w:rPr>
        <w:t>material leases of real and personal property to which it is a party, and all such material leases are valid and subsisting and in full force and effect.</w:t>
      </w:r>
    </w:p>
    <w:p>
      <w:pPr>
        <w:spacing w:after="0" w:line="1" w:lineRule="exact"/>
        <w:rPr>
          <w:sz w:val="20"/>
          <w:szCs w:val="20"/>
          <w:color w:val="auto"/>
        </w:rPr>
      </w:pPr>
    </w:p>
    <w:p>
      <w:pPr>
        <w:ind w:right="3319" w:firstLine="534"/>
        <w:spacing w:after="0" w:line="274" w:lineRule="auto"/>
        <w:tabs>
          <w:tab w:leader="none" w:pos="875"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Companies are not engaged in any business or activities other than (i) holding shares of capital stock of other Principal Companies,</w:t>
      </w:r>
    </w:p>
    <w:p>
      <w:pPr>
        <w:ind w:right="3679" w:firstLine="10"/>
        <w:spacing w:after="0" w:line="272" w:lineRule="auto"/>
        <w:tabs>
          <w:tab w:leader="none" w:pos="43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owning, operating and disposing of Stations and engaging in Permitted LMA Transactions and (iii) making other Investments permitted by Section 9.4.</w:t>
      </w:r>
    </w:p>
    <w:p>
      <w:pPr>
        <w:spacing w:after="0" w:line="69" w:lineRule="exact"/>
        <w:rPr>
          <w:rFonts w:ascii="Courier New" w:cs="Courier New" w:eastAsia="Courier New" w:hAnsi="Courier New"/>
          <w:sz w:val="15"/>
          <w:szCs w:val="15"/>
          <w:color w:val="auto"/>
        </w:rPr>
      </w:pPr>
    </w:p>
    <w:p>
      <w:pPr>
        <w:ind w:right="3399" w:firstLine="534"/>
        <w:spacing w:after="0" w:line="344" w:lineRule="auto"/>
        <w:tabs>
          <w:tab w:leader="none" w:pos="875"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material instrument held by any Principal Company as of the effectiveness of this Agreement is the Christian Note.</w:t>
      </w:r>
    </w:p>
    <w:p>
      <w:pPr>
        <w:spacing w:after="0" w:line="17" w:lineRule="exact"/>
        <w:rPr>
          <w:sz w:val="20"/>
          <w:szCs w:val="20"/>
          <w:color w:val="auto"/>
        </w:rPr>
      </w:pPr>
    </w:p>
    <w:p>
      <w:pPr>
        <w:ind w:right="3499" w:firstLine="525"/>
        <w:spacing w:after="0" w:line="250" w:lineRule="auto"/>
        <w:rPr>
          <w:sz w:val="20"/>
          <w:szCs w:val="20"/>
          <w:color w:val="auto"/>
        </w:rPr>
      </w:pPr>
      <w:r>
        <w:rPr>
          <w:rFonts w:ascii="Courier New" w:cs="Courier New" w:eastAsia="Courier New" w:hAnsi="Courier New"/>
          <w:sz w:val="15"/>
          <w:szCs w:val="15"/>
          <w:color w:val="auto"/>
        </w:rPr>
        <w:t>Section 4.5. JUDGMENTS, ACTIONS, PROCEEDINGS. There are no outstanding judgments, actions or proceedings, including any Environmental Proceeding, pending before any Governmental Authority (including the FCC) with respect to or, to the best of the Principal Companies' knowledge, threatened against or affecting any Principal Company or any Assets of any Principal Company (including any Assets to be acquired and any obligations to be assumed in any Permitted Acquisition) which, if adversely determined, could (either individually or in the aggregate) reasonably be expected to have a Material Adverse Effect.</w:t>
      </w:r>
    </w:p>
    <w:p>
      <w:pPr>
        <w:spacing w:after="0" w:line="89" w:lineRule="exact"/>
        <w:rPr>
          <w:sz w:val="20"/>
          <w:szCs w:val="20"/>
          <w:color w:val="auto"/>
        </w:rPr>
      </w:pPr>
    </w:p>
    <w:p>
      <w:pPr>
        <w:ind w:right="3239" w:firstLine="525"/>
        <w:spacing w:after="0" w:line="276" w:lineRule="auto"/>
        <w:rPr>
          <w:sz w:val="20"/>
          <w:szCs w:val="20"/>
          <w:color w:val="auto"/>
        </w:rPr>
      </w:pPr>
      <w:r>
        <w:rPr>
          <w:rFonts w:ascii="Courier New" w:cs="Courier New" w:eastAsia="Courier New" w:hAnsi="Courier New"/>
          <w:sz w:val="14"/>
          <w:szCs w:val="14"/>
          <w:color w:val="auto"/>
        </w:rPr>
        <w:t>Section 4.6. NO DEFAULTS; COMPLIANCE WITH LAWS. No Default or Event of Default is continuing. No Principal Company is in default under or has failed to comply with any Requirement of Law or any Contractual Obligation to which it or any of its Assets are bound, except for such defaults or failures which could not reasonably be expected to have a Material Adverse Effect. Each Principal Company has complied and is in compliance in all respects with each of its Governing Documents and in all material respects with the Communications Act.</w:t>
      </w:r>
    </w:p>
    <w:p>
      <w:pPr>
        <w:spacing w:after="0" w:line="69"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Section 4.7. BURDENSOME DOCUMENTS. Except as set forth on SCHEDULE 4.7, no Principal Company is a party to or bound by, and no Assets of any Principal Company are affected by, any Requirement of Law or any Contractual Obligation which could have a Material Adverse Effect.</w:t>
      </w:r>
    </w:p>
    <w:p>
      <w:pPr>
        <w:spacing w:after="0" w:line="68" w:lineRule="exact"/>
        <w:rPr>
          <w:sz w:val="20"/>
          <w:szCs w:val="20"/>
          <w:color w:val="auto"/>
        </w:rPr>
      </w:pPr>
    </w:p>
    <w:p>
      <w:pPr>
        <w:ind w:right="3399" w:firstLine="525"/>
        <w:spacing w:after="0" w:line="381" w:lineRule="auto"/>
        <w:rPr>
          <w:sz w:val="20"/>
          <w:szCs w:val="20"/>
          <w:color w:val="auto"/>
        </w:rPr>
      </w:pPr>
      <w:r>
        <w:rPr>
          <w:rFonts w:ascii="Courier New" w:cs="Courier New" w:eastAsia="Courier New" w:hAnsi="Courier New"/>
          <w:sz w:val="14"/>
          <w:szCs w:val="14"/>
          <w:color w:val="auto"/>
        </w:rPr>
        <w:t>Section 4.8. GOVERNING DOCUMENTS. The Agent has been furnished with true and complete copies of all Governing Documents of each Principal Company.</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4.9. FINANCIAL INFORMATION.</w:t>
      </w:r>
    </w:p>
    <w:p>
      <w:pPr>
        <w:spacing w:after="0" w:line="166" w:lineRule="exact"/>
        <w:rPr>
          <w:sz w:val="20"/>
          <w:szCs w:val="20"/>
          <w:color w:val="auto"/>
        </w:rPr>
      </w:pPr>
    </w:p>
    <w:p>
      <w:pPr>
        <w:ind w:right="3239" w:firstLine="534"/>
        <w:spacing w:after="0" w:line="258" w:lineRule="auto"/>
        <w:tabs>
          <w:tab w:leader="none" w:pos="87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All balance sheets, all statements of operations and of cash flows, and all other financial statements which have been furnished by or on behalf of any of the Principal Companies to the Agent or any Lender for the purposes of or in connection with this Agreement or any transaction contemplated hereby, including the audited consolidated and consolidating balance sheets of the Borrower and its Subsidiaries at December</w:t>
      </w:r>
    </w:p>
    <w:p>
      <w:pPr>
        <w:sectPr>
          <w:pgSz w:w="11900" w:h="16838" w:orient="portrait"/>
          <w:cols w:equalWidth="0" w:num="1">
            <w:col w:w="10239"/>
          </w:cols>
          <w:pgMar w:left="220" w:top="26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75</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67</w:t>
      </w:r>
    </w:p>
    <w:p>
      <w:pPr>
        <w:spacing w:after="0" w:line="140" w:lineRule="exact"/>
        <w:rPr>
          <w:sz w:val="20"/>
          <w:szCs w:val="20"/>
          <w:color w:val="auto"/>
        </w:rPr>
      </w:pPr>
    </w:p>
    <w:p>
      <w:pPr>
        <w:ind w:right="3319"/>
        <w:spacing w:after="0" w:line="266" w:lineRule="auto"/>
        <w:rPr>
          <w:sz w:val="20"/>
          <w:szCs w:val="20"/>
          <w:color w:val="auto"/>
        </w:rPr>
      </w:pPr>
      <w:r>
        <w:rPr>
          <w:rFonts w:ascii="Courier New" w:cs="Courier New" w:eastAsia="Courier New" w:hAnsi="Courier New"/>
          <w:sz w:val="14"/>
          <w:szCs w:val="14"/>
          <w:color w:val="auto"/>
        </w:rPr>
        <w:t>31, 1997 and the related audited consolidated and consolidating statements of operations and cash flows for the fiscal year of the Borrower then ended, certified, in the case of the consolidated statements, by Ernst &amp; Young (collectively, together with the notes thereto, the "HISTORICAL FINANCIALS"), have been prepared in accordance with GAAP consistently applied throughout the periods involved (except as disclosed therein) and present fairly the financial position and the results of operations of the Borrower and its Subsidiaries and of the Borrower and its Restricted Subsidiaries as at the date thereof and for the periods then ended. None of the Principal Companies has any material contingent liability or liabilities for taxes, long-term leases or unusual forward or long-term commitments as of the date hereof which are not reflected in the Historical Financials or in the notes thereto.</w:t>
      </w:r>
    </w:p>
    <w:p>
      <w:pPr>
        <w:spacing w:after="0" w:line="77" w:lineRule="exact"/>
        <w:rPr>
          <w:sz w:val="20"/>
          <w:szCs w:val="20"/>
          <w:color w:val="auto"/>
        </w:rPr>
      </w:pPr>
    </w:p>
    <w:p>
      <w:pPr>
        <w:ind w:right="3319" w:firstLine="534"/>
        <w:spacing w:after="0" w:line="273" w:lineRule="auto"/>
        <w:tabs>
          <w:tab w:leader="none" w:pos="87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PROJECTIONS. The Projections have been prepared on the basis of the assumptions accompanying them and reflect as of the date thereof the Borrower's good faith projections, after reasonable analysis, of the matters set forth therein, based on such assumptions.</w:t>
      </w:r>
    </w:p>
    <w:p>
      <w:pPr>
        <w:spacing w:after="0" w:line="68"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Section 4.10. NO MATERIAL CHANGES. Since the Balance Sheet Date, there has been no change, and no development or event involving a prospective change in the Assets, business, operations, prospects or condition, financial or otherwise, of any Principal Company, which has had or could reasonably be expected to have a Material Adverse Effect.</w:t>
      </w:r>
    </w:p>
    <w:p>
      <w:pPr>
        <w:spacing w:after="0" w:line="75"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Section 4.11. TAXES. Each Principal Company has filed all returns for Taxes required to be filed by it and has not failed to pay any Taxes, or interest or penalties relating thereto, on or before the due dates thereof. Except as set forth on SCHEDULE 4.11: (i) as of the date hereof, there are no material liabilities for Taxes of any Principal Company due or to become due and</w:t>
      </w:r>
    </w:p>
    <w:p>
      <w:pPr>
        <w:spacing w:after="0" w:line="1" w:lineRule="exact"/>
        <w:rPr>
          <w:sz w:val="20"/>
          <w:szCs w:val="20"/>
          <w:color w:val="auto"/>
        </w:rPr>
      </w:pPr>
    </w:p>
    <w:p>
      <w:pPr>
        <w:ind w:right="3319" w:firstLine="10"/>
        <w:spacing w:after="0" w:line="260" w:lineRule="auto"/>
        <w:tabs>
          <w:tab w:leader="none" w:pos="43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material claims pending or, to the knowledge of the Borrower, proposed or threatened against any Principal Company for past Taxes, except those, if any, as to which proper reserves are reflected in the Financial Statements.</w:t>
      </w:r>
    </w:p>
    <w:p>
      <w:pPr>
        <w:spacing w:after="0" w:line="79"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Section 4.12. INTANGIBLE ASSETS. Each Principal Company possesses all patents, Trademarks, Copyrights and rights with respect to the foregoing reasonably necessary to conduct its business as now conducted and as proposed to be conducted, without any known conflict with the patents, Trademarks, Copyrights and rights with respect to the foregoing of any other Person.</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4.13. LICENSES AND APPROVALS.</w:t>
      </w:r>
    </w:p>
    <w:p>
      <w:pPr>
        <w:spacing w:after="0" w:line="166" w:lineRule="exact"/>
        <w:rPr>
          <w:sz w:val="20"/>
          <w:szCs w:val="20"/>
          <w:color w:val="auto"/>
        </w:rPr>
      </w:pPr>
    </w:p>
    <w:p>
      <w:pPr>
        <w:ind w:right="3399" w:firstLine="534"/>
        <w:spacing w:after="0" w:line="273" w:lineRule="auto"/>
        <w:tabs>
          <w:tab w:leader="none" w:pos="875"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Principal Company has all requisite power and authority and necessary licenses and permits, including all FCC Licenses, to own and operate the Assets (including Stations) owned or operated by it and to carry on its businesses as now conducted.</w:t>
      </w:r>
    </w:p>
    <w:p>
      <w:pPr>
        <w:sectPr>
          <w:pgSz w:w="11900" w:h="16838" w:orient="portrait"/>
          <w:cols w:equalWidth="0" w:num="1">
            <w:col w:w="10239"/>
          </w:cols>
          <w:pgMar w:left="220" w:top="26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76</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pacing w:after="0" w:line="140" w:lineRule="exact"/>
        <w:rPr>
          <w:sz w:val="20"/>
          <w:szCs w:val="20"/>
          <w:color w:val="auto"/>
        </w:rPr>
      </w:pPr>
    </w:p>
    <w:p>
      <w:pPr>
        <w:ind w:right="3239" w:firstLine="534"/>
        <w:spacing w:after="0" w:line="263" w:lineRule="auto"/>
        <w:tabs>
          <w:tab w:leader="none" w:pos="8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forth in SCHEDULE 4.13 is a complete list of all FCC Licenses of the Principal Companies as of the date hereof. Each FCC License which is necessary to the operation of the business of any Principal Company is validly issued and in full force and effect or to the extent described in SCHEDULE 4.13, special temporary authority has been sought from the FCC to operate the facilities for which such FCC authority is required. Each Principal Company has fulfilled and performed all of its obligations in all material respects with respect to each such FCC License. No events or occurrences have occurred which individually or in the aggregate: (i) have resulted in the revocation or termination of any such FCC License, or (ii) materially and adversely affect or could reasonably be expected to materially adversely affect any of the rights of any Principal Company thereunder. Except as set forth on SCHEDULE 4.13, as of the date hereof, no license or franchise, other than the FCC Licenses described in SCHEDULE 4.13, is necessary for the operation of the business (including the Stations) of the Principal Companies as now conducted.</w:t>
      </w:r>
    </w:p>
    <w:p>
      <w:pPr>
        <w:spacing w:after="0" w:line="84" w:lineRule="exact"/>
        <w:rPr>
          <w:rFonts w:ascii="Courier New" w:cs="Courier New" w:eastAsia="Courier New" w:hAnsi="Courier New"/>
          <w:sz w:val="14"/>
          <w:szCs w:val="14"/>
          <w:color w:val="auto"/>
        </w:rPr>
      </w:pPr>
    </w:p>
    <w:p>
      <w:pPr>
        <w:ind w:right="3239" w:firstLine="534"/>
        <w:spacing w:after="0" w:line="265" w:lineRule="auto"/>
        <w:tabs>
          <w:tab w:leader="none" w:pos="8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Principal Company is a party to nor does any Principal Company have knowledge of any investigation, notice of violation, order or complaint issued by or before any Governmental Authority, including the FCC, or of any other proceedings (other than proceedings relating to the communications industry generally) which could (individually or in the aggregate) reasonably be expected to have a Material Adverse Effect. No Principal Company has reason to believe (other than in connection with there being no legal assurance thereof) that any of the FCC Licenses necessary to the operation of the business of any Principal Company will not be renewed in the ordinary course. Each Principal Company has filed all material reports, applications, documents, instruments and information required to be filed by it pursuant to applicable rules and regulations or requests of every regulatory body having jurisdiction over any of its FCC Licenses or the activities of the Principal Companies with respect thereto.</w:t>
      </w:r>
    </w:p>
    <w:p>
      <w:pPr>
        <w:spacing w:after="0" w:line="78" w:lineRule="exact"/>
        <w:rPr>
          <w:sz w:val="20"/>
          <w:szCs w:val="20"/>
          <w:color w:val="auto"/>
        </w:rPr>
      </w:pPr>
    </w:p>
    <w:p>
      <w:pPr>
        <w:ind w:right="3239" w:firstLine="525"/>
        <w:spacing w:after="0" w:line="244" w:lineRule="auto"/>
        <w:rPr>
          <w:sz w:val="20"/>
          <w:szCs w:val="20"/>
          <w:color w:val="auto"/>
        </w:rPr>
      </w:pPr>
      <w:r>
        <w:rPr>
          <w:rFonts w:ascii="Courier New" w:cs="Courier New" w:eastAsia="Courier New" w:hAnsi="Courier New"/>
          <w:sz w:val="15"/>
          <w:szCs w:val="15"/>
          <w:color w:val="auto"/>
        </w:rPr>
        <w:t>Section 4.14. ENVIRONMENTAL COMPLIANCE. Each of the Borrower Affiliated Companies has obtained all environmental, health and safety permits, licenses and other authorizations required under all applicable Environmental Laws to carry on its business as now being or as proposed to be conducted, except to the extent failure to have any such permit, license or authorization would not (either individually or in the aggregate) reasonably be expected to have a Material Adverse Effect. Each of such permits, licenses and authorizations is in full force and effect and each of the Borrower Affiliated Companies is in compliance with the terms and conditions thereof, and is also in compliance with all other limitations, restrictions, conditions, standards, prohibitions, requirements, obligations, schedules and timetables contained in any applicable Environmental Law or in any regulation, code, plan, order, decree, judgment, injunction, notice or demand letter issued, entered, promulgated or approved thereunder, except to the extent failure to comply therewith would not (either individually or in the aggregate) reasonably be expected to have a Material Adverse Effect. On the date hereof, except as set forth in SCHEDULE 4.14 hereto, there are no underground storage tanks or</w:t>
      </w:r>
    </w:p>
    <w:p>
      <w:pPr>
        <w:sectPr>
          <w:pgSz w:w="11900" w:h="16838" w:orient="portrait"/>
          <w:cols w:equalWidth="0" w:num="1">
            <w:col w:w="10239"/>
          </w:cols>
          <w:pgMar w:left="220" w:top="26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77</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69</w:t>
      </w:r>
    </w:p>
    <w:p>
      <w:pPr>
        <w:spacing w:after="0" w:line="140"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surface impoundments for Hazardous Substances, active or abandoned, at any site or facility owned, operated or leased by the Borrower.</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4.15. EMPLOYEE BENEFIT PLANS.</w:t>
      </w:r>
    </w:p>
    <w:p>
      <w:pPr>
        <w:spacing w:after="0" w:line="166" w:lineRule="exact"/>
        <w:rPr>
          <w:sz w:val="20"/>
          <w:szCs w:val="20"/>
          <w:color w:val="auto"/>
        </w:rPr>
      </w:pPr>
    </w:p>
    <w:p>
      <w:pPr>
        <w:ind w:left="1060" w:hanging="526"/>
        <w:spacing w:after="0"/>
        <w:tabs>
          <w:tab w:leader="none" w:pos="10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w:t>
      </w:r>
    </w:p>
    <w:p>
      <w:pPr>
        <w:spacing w:after="0" w:line="166" w:lineRule="exact"/>
        <w:rPr>
          <w:rFonts w:ascii="Courier New" w:cs="Courier New" w:eastAsia="Courier New" w:hAnsi="Courier New"/>
          <w:sz w:val="15"/>
          <w:szCs w:val="15"/>
          <w:color w:val="auto"/>
        </w:rPr>
      </w:pPr>
    </w:p>
    <w:p>
      <w:pPr>
        <w:ind w:left="540" w:right="3319" w:firstLine="519"/>
        <w:spacing w:after="0" w:line="273" w:lineRule="auto"/>
        <w:tabs>
          <w:tab w:leader="none" w:pos="159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Benefit Plan of each of the Principal Companies has been maintained and operated in compliance in all material respects with the applicable provisions of ERISA and the Code, including the provisions thereunder respecting prohibited transactions. Each Principal Company has heretofore delivered to the Agent the most recently completed annual report, Form 5500, with all required attachments, and actuarial statement required to be submitted under ss.103(d) of ERISA, with respect to each Guaranteed Pension Plan.</w:t>
      </w:r>
    </w:p>
    <w:p>
      <w:pPr>
        <w:spacing w:after="0" w:line="70" w:lineRule="exact"/>
        <w:rPr>
          <w:rFonts w:ascii="Courier New" w:cs="Courier New" w:eastAsia="Courier New" w:hAnsi="Courier New"/>
          <w:sz w:val="14"/>
          <w:szCs w:val="14"/>
          <w:color w:val="auto"/>
        </w:rPr>
      </w:pPr>
    </w:p>
    <w:p>
      <w:pPr>
        <w:ind w:left="540" w:right="3319" w:firstLine="519"/>
        <w:spacing w:after="0" w:line="290" w:lineRule="auto"/>
        <w:tabs>
          <w:tab w:leader="none" w:pos="159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4.15, as of the date hereof, is a list of each material pension, retirement or similar plan or obligation of the Principal Companies.</w:t>
      </w:r>
    </w:p>
    <w:p>
      <w:pPr>
        <w:spacing w:after="0" w:line="56" w:lineRule="exact"/>
        <w:rPr>
          <w:rFonts w:ascii="Courier New" w:cs="Courier New" w:eastAsia="Courier New" w:hAnsi="Courier New"/>
          <w:sz w:val="15"/>
          <w:szCs w:val="15"/>
          <w:color w:val="auto"/>
        </w:rPr>
      </w:pPr>
    </w:p>
    <w:p>
      <w:pPr>
        <w:ind w:right="3239" w:firstLine="534"/>
        <w:spacing w:after="0" w:line="258" w:lineRule="auto"/>
        <w:tabs>
          <w:tab w:leader="none" w:pos="104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RETIREE WELFARE OBLIGATIONS. The Principal Companies are not obliged to provide health or life benefits to employees beyond their termination of employment (other than as mandated by law) under any Employee Benefit Plan which is a welfare plan within the meaning of Section 3(1) of ERISA to an extent that would impair their ability to make timely the payments provided for under this Agreement.</w:t>
      </w:r>
    </w:p>
    <w:p>
      <w:pPr>
        <w:spacing w:after="0" w:line="81" w:lineRule="exact"/>
        <w:rPr>
          <w:rFonts w:ascii="Courier New" w:cs="Courier New" w:eastAsia="Courier New" w:hAnsi="Courier New"/>
          <w:sz w:val="15"/>
          <w:szCs w:val="15"/>
          <w:color w:val="auto"/>
        </w:rPr>
      </w:pPr>
    </w:p>
    <w:p>
      <w:pPr>
        <w:ind w:right="3239" w:firstLine="534"/>
        <w:spacing w:after="0" w:line="262" w:lineRule="auto"/>
        <w:tabs>
          <w:tab w:leader="none" w:pos="104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GUARANTEED PENSION PLANS. Each contribution required to be made to a Guaranteed Pension Plan, whether required to be made to avoid the incurrence of an accumulated funding deficiency, the notice or lien provisions of ss.302(f)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on a timely basis) has been incurred by any of the Principal Companies or any ERISA Affiliate with respect to any Guaranteed Pension Plan, and there has not been any ERISA Reportable Event (other than an event as to which the requirement of 30 days notice has been waived), or any other event or condition, which presents a material risk of termination of any Guaranteed Pension Plan by the PBGC. Based on the latest valuation of each Guaranteed Pension Plan and on the actuarial methods and assumptions employed for that valuation, the aggregate accrued benefits of all such Guaranteed Pension Plans did not exceed the aggregate value of the assets of all such Plans by more than $100,000 Dollars, disregarding for this purpose the accrued benefits and assets of any Guaranteed Pension Plan with assets in excess of accrued benefits.</w:t>
      </w:r>
    </w:p>
    <w:p>
      <w:pPr>
        <w:sectPr>
          <w:pgSz w:w="11900" w:h="16838" w:orient="portrait"/>
          <w:cols w:equalWidth="0" w:num="1">
            <w:col w:w="10239"/>
          </w:cols>
          <w:pgMar w:left="220" w:top="26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78</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pacing w:after="0" w:line="309" w:lineRule="exact"/>
        <w:rPr>
          <w:sz w:val="20"/>
          <w:szCs w:val="20"/>
          <w:color w:val="auto"/>
        </w:rPr>
      </w:pPr>
    </w:p>
    <w:p>
      <w:pPr>
        <w:ind w:right="3239" w:firstLine="534"/>
        <w:spacing w:after="0" w:line="250" w:lineRule="auto"/>
        <w:tabs>
          <w:tab w:leader="none" w:pos="87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PLANS. None of the Principal Companies or any ERISA Affiliate has incurred any unpaid material liability (including secondary liability) to any Multiemployer Plan as a result of a complete or partial withdrawal from such Multiemployer Plan under ss.4201 of ERISA or as a result of a sale of assets described in ss.4204 of ERISA. None of the Principal Companies or any ERISA Affiliate has been notified that any Multiemployer Plan is in reorganization or insolvent under and within the meaning of ss.4241 or ss.4245 of ERISA or that any Multiemployer Plan intends to terminate or has been terminated under ss.4041A of ERISA.</w:t>
      </w:r>
    </w:p>
    <w:p>
      <w:pPr>
        <w:spacing w:after="0" w:line="89" w:lineRule="exact"/>
        <w:rPr>
          <w:sz w:val="20"/>
          <w:szCs w:val="20"/>
          <w:color w:val="auto"/>
        </w:rPr>
      </w:pPr>
    </w:p>
    <w:p>
      <w:pPr>
        <w:ind w:right="3319" w:firstLine="525"/>
        <w:spacing w:after="0" w:line="270" w:lineRule="auto"/>
        <w:rPr>
          <w:sz w:val="20"/>
          <w:szCs w:val="20"/>
          <w:color w:val="auto"/>
        </w:rPr>
      </w:pPr>
      <w:r>
        <w:rPr>
          <w:rFonts w:ascii="Courier New" w:cs="Courier New" w:eastAsia="Courier New" w:hAnsi="Courier New"/>
          <w:sz w:val="14"/>
          <w:szCs w:val="14"/>
          <w:color w:val="auto"/>
        </w:rPr>
        <w:t>Section 4.16. LABOR DISPUTES; COLLECTIVE BARGAINING AGREEMENTS; EMPLOYEE GRIEVANCES. As of the date hereof, except as set forth on SCHEDULE 4.16: (a) there are no collective bargaining agreements or other labor contracts covering any Principal Company or any Station; (b) no such collective bargaining agreement or other labor contract will expire prior to the Maturity Date; (c) there is no pending or threatened Material Labor Dispute against or affecting any Principal Company or any Station or its representative employees; and (d) each Principal Company has complied with, is in compliance with and will continue to comply with the provisions of the Fair Labor Standards Act.</w:t>
      </w:r>
    </w:p>
    <w:p>
      <w:pPr>
        <w:spacing w:after="0" w:line="76" w:lineRule="exact"/>
        <w:rPr>
          <w:sz w:val="20"/>
          <w:szCs w:val="20"/>
          <w:color w:val="auto"/>
        </w:rPr>
      </w:pPr>
    </w:p>
    <w:p>
      <w:pPr>
        <w:jc w:val="both"/>
        <w:ind w:right="3319" w:firstLine="525"/>
        <w:spacing w:after="0" w:line="267" w:lineRule="auto"/>
        <w:rPr>
          <w:sz w:val="20"/>
          <w:szCs w:val="20"/>
          <w:color w:val="auto"/>
        </w:rPr>
      </w:pPr>
      <w:r>
        <w:rPr>
          <w:rFonts w:ascii="Courier New" w:cs="Courier New" w:eastAsia="Courier New" w:hAnsi="Courier New"/>
          <w:sz w:val="14"/>
          <w:szCs w:val="14"/>
          <w:color w:val="auto"/>
        </w:rPr>
        <w:t>Section 4.17. INSURANCE. Each Principal Company has obtained all property and liability insurance with reputable insurance companies satisfactory to the Agent insuring against such risks and in such amounts as required by Section</w:t>
      </w:r>
    </w:p>
    <w:p>
      <w:pPr>
        <w:spacing w:after="0" w:line="1" w:lineRule="exact"/>
        <w:rPr>
          <w:sz w:val="20"/>
          <w:szCs w:val="20"/>
          <w:color w:val="auto"/>
        </w:rPr>
      </w:pPr>
    </w:p>
    <w:p>
      <w:pPr>
        <w:ind w:right="3239"/>
        <w:spacing w:after="0" w:line="241" w:lineRule="auto"/>
        <w:rPr>
          <w:sz w:val="20"/>
          <w:szCs w:val="20"/>
          <w:color w:val="auto"/>
        </w:rPr>
      </w:pPr>
      <w:r>
        <w:rPr>
          <w:rFonts w:ascii="Courier New" w:cs="Courier New" w:eastAsia="Courier New" w:hAnsi="Courier New"/>
          <w:sz w:val="15"/>
          <w:szCs w:val="15"/>
          <w:color w:val="auto"/>
        </w:rPr>
        <w:t>8.5. Set forth on SCHEDULE 4.17 is a true, correct and complete list, as of the Effective Date, of all insurance of any nature maintained by each Principal Company (including all material fire, theft, casualty, general liability, workers compensation, business interruption, automobile and other insurance policies insuring the Assets or business operations of each Principal Company), specifying the type of coverage, the amount of coverage, the premium, the insurer and the expiration date of each such policy (collectively, the "INSURANCE POLICIES"). True, correct and complete copies of all of the Insurance Policies have been made available by the Borrower to the Agent. All the Insurance Policies are in full force and effect. All premiums (if any) due on the Insurance Policies or renewals thereof have been paid and there is no default under any of the Insurance Policies. None of the Principal Companies have received any notice or other communication from any issuer of the Insurance Policies canceling or materially amending any of the Insurance Policies, any deductibles or retained amounts thereunder, or the annual or other premiums payable thereunder, and no such cancellation or material amendment is threatened.</w:t>
      </w:r>
    </w:p>
    <w:p>
      <w:pPr>
        <w:spacing w:after="0" w:line="101"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Section 4.18. ABSENCE OF CERTAIN RESTRICTIONS. As of the date hereof, no Principal Company is bound by any Contractual Obligation which, directly or indirectly, prohibits or limits, or has the effect of prohibiting or limiting, its incurrence of Indebtedness, its granting of Liens or its payment of Distributions.</w:t>
      </w:r>
    </w:p>
    <w:p>
      <w:pPr>
        <w:sectPr>
          <w:pgSz w:w="11900" w:h="16838" w:orient="portrait"/>
          <w:cols w:equalWidth="0" w:num="1">
            <w:col w:w="10239"/>
          </w:cols>
          <w:pgMar w:left="220" w:top="26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79</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Section 4.19. ANCILLARY DOCUMENTS. The Borrower has furnished or caused to be furnished to the Agent true and complete copies of each Ancillary Document. No default by any Principal Company is continuing under any Ancillary Document which, individually or in the aggregate, could reasonably be expected to have a Material Adverse Effect. The Principal Companies are not aware of any default by any other Person under any Ancillary Document to which such Person and any Principal Company are a party which, individually or in the aggregate, could reasonably be expected to have a Material Adverse Effect.</w:t>
      </w:r>
    </w:p>
    <w:p>
      <w:pPr>
        <w:spacing w:after="0" w:line="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4.20. SOLVENCY.</w:t>
      </w:r>
    </w:p>
    <w:p>
      <w:pPr>
        <w:spacing w:after="0" w:line="166" w:lineRule="exact"/>
        <w:rPr>
          <w:sz w:val="20"/>
          <w:szCs w:val="20"/>
          <w:color w:val="auto"/>
        </w:rPr>
      </w:pPr>
    </w:p>
    <w:p>
      <w:pPr>
        <w:ind w:right="3239" w:firstLine="1059"/>
        <w:spacing w:after="0" w:line="273" w:lineRule="auto"/>
        <w:tabs>
          <w:tab w:leader="none" w:pos="139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SALABLE VALUE OF ASSETS. The fair salable value of the Assets of the Borrower exceeds the amount that will be required to be paid on or in respect of the existing debts and other liabilities (including contingent liabilities) of the Borrower as they mature.</w:t>
      </w:r>
    </w:p>
    <w:p>
      <w:pPr>
        <w:spacing w:after="0" w:line="67" w:lineRule="exact"/>
        <w:rPr>
          <w:rFonts w:ascii="Courier New" w:cs="Courier New" w:eastAsia="Courier New" w:hAnsi="Courier New"/>
          <w:sz w:val="15"/>
          <w:szCs w:val="15"/>
          <w:color w:val="auto"/>
        </w:rPr>
      </w:pPr>
    </w:p>
    <w:p>
      <w:pPr>
        <w:ind w:right="3319" w:firstLine="1059"/>
        <w:spacing w:after="0" w:line="258" w:lineRule="auto"/>
        <w:tabs>
          <w:tab w:leader="none" w:pos="139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NOT UNREASONABLY SMALL. The Assets of the Borrower do not constitute unreasonably small capital for the Borrower to carry out its business as now conducted and as proposed to be conducted including the capital needs of the Borrower, taking into account the particular capital requirements of the business conducted by the Borrower, and the projected capital requirements and capital availability thereof.</w:t>
      </w:r>
    </w:p>
    <w:p>
      <w:pPr>
        <w:spacing w:after="0" w:line="81" w:lineRule="exact"/>
        <w:rPr>
          <w:rFonts w:ascii="Courier New" w:cs="Courier New" w:eastAsia="Courier New" w:hAnsi="Courier New"/>
          <w:sz w:val="15"/>
          <w:szCs w:val="15"/>
          <w:color w:val="auto"/>
        </w:rPr>
      </w:pPr>
    </w:p>
    <w:p>
      <w:pPr>
        <w:ind w:right="3239" w:firstLine="1059"/>
        <w:spacing w:after="0" w:line="276" w:lineRule="auto"/>
        <w:tabs>
          <w:tab w:leader="none" w:pos="139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INCURRENCE OF DEBTS. The Borrower does not intend to and will not incur debts beyond its ability to pay such debts as they mature taking into account the timing and amounts of cash to be received by the Borrower and of amounts to be payable on or in respect of obligations of the Borrower. The cash flow of the Borrower, after taking into account all anticipated uses of the cash of the Borrower, will at all times be sufficient to pay all such amounts on or in respect of debt of the Borrower when such amounts are required to be paid.</w:t>
      </w:r>
    </w:p>
    <w:p>
      <w:pPr>
        <w:spacing w:after="0" w:line="69"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Section 4.21. APPLICATION OF CERTAIN LAWS AND REGULATIONS. No Principal Company is an "investment company", or a company "controlled" by an "investment company", within the meaning of the Investment Company Act of 1940, as amended. No Principal Company is a "holding company", or a "subsidiary company" of a "holding company", or an "affiliate" of a "holding company" or of a "subsidiary company" of a "holding company", as such terms are defined in the Public Utility Holding Company Act of 1935, as amended. No Principal Company is a Person prohibited from acquiring or holding a broadcasting license by the Communications Act. No Principal Company is subject to any Requirement of Law which regulates the incurring of Indebtedness for Borrowed Money.</w:t>
      </w:r>
    </w:p>
    <w:p>
      <w:pPr>
        <w:spacing w:after="0" w:line="73" w:lineRule="exact"/>
        <w:rPr>
          <w:sz w:val="20"/>
          <w:szCs w:val="20"/>
          <w:color w:val="auto"/>
        </w:rPr>
      </w:pPr>
    </w:p>
    <w:p>
      <w:pPr>
        <w:ind w:right="3239" w:firstLine="525"/>
        <w:spacing w:after="0" w:line="290" w:lineRule="auto"/>
        <w:rPr>
          <w:sz w:val="20"/>
          <w:szCs w:val="20"/>
          <w:color w:val="auto"/>
        </w:rPr>
      </w:pPr>
      <w:r>
        <w:rPr>
          <w:rFonts w:ascii="Courier New" w:cs="Courier New" w:eastAsia="Courier New" w:hAnsi="Courier New"/>
          <w:sz w:val="15"/>
          <w:szCs w:val="15"/>
          <w:color w:val="auto"/>
        </w:rPr>
        <w:t>Section 4.22. YEAR 2000 PROBLEM. The Principal Companies have reviewed the areas within their businesses and operations which could be adversely affected by, and have developed or are developing a program to</w:t>
      </w:r>
    </w:p>
    <w:p>
      <w:pPr>
        <w:sectPr>
          <w:pgSz w:w="11900" w:h="16838" w:orient="portrait"/>
          <w:cols w:equalWidth="0" w:num="1">
            <w:col w:w="10239"/>
          </w:cols>
          <w:pgMar w:left="220" w:top="26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80</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pacing w:after="0" w:line="140"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address on a timely basis the Year 2000 Problem. Based upon such review, the Principal Companies reasonably believe that the Year 2000 Problem will not have any Material Adverse Effect. As of the date hereof, the Borrower has budgeted approximately $500,000 to address the Year 2000 Problem</w:t>
      </w:r>
    </w:p>
    <w:p>
      <w:pPr>
        <w:spacing w:after="0" w:line="68" w:lineRule="exact"/>
        <w:rPr>
          <w:sz w:val="20"/>
          <w:szCs w:val="20"/>
          <w:color w:val="auto"/>
        </w:rPr>
      </w:pPr>
    </w:p>
    <w:p>
      <w:pPr>
        <w:ind w:right="3579" w:firstLine="525"/>
        <w:spacing w:after="0" w:line="290" w:lineRule="auto"/>
        <w:rPr>
          <w:sz w:val="20"/>
          <w:szCs w:val="20"/>
          <w:color w:val="auto"/>
        </w:rPr>
      </w:pPr>
      <w:r>
        <w:rPr>
          <w:rFonts w:ascii="Courier New" w:cs="Courier New" w:eastAsia="Courier New" w:hAnsi="Courier New"/>
          <w:sz w:val="15"/>
          <w:szCs w:val="15"/>
          <w:color w:val="auto"/>
        </w:rPr>
        <w:t>Section 4.23. NO MATERIAL REAL PROPERTY; NO MATERIAL INTELLECTUAL PROPERTY. As of the date hereof, no Principal Company owns (i) Material Real Property or (ii) has any Material Intellectual Property.</w:t>
      </w:r>
    </w:p>
    <w:p>
      <w:pPr>
        <w:spacing w:after="0" w:line="57"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Section 4.24. FULL DISCLOSURE. To the best knowledge of the Principal Companies, none of the Transaction Documents, the Loan Documents, the Historical Financials, or any other agreement, instrument, document, certificate, statement or letter furnished to the Agent or any Lender by or on behalf of any Principal Company in connection with any of the transactions contemplated by this Agreement, contains any untrue statement of a material fact or omits to state a material fact necessary in order to make the statements contained therein, taken as a whole together with all Public Filings made by the Principal Companies, not misleading in light of the circumstances in which they are made. Other than publicly known matters affecting the communications industry generally and publicly known matters affecting the local economies of the markets in which the Principal Companies operate, there is no fact known to the Principal Companies which has caused or is reasonably likely to cause a Material Adverse Effect, which fact is not set forth in the Transaction Documents, the Loan Documents, the Historical Financial Statements, the Public Filings or any other certificate, opinion or other statement furnished to each Lender.</w:t>
      </w:r>
    </w:p>
    <w:p>
      <w:pPr>
        <w:spacing w:after="0" w:line="79" w:lineRule="exact"/>
        <w:rPr>
          <w:sz w:val="20"/>
          <w:szCs w:val="20"/>
          <w:color w:val="auto"/>
        </w:rPr>
      </w:pPr>
    </w:p>
    <w:p>
      <w:pPr>
        <w:ind w:right="3239" w:firstLine="525"/>
        <w:spacing w:after="0" w:line="274" w:lineRule="auto"/>
        <w:rPr>
          <w:sz w:val="20"/>
          <w:szCs w:val="20"/>
          <w:color w:val="auto"/>
        </w:rPr>
      </w:pPr>
      <w:r>
        <w:rPr>
          <w:rFonts w:ascii="Courier New" w:cs="Courier New" w:eastAsia="Courier New" w:hAnsi="Courier New"/>
          <w:sz w:val="14"/>
          <w:szCs w:val="14"/>
          <w:color w:val="auto"/>
        </w:rPr>
        <w:t>Section 4.25. LETTERS OF CREDIT. As of the effectiveness hereof, (i) no Letters of Credit (as defined in the Existing Credit Agreement) are outstanding,</w:t>
      </w:r>
    </w:p>
    <w:p>
      <w:pPr>
        <w:ind w:right="3399" w:firstLine="10"/>
        <w:spacing w:after="0" w:line="272" w:lineRule="auto"/>
        <w:tabs>
          <w:tab w:leader="none" w:pos="43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Letter of Credit Disbursements (as defined in the Existing Credit Agreement) have been repaid and (iii) all Letter of Credit Fees (as defined in the Existing Credit Agreement) have been paid.</w:t>
      </w:r>
    </w:p>
    <w:p>
      <w:pPr>
        <w:spacing w:after="0" w:line="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CONDITIONS TO CREDIT EXTENSIONS</w:t>
      </w:r>
    </w:p>
    <w:p>
      <w:pPr>
        <w:spacing w:after="0" w:line="166" w:lineRule="exact"/>
        <w:rPr>
          <w:sz w:val="20"/>
          <w:szCs w:val="20"/>
          <w:color w:val="auto"/>
        </w:rPr>
      </w:pPr>
    </w:p>
    <w:p>
      <w:pPr>
        <w:jc w:val="both"/>
        <w:ind w:right="3239" w:firstLine="525"/>
        <w:spacing w:after="0" w:line="273" w:lineRule="auto"/>
        <w:rPr>
          <w:sz w:val="20"/>
          <w:szCs w:val="20"/>
          <w:color w:val="auto"/>
        </w:rPr>
      </w:pPr>
      <w:r>
        <w:rPr>
          <w:rFonts w:ascii="Courier New" w:cs="Courier New" w:eastAsia="Courier New" w:hAnsi="Courier New"/>
          <w:sz w:val="15"/>
          <w:szCs w:val="15"/>
          <w:color w:val="auto"/>
        </w:rPr>
        <w:t>Section 5.1. CONDITIONS TO INITIAL CREDIT EXTENSIONS. The fulfillment (to the reasonable satisfaction of the Agent) of the following conditions precedent shall be required before this Agreement becomes effective and before the Lenders have any obligation to make the initial Credit Extensions:</w:t>
      </w:r>
    </w:p>
    <w:p>
      <w:pPr>
        <w:spacing w:after="0" w:line="68" w:lineRule="exact"/>
        <w:rPr>
          <w:sz w:val="20"/>
          <w:szCs w:val="20"/>
          <w:color w:val="auto"/>
        </w:rPr>
      </w:pPr>
    </w:p>
    <w:p>
      <w:pPr>
        <w:ind w:left="1060" w:hanging="526"/>
        <w:spacing w:after="0"/>
        <w:tabs>
          <w:tab w:leader="none" w:pos="10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DOCUMENTS AND LOAN DOCUMENTS.</w:t>
      </w:r>
    </w:p>
    <w:p>
      <w:pPr>
        <w:spacing w:after="0" w:line="166" w:lineRule="exact"/>
        <w:rPr>
          <w:rFonts w:ascii="Courier New" w:cs="Courier New" w:eastAsia="Courier New" w:hAnsi="Courier New"/>
          <w:sz w:val="15"/>
          <w:szCs w:val="15"/>
          <w:color w:val="auto"/>
        </w:rPr>
      </w:pPr>
    </w:p>
    <w:p>
      <w:pPr>
        <w:jc w:val="both"/>
        <w:ind w:left="540" w:right="3579" w:firstLine="519"/>
        <w:spacing w:after="0" w:line="320" w:lineRule="auto"/>
        <w:tabs>
          <w:tab w:leader="none" w:pos="159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Transaction Documents shall have been duly and properly authorized, executed and delivered by the respective party or parties thereto and each of the Transaction Documents and the Loan</w:t>
      </w:r>
    </w:p>
    <w:p>
      <w:pPr>
        <w:sectPr>
          <w:pgSz w:w="11900" w:h="16838" w:orient="portrait"/>
          <w:cols w:equalWidth="0" w:num="1">
            <w:col w:w="10239"/>
          </w:cols>
          <w:pgMar w:left="220" w:top="261"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81</w:t>
      </w:r>
    </w:p>
    <w:p>
      <w:pPr>
        <w:spacing w:after="0" w:line="24"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73</w:t>
      </w:r>
    </w:p>
    <w:p>
      <w:pPr>
        <w:spacing w:after="0" w:line="140" w:lineRule="exact"/>
        <w:rPr>
          <w:sz w:val="20"/>
          <w:szCs w:val="20"/>
          <w:color w:val="auto"/>
        </w:rPr>
      </w:pPr>
    </w:p>
    <w:p>
      <w:pPr>
        <w:ind w:left="260" w:right="3579"/>
        <w:spacing w:after="0" w:line="344" w:lineRule="auto"/>
        <w:rPr>
          <w:sz w:val="20"/>
          <w:szCs w:val="20"/>
          <w:color w:val="auto"/>
        </w:rPr>
      </w:pPr>
      <w:r>
        <w:rPr>
          <w:rFonts w:ascii="Courier New" w:cs="Courier New" w:eastAsia="Courier New" w:hAnsi="Courier New"/>
          <w:sz w:val="15"/>
          <w:szCs w:val="15"/>
          <w:color w:val="auto"/>
        </w:rPr>
        <w:t>Documents shall be in full force and effect as of the effectiveness of this Agreement.</w:t>
      </w:r>
    </w:p>
    <w:p>
      <w:pPr>
        <w:spacing w:after="0" w:line="17" w:lineRule="exact"/>
        <w:rPr>
          <w:sz w:val="20"/>
          <w:szCs w:val="20"/>
          <w:color w:val="auto"/>
        </w:rPr>
      </w:pPr>
    </w:p>
    <w:p>
      <w:pPr>
        <w:ind w:left="260" w:right="3239" w:firstLine="519"/>
        <w:spacing w:after="0" w:line="255" w:lineRule="auto"/>
        <w:tabs>
          <w:tab w:leader="none" w:pos="131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executed original of each of the Revolving Credit Notes, the Term Loan Notes and the Acquisition Loan Notes shall have been delivered to the Agent. Executed originals or (as the case may be) executed counterparts of each of the other Transaction Documents shall have been delivered to the Agent. Each of the Transaction Documents (other than this Agreement) executed and delivered to the Agent shall be substantially in the form of the appropriate EXHIBIT hereto.</w:t>
      </w:r>
    </w:p>
    <w:p>
      <w:pPr>
        <w:spacing w:after="0" w:line="81" w:lineRule="exact"/>
        <w:rPr>
          <w:rFonts w:ascii="Courier New" w:cs="Courier New" w:eastAsia="Courier New" w:hAnsi="Courier New"/>
          <w:sz w:val="15"/>
          <w:szCs w:val="15"/>
          <w:color w:val="auto"/>
        </w:rPr>
      </w:pPr>
    </w:p>
    <w:p>
      <w:pPr>
        <w:ind w:left="780" w:hanging="526"/>
        <w:spacing w:after="0"/>
        <w:tabs>
          <w:tab w:leader="none" w:pos="7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DOCUMENTS. The Agent shall have received:</w:t>
      </w:r>
    </w:p>
    <w:p>
      <w:pPr>
        <w:spacing w:after="0" w:line="166" w:lineRule="exact"/>
        <w:rPr>
          <w:rFonts w:ascii="Courier New" w:cs="Courier New" w:eastAsia="Courier New" w:hAnsi="Courier New"/>
          <w:sz w:val="15"/>
          <w:szCs w:val="15"/>
          <w:color w:val="auto"/>
        </w:rPr>
      </w:pPr>
    </w:p>
    <w:p>
      <w:pPr>
        <w:ind w:left="260" w:right="3399" w:firstLine="519"/>
        <w:spacing w:after="0" w:line="273" w:lineRule="auto"/>
        <w:tabs>
          <w:tab w:leader="none" w:pos="131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incorporation (or similar Governing Documents) of each Principal Company, certified as of a recent date by the Secretary of State of the state of incorporation of each Principal Company;</w:t>
      </w:r>
    </w:p>
    <w:p>
      <w:pPr>
        <w:spacing w:after="0" w:line="68" w:lineRule="exact"/>
        <w:rPr>
          <w:sz w:val="20"/>
          <w:szCs w:val="20"/>
          <w:color w:val="auto"/>
        </w:rPr>
      </w:pPr>
    </w:p>
    <w:p>
      <w:pPr>
        <w:ind w:left="260" w:right="3319" w:firstLine="519"/>
        <w:spacing w:after="0" w:line="273" w:lineRule="auto"/>
        <w:tabs>
          <w:tab w:leader="none" w:pos="131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stating that each Principal Company is a corporation duly organized, validly existing and in good standing under the laws of its state of incorporation, signed as of a recent date by the Secretary of State of such state;</w:t>
      </w:r>
    </w:p>
    <w:p>
      <w:pPr>
        <w:spacing w:after="0" w:line="67" w:lineRule="exact"/>
        <w:rPr>
          <w:rFonts w:ascii="Courier New" w:cs="Courier New" w:eastAsia="Courier New" w:hAnsi="Courier New"/>
          <w:sz w:val="15"/>
          <w:szCs w:val="15"/>
          <w:color w:val="auto"/>
        </w:rPr>
      </w:pPr>
    </w:p>
    <w:p>
      <w:pPr>
        <w:ind w:left="260" w:right="3239" w:firstLine="519"/>
        <w:spacing w:after="0" w:line="276" w:lineRule="auto"/>
        <w:tabs>
          <w:tab w:leader="none" w:pos="131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stating that (A) each Principal Company is qualified to do business under the laws of each state wherein the character of the properties owned or held under lease by any Principal Company or the nature of the Business conducted by it would require that such Principal Company qualify as a foreign corporation and (B) such Principal Company is in good standing under the laws of such state, signed as of a recent date by the Secretary of State of such state; and</w:t>
      </w:r>
    </w:p>
    <w:p>
      <w:pPr>
        <w:spacing w:after="0" w:line="68" w:lineRule="exact"/>
        <w:rPr>
          <w:rFonts w:ascii="Courier New" w:cs="Courier New" w:eastAsia="Courier New" w:hAnsi="Courier New"/>
          <w:sz w:val="14"/>
          <w:szCs w:val="14"/>
          <w:color w:val="auto"/>
        </w:rPr>
      </w:pPr>
    </w:p>
    <w:p>
      <w:pPr>
        <w:ind w:left="260" w:right="3239" w:firstLine="519"/>
        <w:spacing w:after="0" w:line="244" w:lineRule="auto"/>
        <w:tabs>
          <w:tab w:leader="none" w:pos="131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 duly authorized officer of each Principal Company dated the Effective Date and certifying (A) that attached thereto is a true and complete copy of the by-laws of such Principal Company as in effect on the Effective Date, (B) that the certificate of incorporation (or similar Governing Documents) of such Principal Company has not been amended since the last amendment referred to in the certificates delivered pursuant to clause (i) above, (C) that attached thereto are true and correct copies of the records of all corporate action taken by such Principal Company to authorize its execution and delivery of the Transaction Documents and its performance of the Loan Documents (and the borrowings and other transactions contemplated thereby), and that such corporate actions have not been modified, rescinded or amended and are in full force and effect on the Effective Date, and (D) as to the incumbency, the name and a specimen signature of each individual who shall be authorized: (1) to sign, in the name and on behalf of such Principal Company, the</w:t>
      </w:r>
    </w:p>
    <w:p>
      <w:pPr>
        <w:sectPr>
          <w:pgSz w:w="11900" w:h="16838" w:orient="portrait"/>
          <w:cols w:equalWidth="0" w:num="1">
            <w:col w:w="9959"/>
          </w:cols>
          <w:pgMar w:left="500" w:top="26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82</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74</w:t>
      </w:r>
    </w:p>
    <w:p>
      <w:pPr>
        <w:spacing w:after="0" w:line="140" w:lineRule="exact"/>
        <w:rPr>
          <w:sz w:val="20"/>
          <w:szCs w:val="20"/>
          <w:color w:val="auto"/>
        </w:rPr>
      </w:pPr>
    </w:p>
    <w:p>
      <w:pPr>
        <w:ind w:left="540" w:right="3239"/>
        <w:spacing w:after="0" w:line="273" w:lineRule="auto"/>
        <w:rPr>
          <w:sz w:val="20"/>
          <w:szCs w:val="20"/>
          <w:color w:val="auto"/>
        </w:rPr>
      </w:pPr>
      <w:r>
        <w:rPr>
          <w:rFonts w:ascii="Courier New" w:cs="Courier New" w:eastAsia="Courier New" w:hAnsi="Courier New"/>
          <w:sz w:val="15"/>
          <w:szCs w:val="15"/>
          <w:color w:val="auto"/>
        </w:rPr>
        <w:t>Transaction Documents to which such Principal Company is or is to be a party; (2) to give notices and to take other action on its behalf under this Agreement; and (3) to make (in the case of the Borrower) applications for Loans and Letters of Credit.</w:t>
      </w:r>
    </w:p>
    <w:p>
      <w:pPr>
        <w:spacing w:after="0" w:line="68" w:lineRule="exact"/>
        <w:rPr>
          <w:sz w:val="20"/>
          <w:szCs w:val="20"/>
          <w:color w:val="auto"/>
        </w:rPr>
      </w:pPr>
    </w:p>
    <w:p>
      <w:pPr>
        <w:ind w:right="3319" w:firstLine="534"/>
        <w:spacing w:after="0" w:line="287" w:lineRule="auto"/>
        <w:tabs>
          <w:tab w:leader="none" w:pos="87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 warranties made by or on behalf of any of the Principal Companies in any of the Transaction Documents or the other Loan Documents shall have been true and correct in all material respects when made, and shall continue to be true and correct in all material respects as of the effectiveness of this Agreement.</w:t>
      </w:r>
    </w:p>
    <w:p>
      <w:pPr>
        <w:spacing w:after="0" w:line="60" w:lineRule="exact"/>
        <w:rPr>
          <w:rFonts w:ascii="Courier New" w:cs="Courier New" w:eastAsia="Courier New" w:hAnsi="Courier New"/>
          <w:sz w:val="14"/>
          <w:szCs w:val="14"/>
          <w:color w:val="auto"/>
        </w:rPr>
      </w:pPr>
    </w:p>
    <w:p>
      <w:pPr>
        <w:ind w:right="3399" w:firstLine="534"/>
        <w:spacing w:after="0" w:line="273" w:lineRule="auto"/>
        <w:tabs>
          <w:tab w:leader="none" w:pos="87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SEARCHES. The Agent shall have received written advice, in form and substance reasonably satisfactory to the Agent, relating to such Lien and judgment searches as the Agent may require and the results of such searches shall be satisfactory to the Agent.</w:t>
      </w:r>
    </w:p>
    <w:p>
      <w:pPr>
        <w:spacing w:after="0" w:line="67" w:lineRule="exact"/>
        <w:rPr>
          <w:rFonts w:ascii="Courier New" w:cs="Courier New" w:eastAsia="Courier New" w:hAnsi="Courier New"/>
          <w:sz w:val="15"/>
          <w:szCs w:val="15"/>
          <w:color w:val="auto"/>
        </w:rPr>
      </w:pPr>
    </w:p>
    <w:p>
      <w:pPr>
        <w:ind w:right="3239" w:firstLine="534"/>
        <w:spacing w:after="0" w:line="259" w:lineRule="auto"/>
        <w:tabs>
          <w:tab w:leader="none" w:pos="87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REGISTRATION AND RECORDINGS. Any documents (including UCC-1 financing statements or UCC-3 termination statements) required by the Agent or the Agent's Special Counsel to be recorded or filed in order to (i) release any Liens on any Assets of the Principal Companies (other than Liens permitted by Section 9.2) and (ii) create, in favor of the Collateral Trustee, a perfected first-priority Lien on Assets of the Principal Companies (other than those Assets listed on SCHEDULE 4.4(a) or excluded by the express terms of the Security Documents) with respect to which a Lien may be perfected by filing a financing statement under the Uniform Commercial Code of the applicable jurisdiction, or by recording an assignment or other document with the United States Copyright Office or the U.S. Patent and Trademark Office, or by recording a mortgage or deed of trust in the real estate records of the applicable jurisdiction, shall have been properly recorded or filed in each office in each jurisdiction required. The Agent shall have received acknowledgment copies of all such recordings and filings (or in lieu thereof, the Agent shall have received other evidence satisfactory to it that all such recordings and filings have been made); and the Agent shall have received evidence that all necessary recording and filing fees and all taxes or other expenses related to such filings have been paid in full. Any other action, including the taking of possession of securities or instruments by the Collateral Trustee, required in order to create in favor of the Collateral Trustee, for the ratable benefit of the Agent and the Lenders, a perfected first-priority Lien on such Assets to the extent such Liens may be perfected by filing a financing statement under the Uniform Commercial Code of the applicable jurisdiction, or by recording an assignment or other document with the United States Copyright Office or the U.S. Patent and Trademark Office, or by recording a mortgage or deed of trust in the real estate records of the applicable jurisdiction, or by taking possession of the securities or instruments, shall have been properly taken in order to create such a perfected first-priority Lien, subject only to Liens permitted by Section 9.2.</w:t>
      </w:r>
    </w:p>
    <w:p>
      <w:pPr>
        <w:sectPr>
          <w:pgSz w:w="11900" w:h="16838" w:orient="portrait"/>
          <w:cols w:equalWidth="0" w:num="1">
            <w:col w:w="10239"/>
          </w:cols>
          <w:pgMar w:left="220" w:top="261"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83</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75</w:t>
      </w:r>
    </w:p>
    <w:p>
      <w:pPr>
        <w:spacing w:after="0" w:line="166" w:lineRule="exact"/>
        <w:rPr>
          <w:sz w:val="20"/>
          <w:szCs w:val="20"/>
          <w:color w:val="auto"/>
        </w:rPr>
      </w:pPr>
    </w:p>
    <w:p>
      <w:pPr>
        <w:ind w:left="-280" w:right="3239" w:firstLine="534"/>
        <w:spacing w:after="0" w:line="249" w:lineRule="auto"/>
        <w:tabs>
          <w:tab w:leader="none" w:pos="5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Agent shall have received evidence, in form and substance satisfactory to the Agent, that (i) each Principal Company has obtained the policies of insurance required by the Loan Documents which insurance shall be in form and substance satisfactory to the Agent, and (ii) the Agent shall have been named additional insured with respect to all liability insurance policies to the extent requested by the Agent, and the Collateral Trustee shall have been named loss payee with respect to all casualty insurance policies to the extent requested by the Collateral Trustee and (iii) all other requirements of any Loan Document with respect to insurance shall have been fulfilled.</w:t>
      </w:r>
    </w:p>
    <w:p>
      <w:pPr>
        <w:spacing w:after="0" w:line="87" w:lineRule="exact"/>
        <w:rPr>
          <w:rFonts w:ascii="Courier New" w:cs="Courier New" w:eastAsia="Courier New" w:hAnsi="Courier New"/>
          <w:sz w:val="15"/>
          <w:szCs w:val="15"/>
          <w:color w:val="auto"/>
        </w:rPr>
      </w:pPr>
    </w:p>
    <w:p>
      <w:pPr>
        <w:ind w:left="-280" w:right="3399" w:firstLine="534"/>
        <w:spacing w:after="0" w:line="344" w:lineRule="auto"/>
        <w:tabs>
          <w:tab w:leader="none" w:pos="5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The Borrower shall have paid to the Agent all fees required to be paid to the Agent on the Effective Date pursuant to the Fee Letter.</w:t>
      </w:r>
    </w:p>
    <w:p>
      <w:pPr>
        <w:spacing w:after="0" w:line="17" w:lineRule="exact"/>
        <w:rPr>
          <w:rFonts w:ascii="Courier New" w:cs="Courier New" w:eastAsia="Courier New" w:hAnsi="Courier New"/>
          <w:sz w:val="15"/>
          <w:szCs w:val="15"/>
          <w:color w:val="auto"/>
        </w:rPr>
      </w:pPr>
    </w:p>
    <w:p>
      <w:pPr>
        <w:ind w:left="-280" w:right="3239" w:firstLine="534"/>
        <w:spacing w:after="0" w:line="255" w:lineRule="auto"/>
        <w:tabs>
          <w:tab w:leader="none" w:pos="5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OPINIONS. The Agent shall have received a written legal opinion, with a counterpart for each Lender, addressed to the Agent and the Lenders, dated the Effective Date, from (i) Edwards &amp; Angell, general counsel to the Principal Companies, and such opinion shall be in form and substance satisfactory to the Agent, and (ii) Smithwick &amp; Belendiuk, P.C., special FCC counsel to the Principal Companies, and such opinion shall be in form and substance satisfactory to the Agent.</w:t>
      </w:r>
    </w:p>
    <w:p>
      <w:pPr>
        <w:spacing w:after="0" w:line="81" w:lineRule="exact"/>
        <w:rPr>
          <w:rFonts w:ascii="Courier New" w:cs="Courier New" w:eastAsia="Courier New" w:hAnsi="Courier New"/>
          <w:sz w:val="15"/>
          <w:szCs w:val="15"/>
          <w:color w:val="auto"/>
        </w:rPr>
      </w:pPr>
    </w:p>
    <w:p>
      <w:pPr>
        <w:ind w:left="-280" w:right="3239" w:firstLine="534"/>
        <w:spacing w:after="0" w:line="270" w:lineRule="auto"/>
        <w:tabs>
          <w:tab w:leader="none" w:pos="59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COSTS AND EXPENSES. The Borrower shall have reimbursed the Agent for all reasonable out-of-pocket expenses (other than fees of the Agent's Special Counsel) incurred by the Agent through the Effective Date in connection with structuring and syndicating the Facilities and preparation, review, negotiation, execution and delivery of the Transaction Documents and review of the Loan Documents. The Borrower shall have paid all amounts required to be paid by it through the Effective Date under the letter agreement (the "SPECIAL COUNSEL FEE AGREEMENT") among the Borrower, the Agent and the Agent's Special Counsel in respect of fees of the Agent's Special Counsel.</w:t>
      </w:r>
    </w:p>
    <w:p>
      <w:pPr>
        <w:spacing w:after="0" w:line="76" w:lineRule="exact"/>
        <w:rPr>
          <w:rFonts w:ascii="Courier New" w:cs="Courier New" w:eastAsia="Courier New" w:hAnsi="Courier New"/>
          <w:sz w:val="14"/>
          <w:szCs w:val="14"/>
          <w:color w:val="auto"/>
        </w:rPr>
      </w:pPr>
    </w:p>
    <w:p>
      <w:pPr>
        <w:ind w:left="-280" w:right="3239" w:firstLine="534"/>
        <w:spacing w:after="0" w:line="344" w:lineRule="auto"/>
        <w:tabs>
          <w:tab w:leader="none" w:pos="5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FINANCIAL STATEMENTS. The Borrower shall have furnished to each of the Lenders the Historical Financials and the Projections.</w:t>
      </w:r>
    </w:p>
    <w:p>
      <w:pPr>
        <w:spacing w:after="0" w:line="17" w:lineRule="exact"/>
        <w:rPr>
          <w:rFonts w:ascii="Courier New" w:cs="Courier New" w:eastAsia="Courier New" w:hAnsi="Courier New"/>
          <w:sz w:val="15"/>
          <w:szCs w:val="15"/>
          <w:color w:val="auto"/>
        </w:rPr>
      </w:pPr>
    </w:p>
    <w:p>
      <w:pPr>
        <w:ind w:left="-280" w:right="3239" w:firstLine="534"/>
        <w:spacing w:after="0" w:line="258" w:lineRule="auto"/>
        <w:tabs>
          <w:tab w:leader="none" w:pos="5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APPRAISALS NOT REQUIRED. The Agent shall be satisfied that no real estate appraisals are required or necessary as to the market value of any real property of the Principal Companies subject to a Mortgage under 12 U.S.C. 93a and title XI of the Financial Institutions, Reform, Recovery and Enforcement Act of 1989 and the corresponding regulations under 12 C.F.R. 34.41 ET. SEQ. (1990).</w:t>
      </w:r>
    </w:p>
    <w:p>
      <w:pPr>
        <w:spacing w:after="0" w:line="81" w:lineRule="exact"/>
        <w:rPr>
          <w:rFonts w:ascii="Courier New" w:cs="Courier New" w:eastAsia="Courier New" w:hAnsi="Courier New"/>
          <w:sz w:val="15"/>
          <w:szCs w:val="15"/>
          <w:color w:val="auto"/>
        </w:rPr>
      </w:pPr>
    </w:p>
    <w:p>
      <w:pPr>
        <w:ind w:left="-280" w:right="3499" w:firstLine="534"/>
        <w:spacing w:after="0" w:line="320" w:lineRule="auto"/>
        <w:tabs>
          <w:tab w:leader="none" w:pos="59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CONSENTS. The Agent shall have received copies of all consents referred to on SCHEDULE 4.2, including consents of the FCC, if any, required in connection with the transactions contemplated by the Transaction.</w:t>
      </w:r>
    </w:p>
    <w:p>
      <w:pPr>
        <w:sectPr>
          <w:pgSz w:w="11900" w:h="16838" w:orient="portrait"/>
          <w:cols w:equalWidth="0" w:num="1">
            <w:col w:w="9959"/>
          </w:cols>
          <w:pgMar w:left="500" w:top="26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84</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pacing w:after="0" w:line="309" w:lineRule="exact"/>
        <w:rPr>
          <w:sz w:val="20"/>
          <w:szCs w:val="20"/>
          <w:color w:val="auto"/>
        </w:rPr>
      </w:pPr>
    </w:p>
    <w:p>
      <w:pPr>
        <w:ind w:right="3399" w:firstLine="534"/>
        <w:spacing w:after="0" w:line="290" w:lineRule="auto"/>
        <w:tabs>
          <w:tab w:leader="none" w:pos="104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CERTIFICATE. The Agent shall have received the duly executed and completed Effective Date Certificate substantially in the form attached hereto as EXHIBIT C.</w:t>
      </w:r>
    </w:p>
    <w:p>
      <w:pPr>
        <w:spacing w:after="0" w:line="56" w:lineRule="exact"/>
        <w:rPr>
          <w:rFonts w:ascii="Courier New" w:cs="Courier New" w:eastAsia="Courier New" w:hAnsi="Courier New"/>
          <w:sz w:val="15"/>
          <w:szCs w:val="15"/>
          <w:color w:val="auto"/>
        </w:rPr>
      </w:pPr>
    </w:p>
    <w:p>
      <w:pPr>
        <w:ind w:right="3239" w:firstLine="534"/>
        <w:spacing w:after="0" w:line="255" w:lineRule="auto"/>
        <w:tabs>
          <w:tab w:leader="none" w:pos="104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ASSIGNMENTS. Each Existing Lender shall have assigned all of the Obligations of the Principal Companies to such Existing Lender under the Existing Credit Agreement and the other Loan Documents (as defined in the Existing Credit Agreement) to the Agent for reallocation to Lenders hereunder pursuant to the Lender Assignment Agreements and each such Existing Lender shall have delivered a fully executed copy of its Lender Assignment Agreement to the Agent and the Borrower shall have acknowledged and executed the same.</w:t>
      </w:r>
    </w:p>
    <w:p>
      <w:pPr>
        <w:spacing w:after="0" w:line="81" w:lineRule="exact"/>
        <w:rPr>
          <w:rFonts w:ascii="Courier New" w:cs="Courier New" w:eastAsia="Courier New" w:hAnsi="Courier New"/>
          <w:sz w:val="15"/>
          <w:szCs w:val="15"/>
          <w:color w:val="auto"/>
        </w:rPr>
      </w:pPr>
    </w:p>
    <w:p>
      <w:pPr>
        <w:ind w:right="3319" w:firstLine="534"/>
        <w:spacing w:after="0" w:line="280" w:lineRule="auto"/>
        <w:tabs>
          <w:tab w:leader="none" w:pos="104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AMOUNTS UNDER EXISTING CREDIT AGREEMENT. The Borrower shall have paid all accrued and unpaid interest on the Existing Loans through the Effective Date, all Fees (as defined in the Existing Credit Agreement) accrued and unpaid through the Effective Date and all other amounts required to be paid by the Principal Companies under the Loan Documents (as defined in the Existing Credit Agreement) through the Effective Date.</w:t>
      </w:r>
    </w:p>
    <w:p>
      <w:pPr>
        <w:spacing w:after="0" w:line="67" w:lineRule="exact"/>
        <w:rPr>
          <w:sz w:val="20"/>
          <w:szCs w:val="20"/>
          <w:color w:val="auto"/>
        </w:rPr>
      </w:pPr>
    </w:p>
    <w:p>
      <w:pPr>
        <w:ind w:right="3499" w:firstLine="534"/>
        <w:spacing w:after="0" w:line="273" w:lineRule="auto"/>
        <w:tabs>
          <w:tab w:leader="none" w:pos="104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COMPLIANCE. The Borrower shall have provided the Agent with details as to acts previously taken, or to be taken, to address the Year 2000 Problem, including for the remediation, monitoring and testing of the Principal Companies' computer systems.</w:t>
      </w:r>
    </w:p>
    <w:p>
      <w:pPr>
        <w:spacing w:after="0" w:line="68" w:lineRule="exact"/>
        <w:rPr>
          <w:sz w:val="20"/>
          <w:szCs w:val="20"/>
          <w:color w:val="auto"/>
        </w:rPr>
      </w:pPr>
    </w:p>
    <w:p>
      <w:pPr>
        <w:jc w:val="both"/>
        <w:ind w:right="3239" w:firstLine="525"/>
        <w:spacing w:after="0" w:line="298" w:lineRule="auto"/>
        <w:rPr>
          <w:sz w:val="20"/>
          <w:szCs w:val="20"/>
          <w:color w:val="auto"/>
        </w:rPr>
      </w:pPr>
      <w:r>
        <w:rPr>
          <w:rFonts w:ascii="Courier New" w:cs="Courier New" w:eastAsia="Courier New" w:hAnsi="Courier New"/>
          <w:sz w:val="14"/>
          <w:szCs w:val="14"/>
          <w:color w:val="auto"/>
        </w:rPr>
        <w:t>Section 5.2. CONDITIONS PRECEDENT TO EACH CREDIT EXTENSION. The obligation of each Lender and the Issuing Bank to make any Credit Extension (including the initial Credit Extension) is subject to the satisfaction, as of the date of such Credit Extension, of each of the following conditions precedent:</w:t>
      </w:r>
    </w:p>
    <w:p>
      <w:pPr>
        <w:spacing w:after="0" w:line="53" w:lineRule="exact"/>
        <w:rPr>
          <w:sz w:val="20"/>
          <w:szCs w:val="20"/>
          <w:color w:val="auto"/>
        </w:rPr>
      </w:pPr>
    </w:p>
    <w:p>
      <w:pPr>
        <w:ind w:left="1060" w:hanging="526"/>
        <w:spacing w:after="0"/>
        <w:tabs>
          <w:tab w:leader="none" w:pos="10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NOTICES.</w:t>
      </w:r>
    </w:p>
    <w:p>
      <w:pPr>
        <w:spacing w:after="0" w:line="166" w:lineRule="exact"/>
        <w:rPr>
          <w:rFonts w:ascii="Courier New" w:cs="Courier New" w:eastAsia="Courier New" w:hAnsi="Courier New"/>
          <w:sz w:val="15"/>
          <w:szCs w:val="15"/>
          <w:color w:val="auto"/>
        </w:rPr>
      </w:pPr>
    </w:p>
    <w:p>
      <w:pPr>
        <w:ind w:left="540" w:right="3239" w:firstLine="519"/>
        <w:spacing w:after="0" w:line="264" w:lineRule="auto"/>
        <w:tabs>
          <w:tab w:leader="none" w:pos="159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requested Loan, the Agent shall have timely received from the Borrower an application for such Loan in accordance with SECTION 2.2 which notice without more shall constitute certification by the Borrower as to the matters set forth in clause (ii) of paragraph (b) below and paragraphs (c) and (d) below; and</w:t>
      </w:r>
    </w:p>
    <w:p>
      <w:pPr>
        <w:spacing w:after="0" w:line="74" w:lineRule="exact"/>
        <w:rPr>
          <w:rFonts w:ascii="Courier New" w:cs="Courier New" w:eastAsia="Courier New" w:hAnsi="Courier New"/>
          <w:sz w:val="15"/>
          <w:szCs w:val="15"/>
          <w:color w:val="auto"/>
        </w:rPr>
      </w:pPr>
    </w:p>
    <w:p>
      <w:pPr>
        <w:ind w:left="540" w:right="3399" w:firstLine="519"/>
        <w:spacing w:after="0" w:line="287" w:lineRule="auto"/>
        <w:tabs>
          <w:tab w:leader="none" w:pos="159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requested Letter of Credit, the Agent and the Issuing Bank shall have timely received from the Borrower a request for such Letter of Credit in accordance with ARTICLE III hereof, which notice without more shall constitute certification by the Borrower as to the matters set forth in paragraphs (b), (c) and (d) below.</w:t>
      </w:r>
    </w:p>
    <w:p>
      <w:pPr>
        <w:spacing w:after="0" w:line="60" w:lineRule="exact"/>
        <w:rPr>
          <w:rFonts w:ascii="Courier New" w:cs="Courier New" w:eastAsia="Courier New" w:hAnsi="Courier New"/>
          <w:sz w:val="14"/>
          <w:szCs w:val="14"/>
          <w:color w:val="auto"/>
        </w:rPr>
      </w:pPr>
    </w:p>
    <w:p>
      <w:pPr>
        <w:ind w:right="3239" w:firstLine="534"/>
        <w:spacing w:after="0" w:line="385" w:lineRule="auto"/>
        <w:tabs>
          <w:tab w:leader="none" w:pos="1049"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LEGALITY OF TRANSACTIONS. It shall not be unlawful (i) for the Collateral Trustee, the Agent or the Lenders to perform any of their obligations</w:t>
      </w:r>
    </w:p>
    <w:p>
      <w:pPr>
        <w:sectPr>
          <w:pgSz w:w="11900" w:h="16838" w:orient="portrait"/>
          <w:cols w:equalWidth="0" w:num="1">
            <w:col w:w="10239"/>
          </w:cols>
          <w:pgMar w:left="220" w:top="26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85</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77</w:t>
      </w:r>
    </w:p>
    <w:p>
      <w:pPr>
        <w:spacing w:after="0" w:line="140"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under any of the Loan Documents or (ii) for any Principal Company to perform any of its obligations under any of the Loan Documents.</w:t>
      </w:r>
    </w:p>
    <w:p>
      <w:pPr>
        <w:spacing w:after="0" w:line="17" w:lineRule="exact"/>
        <w:rPr>
          <w:sz w:val="20"/>
          <w:szCs w:val="20"/>
          <w:color w:val="auto"/>
        </w:rPr>
      </w:pPr>
    </w:p>
    <w:p>
      <w:pPr>
        <w:ind w:right="3239" w:firstLine="534"/>
        <w:spacing w:after="0" w:line="280" w:lineRule="auto"/>
        <w:tabs>
          <w:tab w:leader="none" w:pos="8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of the representations and warranties made by the Principal Companies in this Agreement and the other Loan Documents shall be true and correct in all material respects as of the date of the making of such Credit Extension with the same force and effect as if made on and as of such date (or, if any such representation or warranty is expressly stated to relate only to a specific date, as of such specific date).</w:t>
      </w:r>
    </w:p>
    <w:p>
      <w:pPr>
        <w:spacing w:after="0" w:line="67" w:lineRule="exact"/>
        <w:rPr>
          <w:rFonts w:ascii="Courier New" w:cs="Courier New" w:eastAsia="Courier New" w:hAnsi="Courier New"/>
          <w:sz w:val="14"/>
          <w:szCs w:val="14"/>
          <w:color w:val="auto"/>
        </w:rPr>
      </w:pPr>
    </w:p>
    <w:p>
      <w:pPr>
        <w:ind w:right="3239" w:firstLine="534"/>
        <w:spacing w:after="0" w:line="298" w:lineRule="auto"/>
        <w:tabs>
          <w:tab w:leader="none" w:pos="8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ETC. Each Principal Company shall have duly and properly performed, complied with and observed in all material respects each of its obligations contained in this Agreement. No Default or Event of Default shall be continuing or shall result from the requested Credit Extension.</w:t>
      </w:r>
    </w:p>
    <w:p>
      <w:pPr>
        <w:spacing w:after="0" w:line="53"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Each request by the Borrower for a Credit Extension hereunder shall constitute a certification by the Borrower that the conditions set forth in paragraphs (a) through (d) of this Section 5.2 have been satisfied as of the date of such request and as of the date the Credit Extension is made.</w:t>
      </w:r>
    </w:p>
    <w:p>
      <w:pPr>
        <w:spacing w:after="0" w:line="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GUARANTY</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6.1. GUARANTY OF PAYMENT.</w:t>
      </w:r>
    </w:p>
    <w:p>
      <w:pPr>
        <w:spacing w:after="0" w:line="166" w:lineRule="exact"/>
        <w:rPr>
          <w:sz w:val="20"/>
          <w:szCs w:val="20"/>
          <w:color w:val="auto"/>
        </w:rPr>
      </w:pPr>
    </w:p>
    <w:p>
      <w:pPr>
        <w:ind w:right="3239" w:firstLine="534"/>
        <w:spacing w:after="0" w:line="258" w:lineRule="auto"/>
        <w:tabs>
          <w:tab w:leader="none" w:pos="87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The Guarantors hereby absolutely and unconditionally, and jointly and severally, guaranty (for purposes of this ARTICLE VI, the "GUARANTY") to the Agent, the Issuing Bank and each Lender the due and punctual payment in full of all the Obligations in accordance with their respective terms, whether such Obligations are outstanding on the date of this Agreement or arise or are incurred at any time or times thereafter.</w:t>
      </w:r>
    </w:p>
    <w:p>
      <w:pPr>
        <w:spacing w:after="0" w:line="81" w:lineRule="exact"/>
        <w:rPr>
          <w:rFonts w:ascii="Courier New" w:cs="Courier New" w:eastAsia="Courier New" w:hAnsi="Courier New"/>
          <w:sz w:val="15"/>
          <w:szCs w:val="15"/>
          <w:color w:val="auto"/>
        </w:rPr>
      </w:pPr>
    </w:p>
    <w:p>
      <w:pPr>
        <w:ind w:right="3239" w:firstLine="534"/>
        <w:spacing w:after="0" w:line="258" w:lineRule="auto"/>
        <w:tabs>
          <w:tab w:leader="none" w:pos="87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OF PAYMENT. If any Principal Company shall fail to make any payment of any of its Obligations to the Agent, the Issuing Bank or any Lender when and as the same shall become due and payable, the Guarantors absolutely and unconditionally promise and jointly and severally to make such payment to the Agent, the Issuing Bank or such Lender forthwith upon demand by the Agent, the Issuing Bank or such Lender.</w:t>
      </w:r>
    </w:p>
    <w:p>
      <w:pPr>
        <w:spacing w:after="0" w:line="81" w:lineRule="exact"/>
        <w:rPr>
          <w:rFonts w:ascii="Courier New" w:cs="Courier New" w:eastAsia="Courier New" w:hAnsi="Courier New"/>
          <w:sz w:val="15"/>
          <w:szCs w:val="15"/>
          <w:color w:val="auto"/>
        </w:rPr>
      </w:pPr>
    </w:p>
    <w:p>
      <w:pPr>
        <w:ind w:right="3679" w:firstLine="534"/>
        <w:spacing w:after="0" w:line="344" w:lineRule="auto"/>
        <w:tabs>
          <w:tab w:leader="none" w:pos="87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UNLIMITED GUARANTY. Subject to the provisions of Section 6.7, the liability of each Guarantor under this Guaranty shall be unlimited.</w:t>
      </w:r>
    </w:p>
    <w:p>
      <w:pPr>
        <w:spacing w:after="0" w:line="17" w:lineRule="exact"/>
        <w:rPr>
          <w:rFonts w:ascii="Courier New" w:cs="Courier New" w:eastAsia="Courier New" w:hAnsi="Courier New"/>
          <w:sz w:val="15"/>
          <w:szCs w:val="15"/>
          <w:color w:val="auto"/>
        </w:rPr>
      </w:pPr>
    </w:p>
    <w:p>
      <w:pPr>
        <w:ind w:right="3239" w:firstLine="534"/>
        <w:spacing w:after="0" w:line="287" w:lineRule="auto"/>
        <w:tabs>
          <w:tab w:leader="none" w:pos="8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ABSOLUTE. This Guaranty and the obligations of the Guarantors hereunder shall be in addition to and shall not in any way be prejudiced or affected by any other Collateral now or at any time or times hereafter held by the Agent, the Collateral Trustee, the Issuing Bank or any Lender, and every right, remedy, power or privilege given to the Issuing Bank,</w:t>
      </w:r>
    </w:p>
    <w:p>
      <w:pPr>
        <w:sectPr>
          <w:pgSz w:w="11900" w:h="16838" w:orient="portrait"/>
          <w:cols w:equalWidth="0" w:num="1">
            <w:col w:w="10239"/>
          </w:cols>
          <w:pgMar w:left="220" w:top="26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86</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the Lenders or the Agent under this Guaranty shall be in addition to and not in limitation of any and every other right, remedy, power or privilege vested in the Agent, the Collateral Trustee, the Issuing Bank or any Lender under any other Collateral. No assurance, security or payment of any of the Obligations which is avoided under any enactment relating to bankruptcy or liquidation or insolvency, and no release, settlement or discharge given or made by the Issuing Bank, any Lender or the Agent on the faith of any such assurance, security or payment, shall prejudice or affect the rights of the Issuing Bank, the Lenders and the Agent to recover from the Guarantors to the full extent of this Guaranty as if such assurance, security, payment, release, settlement or discharge (as the case may be) had never been given or made.</w:t>
      </w:r>
    </w:p>
    <w:p>
      <w:pPr>
        <w:spacing w:after="0" w:line="78" w:lineRule="exact"/>
        <w:rPr>
          <w:sz w:val="20"/>
          <w:szCs w:val="20"/>
          <w:color w:val="auto"/>
        </w:rPr>
      </w:pPr>
    </w:p>
    <w:p>
      <w:pPr>
        <w:ind w:right="3239" w:firstLine="534"/>
        <w:spacing w:after="0" w:line="245" w:lineRule="auto"/>
        <w:tabs>
          <w:tab w:leader="none" w:pos="87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BY GUARANTORS. Without prejudice to any of the obligations of the Guarantors to the Issuing Bank, the Lenders and the Agent under the foregoing paragraphs of this SECTION 6.1, which obligations are absolute and unconditional, but as a separate undertaking on the part of the Guarantors, the Guarantors hereby absolutely covenant and agree to cause, to the extent it is able, each Principal Company to perform and comply with all of the promises, covenants, agreements and conditions to be performed and complied with by such Principal Company which are contained in any of the Loan Documents, and the Guarantors hereby further agree to take or to cause to be taken, promptly and without any expense to the Agent, the Issuing Bank, or the Lenders, all such measures as may be appropriate and can lawfully be effected by such Guarantors to prevent the occurrence of any Default or Event of Default and to cure or make good promptly any Default or Event of Default which may occur at any time or times.</w:t>
      </w:r>
    </w:p>
    <w:p>
      <w:pPr>
        <w:spacing w:after="0" w:line="95" w:lineRule="exact"/>
        <w:rPr>
          <w:sz w:val="20"/>
          <w:szCs w:val="20"/>
          <w:color w:val="auto"/>
        </w:rPr>
      </w:pPr>
    </w:p>
    <w:p>
      <w:pPr>
        <w:ind w:right="3239" w:firstLine="525"/>
        <w:spacing w:after="0" w:line="266" w:lineRule="auto"/>
        <w:rPr>
          <w:sz w:val="20"/>
          <w:szCs w:val="20"/>
          <w:color w:val="auto"/>
        </w:rPr>
      </w:pPr>
      <w:r>
        <w:rPr>
          <w:rFonts w:ascii="Courier New" w:cs="Courier New" w:eastAsia="Courier New" w:hAnsi="Courier New"/>
          <w:sz w:val="14"/>
          <w:szCs w:val="14"/>
          <w:color w:val="auto"/>
        </w:rPr>
        <w:t>Section 6.2. WAIVERS OF NOTICE, ETC. It is the express intention of the Guarantors, the Issuing Bank, the Lenders and the Agent that the obligations of the Guarantors to the Issuing Bank, the Lenders and the Agent under this Guaranty, this Agreement and under any of the other Loan Documents shall not be to any extent or in any way or manner whatsoever satisfied, discharged, impaired or otherwise affected, except by the payment of the Obligations to the Agent, the Issuing Bank and the Lenders, and then only to the extent of such payment. Without limitation of the generality of the foregoing provisions of this SECTION 6.2, the obligations of the Guarantors to the Issuing Bank, the Lenders and the Agent under this Guaranty shall not be to any extent or in any way or manner whatsoever satisfied, discharged, impaired or otherwise affected by any of the following, whether or not the Guarantors shall have had any notice thereof:</w:t>
      </w:r>
    </w:p>
    <w:p>
      <w:pPr>
        <w:spacing w:after="0" w:line="77" w:lineRule="exact"/>
        <w:rPr>
          <w:sz w:val="20"/>
          <w:szCs w:val="20"/>
          <w:color w:val="auto"/>
        </w:rPr>
      </w:pPr>
    </w:p>
    <w:p>
      <w:pPr>
        <w:ind w:right="3579" w:firstLine="534"/>
        <w:spacing w:after="0" w:line="287" w:lineRule="auto"/>
        <w:tabs>
          <w:tab w:leader="none" w:pos="87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dissolution, termination of existence, insolvency, business failure, appointment of a receiver for all or any part of the property of, assignment for the benefit of creditors by, or the commencement of any proceedings under any bankruptcy or insolvency laws by or against, any Guarantor, any Principal Company, the Issuing Bank, the Agent or any Lender;</w:t>
      </w:r>
    </w:p>
    <w:p>
      <w:pPr>
        <w:sectPr>
          <w:pgSz w:w="11900" w:h="16838" w:orient="portrait"/>
          <w:cols w:equalWidth="0" w:num="1">
            <w:col w:w="10239"/>
          </w:cols>
          <w:pgMar w:left="220" w:top="26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87</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pacing w:after="0" w:line="140" w:lineRule="exact"/>
        <w:rPr>
          <w:sz w:val="20"/>
          <w:szCs w:val="20"/>
          <w:color w:val="auto"/>
        </w:rPr>
      </w:pPr>
    </w:p>
    <w:p>
      <w:pPr>
        <w:ind w:right="3239" w:firstLine="534"/>
        <w:spacing w:after="0" w:line="273" w:lineRule="auto"/>
        <w:tabs>
          <w:tab w:leader="none" w:pos="87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absorption, merger or consolidation of, or the effectuation of any other change whatsoever in the name, membership, constitution or place of formation of, any Guarantor, any Principal Company, the Agent, the Issuing Bank or any Lender;</w:t>
      </w:r>
    </w:p>
    <w:p>
      <w:pPr>
        <w:spacing w:after="0" w:line="67" w:lineRule="exact"/>
        <w:rPr>
          <w:rFonts w:ascii="Courier New" w:cs="Courier New" w:eastAsia="Courier New" w:hAnsi="Courier New"/>
          <w:sz w:val="15"/>
          <w:szCs w:val="15"/>
          <w:color w:val="auto"/>
        </w:rPr>
      </w:pPr>
    </w:p>
    <w:p>
      <w:pPr>
        <w:ind w:right="3399" w:firstLine="534"/>
        <w:spacing w:after="0" w:line="252" w:lineRule="auto"/>
        <w:tabs>
          <w:tab w:leader="none" w:pos="87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or postponement of the time for the payment of any of the Obligations, the acceptance of any partial payment thereon, any and all other indulgences whatsoever by the Agent, the Issuing Bank or any Lender in respect of any of the Obligations, the taking, addition, substitution or release, in whole or in part, at any time or times, of any security for any of the Obligations or the addition, substitution or release, in whole or in part, of any person or persons primarily or secondarily liable in respect of any of the Obligations;</w:t>
      </w:r>
    </w:p>
    <w:p>
      <w:pPr>
        <w:spacing w:after="0" w:line="86" w:lineRule="exact"/>
        <w:rPr>
          <w:rFonts w:ascii="Courier New" w:cs="Courier New" w:eastAsia="Courier New" w:hAnsi="Courier New"/>
          <w:sz w:val="15"/>
          <w:szCs w:val="15"/>
          <w:color w:val="auto"/>
        </w:rPr>
      </w:pPr>
    </w:p>
    <w:p>
      <w:pPr>
        <w:ind w:right="3499" w:firstLine="534"/>
        <w:spacing w:after="0" w:line="258" w:lineRule="auto"/>
        <w:tabs>
          <w:tab w:leader="none" w:pos="87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delay in acting or failure to act on the part of the Agent, the Issuing Bank or any Lender under any of the Loan Documents or in respect of any of the Obligations or any of the Collateral or otherwise, including any failure strictly or diligently to assert any right or to pursue any remedy against any Guarantor or other persons under any of the Loan Documents or provided by statute or at law or in equity;</w:t>
      </w:r>
    </w:p>
    <w:p>
      <w:pPr>
        <w:spacing w:after="0" w:line="81" w:lineRule="exact"/>
        <w:rPr>
          <w:rFonts w:ascii="Courier New" w:cs="Courier New" w:eastAsia="Courier New" w:hAnsi="Courier New"/>
          <w:sz w:val="15"/>
          <w:szCs w:val="15"/>
          <w:color w:val="auto"/>
        </w:rPr>
      </w:pPr>
    </w:p>
    <w:p>
      <w:pPr>
        <w:ind w:right="3399" w:firstLine="534"/>
        <w:spacing w:after="0" w:line="381" w:lineRule="auto"/>
        <w:tabs>
          <w:tab w:leader="none" w:pos="8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modification or amendment of, or any supplement or addition to, the Obligations, this Agreement, any Note, or any of the other Loan Documents;</w:t>
      </w:r>
    </w:p>
    <w:p>
      <w:pPr>
        <w:spacing w:after="0" w:line="1" w:lineRule="exact"/>
        <w:rPr>
          <w:rFonts w:ascii="Courier New" w:cs="Courier New" w:eastAsia="Courier New" w:hAnsi="Courier New"/>
          <w:sz w:val="14"/>
          <w:szCs w:val="14"/>
          <w:color w:val="auto"/>
        </w:rPr>
      </w:pPr>
    </w:p>
    <w:p>
      <w:pPr>
        <w:ind w:right="3239" w:firstLine="534"/>
        <w:spacing w:after="0" w:line="298" w:lineRule="auto"/>
        <w:tabs>
          <w:tab w:leader="none" w:pos="87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consent or other action or acquiescence by the Agent, the Issuing Bank or any Lender at any time or times in respect of any default by any Guarantor or other persons in the performance or observance of or compliance with any term, covenant or condition contained in any of the Loan Documents;</w:t>
      </w:r>
    </w:p>
    <w:p>
      <w:pPr>
        <w:spacing w:after="0" w:line="53" w:lineRule="exact"/>
        <w:rPr>
          <w:rFonts w:ascii="Courier New" w:cs="Courier New" w:eastAsia="Courier New" w:hAnsi="Courier New"/>
          <w:sz w:val="14"/>
          <w:szCs w:val="14"/>
          <w:color w:val="auto"/>
        </w:rPr>
      </w:pPr>
    </w:p>
    <w:p>
      <w:pPr>
        <w:ind w:right="3239" w:firstLine="534"/>
        <w:spacing w:after="0" w:line="264" w:lineRule="auto"/>
        <w:tabs>
          <w:tab w:leader="none" w:pos="87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or creation at any time or times on or after the date of this Agreement of any claim, defense, right of set-off or counterclaim of any nature whatsoever of any Guarantor against any Principal Company, the Agent, the Issuing Bank or any Lender, or of any Principal Company against any Guarantor, the Agent, the Issuing Bank or any Lender; or</w:t>
      </w:r>
    </w:p>
    <w:p>
      <w:pPr>
        <w:spacing w:after="0" w:line="74" w:lineRule="exact"/>
        <w:rPr>
          <w:rFonts w:ascii="Courier New" w:cs="Courier New" w:eastAsia="Courier New" w:hAnsi="Courier New"/>
          <w:sz w:val="15"/>
          <w:szCs w:val="15"/>
          <w:color w:val="auto"/>
        </w:rPr>
      </w:pPr>
    </w:p>
    <w:p>
      <w:pPr>
        <w:ind w:right="3319" w:firstLine="534"/>
        <w:spacing w:after="0" w:line="273" w:lineRule="auto"/>
        <w:tabs>
          <w:tab w:leader="none" w:pos="87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the Notes, any of the other Loan Documents or any provisions of any thereof shall at any time and for any reason whatsoever cease to be in full force and effect or shall be declared null and void or illegal, invalid, unenforceable or inadmissible in evidence.</w:t>
      </w:r>
    </w:p>
    <w:p>
      <w:pPr>
        <w:spacing w:after="0" w:line="68" w:lineRule="exact"/>
        <w:rPr>
          <w:sz w:val="20"/>
          <w:szCs w:val="20"/>
          <w:color w:val="auto"/>
        </w:rPr>
      </w:pPr>
    </w:p>
    <w:p>
      <w:pPr>
        <w:ind w:right="3319" w:firstLine="525"/>
        <w:spacing w:after="0" w:line="280" w:lineRule="auto"/>
        <w:rPr>
          <w:sz w:val="20"/>
          <w:szCs w:val="20"/>
          <w:color w:val="auto"/>
        </w:rPr>
      </w:pPr>
      <w:r>
        <w:rPr>
          <w:rFonts w:ascii="Courier New" w:cs="Courier New" w:eastAsia="Courier New" w:hAnsi="Courier New"/>
          <w:sz w:val="14"/>
          <w:szCs w:val="14"/>
          <w:color w:val="auto"/>
        </w:rPr>
        <w:t>Each of the Guarantors hereby absolutely, unconditionally and irrevocably assents to and waives notice of any and all events, conditions, matters and things hereinbefore specified in clauses (a) through (h), inclusive, of the foregoing sentence of this SECTION 6.2. Each of the Guarantors hereby irrevocably waives presentment, demand, notice, protest, notice of protest, notice of dishonor and all other demands and notices in connection with the</w:t>
      </w:r>
    </w:p>
    <w:p>
      <w:pPr>
        <w:sectPr>
          <w:pgSz w:w="11900" w:h="16838" w:orient="portrait"/>
          <w:cols w:equalWidth="0" w:num="1">
            <w:col w:w="10239"/>
          </w:cols>
          <w:pgMar w:left="220" w:top="26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88</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80</w:t>
      </w:r>
    </w:p>
    <w:p>
      <w:pPr>
        <w:spacing w:after="0" w:line="140"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delivery, acceptance, performance, default or enforcement of this Agreement, any Note, any of the other Loan Documents, any of the Obligations or any of the Collateral.</w:t>
      </w:r>
    </w:p>
    <w:p>
      <w:pPr>
        <w:spacing w:after="0" w:line="5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Section 6.3. ELECTION OF REMEDIES. This Guaranty hereby made by the Guarantors is the guaranty of the full and punctual payment and performance by each Principal Company of all the Obligations and NOT of the collectability only of such Obligations. This Guaranty may be enforced by the Agent, the Issuing Bank or any Lender from time to time as often as the occasion therefor may arise, regardless of the adequacy of any other Collateral, and without any requirement on the part of the Agent, the Issuing Bank or any Lender first to exercise any rights or remedies against any other persons or to exhaust any remedies available to the Agent, the Issuing Bank or any Lender against any other Guarantor or any other persons or to resort to any Collateral in the possession of the Agent, the Issuing Bank, any Lender or the Collateral Trustee or under the control of the Agent, the Issuing Bank, any Lender or the Collateral Trustee or to resort to any other source or means of obtaining payment or enforcing performance of the Obligations or any of them.</w:t>
      </w:r>
    </w:p>
    <w:p>
      <w:pPr>
        <w:spacing w:after="0" w:line="81"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Section 6.4. EXPENSES. The Guarantors hereby, jointly and severally, unconditionally agree to pay to the Agent, on demand at any time by the Agent, any and all reasonable costs and expenses which shall at any time or times be incurred or sustained by the Agent, the Issuing Bank or any Lender in connection with the enforcement by the Agent, the Issuing Bank or any Lender of all or any of the rights, remedies, powers or privileges of the Agent, the Issuing Bank or such Lender under ARTICLE VI of this Agreement (including the reasonable fees and disbursements of counsel incurred by the Agent, the Issuing Bank or any Lender in connection therewith).</w:t>
      </w:r>
    </w:p>
    <w:p>
      <w:pPr>
        <w:spacing w:after="0" w:line="89"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Section 6.5. UNENFORCEABILITY OF OBLIGATIONS. It is hereby agreed by each Guarantor as a separate and independent stipulation that, if any other Guarantor shall cease to have any obligation to discharge its Obligations or any of them or if any of the moneys included in the Obligations shall become irrecoverable from any other Guarantor or if any of the Obligations shall become invalid or unenforceable, in whole or in part, against any other Guarantors for any reason whatsoever (legal or otherwise), including, but not limited to, any of the following reasons: (a) any defect in or insufficiency of the powers of any other Guarantors or any irregular or improper exercise thereof, or (b) the operation of any statute of limitations or the operation of any other laws now or hereafter in effect, or (c) the existence of any legal limitation, disability or incapacity affecting or otherwise relating to any other Guarantor, then this Guaranty and the obligations of such Guarantor to the Agent, the Issuing Bank and the Lenders hereunder shall nevertheless be binding on and enforceable against such Guarantors as if the Obligations were, at the time of demand by the Agent, the Issuing Bank or any Lender upon the Guarantors for payment under this Guaranty, fully valid and enforceable against such other Guarantors and as if such Guarantors were, at the time of such demand, the principal debtors in respect of all of the Obligations.</w:t>
      </w:r>
    </w:p>
    <w:p>
      <w:pPr>
        <w:sectPr>
          <w:pgSz w:w="11900" w:h="16838" w:orient="portrait"/>
          <w:cols w:equalWidth="0" w:num="1">
            <w:col w:w="10239"/>
          </w:cols>
          <w:pgMar w:left="220" w:top="261"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89</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pacing w:after="0" w:line="140" w:lineRule="exact"/>
        <w:rPr>
          <w:sz w:val="20"/>
          <w:szCs w:val="20"/>
          <w:color w:val="auto"/>
        </w:rPr>
      </w:pPr>
    </w:p>
    <w:p>
      <w:pPr>
        <w:ind w:right="3239" w:firstLine="525"/>
        <w:spacing w:after="0" w:line="265" w:lineRule="auto"/>
        <w:rPr>
          <w:sz w:val="20"/>
          <w:szCs w:val="20"/>
          <w:color w:val="auto"/>
        </w:rPr>
      </w:pPr>
      <w:r>
        <w:rPr>
          <w:rFonts w:ascii="Courier New" w:cs="Courier New" w:eastAsia="Courier New" w:hAnsi="Courier New"/>
          <w:sz w:val="14"/>
          <w:szCs w:val="14"/>
          <w:color w:val="auto"/>
        </w:rPr>
        <w:t>Section 6.6. SUBROGATION RIGHTS; SUBORDINATION OF SUBROGATION RIGHTS. The rights which any Guarantor shall acquire against any Principal Company as a consequence of making any payment to the Agent, the Issuing Bank or any Lender under its Guaranty are, in this Section 6.6, collectively called the "SUBROGATION RIGHTS." In the event of any proceeding for the distribution, division or application of all or any part of the assets of any such Principal Company, whether such proceeding be for the liquidation, dissolution or winding up of such Principal Company, a receivership, insolvency or bankruptcy proceeding, an assignment for the benefit of creditors, or a proceeding by or against such Principal Company for relief under any bankruptcy, reorganization or insolvency law, if all of the Obligations have not been paid and satisfied in full in cash at the time, the Agent is hereby irrevocably authorized by such Guarantor at any such proceeding:</w:t>
      </w:r>
    </w:p>
    <w:p>
      <w:pPr>
        <w:spacing w:after="0" w:line="253" w:lineRule="exact"/>
        <w:rPr>
          <w:sz w:val="20"/>
          <w:szCs w:val="20"/>
          <w:color w:val="auto"/>
        </w:rPr>
      </w:pPr>
    </w:p>
    <w:p>
      <w:pPr>
        <w:ind w:right="3239" w:firstLine="534"/>
        <w:spacing w:after="0" w:line="290" w:lineRule="auto"/>
        <w:tabs>
          <w:tab w:leader="none" w:pos="87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enforce all the Subrogation Rights of such Guarantor, either in the name of the Agent, the Issuing Bank or the Lenders or in the name of such Guarantor, by proof of debt, proof of claim, suit or otherwise;</w:t>
      </w:r>
    </w:p>
    <w:p>
      <w:pPr>
        <w:spacing w:after="0" w:line="56" w:lineRule="exact"/>
        <w:rPr>
          <w:rFonts w:ascii="Courier New" w:cs="Courier New" w:eastAsia="Courier New" w:hAnsi="Courier New"/>
          <w:sz w:val="15"/>
          <w:szCs w:val="15"/>
          <w:color w:val="auto"/>
        </w:rPr>
      </w:pPr>
    </w:p>
    <w:p>
      <w:pPr>
        <w:ind w:right="3239" w:firstLine="534"/>
        <w:spacing w:after="0" w:line="298" w:lineRule="auto"/>
        <w:tabs>
          <w:tab w:leader="none" w:pos="87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any assets of such Principal Company distributed or applied by way of dividend or payment on account of such Subrogation Rights, and to apply the same, or the proceeds of any realization thereof, towards the payment of Obligations until all Obligations have been paid and satisfied in full; and</w:t>
      </w:r>
    </w:p>
    <w:p>
      <w:pPr>
        <w:spacing w:after="0" w:line="53" w:lineRule="exact"/>
        <w:rPr>
          <w:rFonts w:ascii="Courier New" w:cs="Courier New" w:eastAsia="Courier New" w:hAnsi="Courier New"/>
          <w:sz w:val="14"/>
          <w:szCs w:val="14"/>
          <w:color w:val="auto"/>
        </w:rPr>
      </w:pPr>
    </w:p>
    <w:p>
      <w:pPr>
        <w:ind w:left="880" w:hanging="346"/>
        <w:spacing w:after="0"/>
        <w:tabs>
          <w:tab w:leader="none" w:pos="8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vote claims arising under or in respect of all such Subrogation</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Rights.</w:t>
      </w:r>
    </w:p>
    <w:p>
      <w:pPr>
        <w:spacing w:after="0" w:line="140"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So long as any Obligations remain unpaid, no Guarantor shall take any action of any kind to enforce any of its Subrogation Rights, and no Guarantor shall receive or accept from any Person or Persons any payments or other distributions in respect of any of its Subrogation Rights. Should any payment on account of any Subrogation Rights be received by any Guarantor, such payment shall be delivered by such Guarantor forthwith to the Agent in the form received by such Guarantor, except for the addition of any endorsement or assignment necessary to effect transfer of all rights therein to the Agent, the Issuing Bank and the Lenders. Until so delivered, each such payment shall be held by such Guarantor in trust for the ratable benefit of the Agent, the Issuing Bank and the Lenders and shall not be commingled with any other funds of any Guarantor.</w:t>
      </w:r>
    </w:p>
    <w:p>
      <w:pPr>
        <w:spacing w:after="0" w:line="88" w:lineRule="exact"/>
        <w:rPr>
          <w:sz w:val="20"/>
          <w:szCs w:val="20"/>
          <w:color w:val="auto"/>
        </w:rPr>
      </w:pPr>
    </w:p>
    <w:p>
      <w:pPr>
        <w:jc w:val="both"/>
        <w:ind w:right="3319" w:firstLine="525"/>
        <w:spacing w:after="0" w:line="264" w:lineRule="auto"/>
        <w:rPr>
          <w:sz w:val="20"/>
          <w:szCs w:val="20"/>
          <w:color w:val="auto"/>
        </w:rPr>
      </w:pPr>
      <w:r>
        <w:rPr>
          <w:rFonts w:ascii="Courier New" w:cs="Courier New" w:eastAsia="Courier New" w:hAnsi="Courier New"/>
          <w:sz w:val="14"/>
          <w:szCs w:val="14"/>
          <w:color w:val="auto"/>
        </w:rPr>
        <w:t>Section 6.7. LIMITATION ON OBLIGATIONS. It is the intention and agreement of each of the Guarantors, the Agent, the Issuing Bank and the Lenders that the obligations of each Guarantor under the provisions of this ARTICLE VI shall be in, but not in excess of, the maximum amount permitted by applicable law.</w:t>
      </w:r>
    </w:p>
    <w:p>
      <w:pPr>
        <w:spacing w:after="0" w:line="1" w:lineRule="exact"/>
        <w:rPr>
          <w:sz w:val="20"/>
          <w:szCs w:val="20"/>
          <w:color w:val="auto"/>
        </w:rPr>
      </w:pPr>
    </w:p>
    <w:p>
      <w:pPr>
        <w:jc w:val="both"/>
        <w:ind w:right="3319"/>
        <w:spacing w:after="0" w:line="272" w:lineRule="auto"/>
        <w:rPr>
          <w:sz w:val="20"/>
          <w:szCs w:val="20"/>
          <w:color w:val="auto"/>
        </w:rPr>
      </w:pPr>
      <w:r>
        <w:rPr>
          <w:rFonts w:ascii="Courier New" w:cs="Courier New" w:eastAsia="Courier New" w:hAnsi="Courier New"/>
          <w:sz w:val="15"/>
          <w:szCs w:val="15"/>
          <w:color w:val="auto"/>
        </w:rPr>
        <w:t>Accordingly, notwithstanding anything to the contrary contained in this ARTICLE VI, the obligations of each Guarantor under this ARTICLE VI shall be reduced to that amount which, after giving effect thereto,</w:t>
      </w:r>
    </w:p>
    <w:p>
      <w:pPr>
        <w:sectPr>
          <w:pgSz w:w="11900" w:h="16838" w:orient="portrait"/>
          <w:cols w:equalWidth="0" w:num="1">
            <w:col w:w="10239"/>
          </w:cols>
          <w:pgMar w:left="220" w:top="26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90</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pacing w:after="0" w:line="140"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would not render such Guarantor insolvent or unable to pay its debts and liabilities as they mature or leave such Guarantor with unreasonably small capital or otherwise exceed the maximum amount permitted under any federal or state fraudulent conveyance law applicable to this ARTICLE VI. This Section 6.7 is intended solely to preserve the rights of the Agent, the Issuing Bank and the Lenders under this Agreement to the maximum extent permitted by applicable law and no Guarantor nor any other person shall have any right under this Section 6.7 that it would not otherwise have under applicable law.</w:t>
      </w:r>
    </w:p>
    <w:p>
      <w:pPr>
        <w:spacing w:after="0" w:line="8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DELIVERY OF FINANCIAL REPORTS, DOCUMENTS</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AND OTHER INFORMATION</w:t>
      </w:r>
    </w:p>
    <w:p>
      <w:pPr>
        <w:spacing w:after="0" w:line="140" w:lineRule="exact"/>
        <w:rPr>
          <w:sz w:val="20"/>
          <w:szCs w:val="20"/>
          <w:color w:val="auto"/>
        </w:rPr>
      </w:pPr>
    </w:p>
    <w:p>
      <w:pPr>
        <w:ind w:right="3239" w:firstLine="525"/>
        <w:spacing w:after="0" w:line="298" w:lineRule="auto"/>
        <w:rPr>
          <w:sz w:val="20"/>
          <w:szCs w:val="20"/>
          <w:color w:val="auto"/>
        </w:rPr>
      </w:pPr>
      <w:r>
        <w:rPr>
          <w:rFonts w:ascii="Courier New" w:cs="Courier New" w:eastAsia="Courier New" w:hAnsi="Courier New"/>
          <w:sz w:val="14"/>
          <w:szCs w:val="14"/>
          <w:color w:val="auto"/>
        </w:rPr>
        <w:t>The undersigned Principal Companies agree with the Agent and each of the Lenders that, until all Commitments have been terminated, all Letters of Credit have been fully drawn or have terminated or expired and all Obligations have been paid in cash in full, the Principal Companies shall deliver to each Lender:</w:t>
      </w:r>
    </w:p>
    <w:p>
      <w:pPr>
        <w:spacing w:after="0" w:line="53"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Section 7.1. ANNUAL FINANCIAL STATEMENTS. Annually, as soon as available, but in any event within ninety (90) days after the last day of each of the Borrower's fiscal years, consolidated and consolidating balance sheets of the Borrower and its Subsidiaries (and, separately stated, of the Borrower and its Restricted Subsidiaries) at such last day of such fiscal year, and consolidated and consolidating statements of operations and cash flow of the Borrower and its Subsidiaries (and, separately stated, of the Borrower and its Restricted Subsidiaries) for such fiscal year, each prepared in accordance with GAAP consistently applied, in reasonable detail, and, as to the consolidated statements, certified without qualification by Ernst &amp; Young or another firm of independent certified public accountants satisfactory to the Agent, or certified, as to the consolidating statements, by the Chief Financial Officer, as fairly presenting the financial position and the results of operations of the Borrower and its Subsidiaries (or of the Borrower and its Restricted Subsidiaries, as the case may be) as at and for the year ending on its date and as having been prepared in accordance with GAAP.</w:t>
      </w:r>
    </w:p>
    <w:p>
      <w:pPr>
        <w:spacing w:after="0" w:line="79" w:lineRule="exact"/>
        <w:rPr>
          <w:sz w:val="20"/>
          <w:szCs w:val="20"/>
          <w:color w:val="auto"/>
        </w:rPr>
      </w:pPr>
    </w:p>
    <w:p>
      <w:pPr>
        <w:ind w:right="3239" w:firstLine="525"/>
        <w:spacing w:after="0" w:line="269" w:lineRule="auto"/>
        <w:rPr>
          <w:sz w:val="20"/>
          <w:szCs w:val="20"/>
          <w:color w:val="auto"/>
        </w:rPr>
      </w:pPr>
      <w:r>
        <w:rPr>
          <w:rFonts w:ascii="Courier New" w:cs="Courier New" w:eastAsia="Courier New" w:hAnsi="Courier New"/>
          <w:sz w:val="14"/>
          <w:szCs w:val="14"/>
          <w:color w:val="auto"/>
        </w:rPr>
        <w:t>Section 7.2. QUARTERLY FINANCIAL STATEMENTS. As soon as available, but in any event within sixty (60) days after the end of each of the Borrower's fiscal quarters, a consolidated and consolidating balance sheet of the Borrower and its Subsidiaries (and, separately stated, of the Borrower and its Restricted Subsidiaries) as of the last day of such quarter and consolidated and consolidating statements of operations and cash flow of the Borrower and its Subsidiaries (and, separately stated, of the Borrower and its Restricted Subsidiaries) for such quarter, together with comparative consolidated and consolidating figures for the immediately preceding fiscal quarter of the Borrower, all in reasonable detail, each such statement to be certified in a</w:t>
      </w:r>
    </w:p>
    <w:p>
      <w:pPr>
        <w:sectPr>
          <w:pgSz w:w="11900" w:h="16838" w:orient="portrait"/>
          <w:cols w:equalWidth="0" w:num="1">
            <w:col w:w="10239"/>
          </w:cols>
          <w:pgMar w:left="220" w:top="26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91</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pacing w:after="0" w:line="14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certificate of the Chief Financial Officer as accurately representing the financial position and the results of operations of the Borrower and its Subsidiaries (or of the Borrower and its Restricted Subsidiaries, as the case may be) as at its date and for such quarter and for the portion of the fiscal year then ended and as having been prepared in accordance with GAAP consistently applied (subject to year-end audit adjustments).</w:t>
      </w:r>
    </w:p>
    <w:p>
      <w:pPr>
        <w:spacing w:after="0" w:line="81"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Section 7.3. COMPLIANCE INFORMATION. Concurrently with any delivery of financial statements under Sections 7.1 or 7.2, a certificate, in form and substance reasonably satisfactory to the Agent, of the Chief Financial Officer of the Borrower (i) certifying that as of the effective date of the certificate, no Default or Event of Default is continuing or, if a Default or Event of Default is continuing, specifying the nature and the extent thereof and any corrective action taken or proposed to be taken with respect thereto, (ii) setting forth computations in reasonable detail (A) demonstrating compliance with the covenants set forth in ARTICLE X and Sections 9.1, 9.3 (with respect to Permitted Sales), 9.4(i) and 9.5 and (B) in the case of any certificate delivered with Financial Statements under Section 7.1, calculating Excess Cash Flow for the fiscal year then ended (iii) certifying that the representations and warranties contained in ARTICLE IV hereof are true in all material respects and with the same effect as though such representations and warranties were made on the date of such certificate, except for changes which are not prohibited hereunder or which have been consented to by the Required Lenders and none of which, either singly or in the aggregate, have had a Material Adverse Effect.</w:t>
      </w:r>
    </w:p>
    <w:p>
      <w:pPr>
        <w:spacing w:after="0" w:line="84" w:lineRule="exact"/>
        <w:rPr>
          <w:sz w:val="20"/>
          <w:szCs w:val="20"/>
          <w:color w:val="auto"/>
        </w:rPr>
      </w:pPr>
    </w:p>
    <w:p>
      <w:pPr>
        <w:jc w:val="both"/>
        <w:ind w:right="3319" w:firstLine="525"/>
        <w:spacing w:after="0" w:line="298" w:lineRule="auto"/>
        <w:rPr>
          <w:sz w:val="20"/>
          <w:szCs w:val="20"/>
          <w:color w:val="auto"/>
        </w:rPr>
      </w:pPr>
      <w:r>
        <w:rPr>
          <w:rFonts w:ascii="Courier New" w:cs="Courier New" w:eastAsia="Courier New" w:hAnsi="Courier New"/>
          <w:sz w:val="14"/>
          <w:szCs w:val="14"/>
          <w:color w:val="auto"/>
        </w:rPr>
        <w:t>Section 7.4. ACCOUNTANTS' REPORTS. Promptly upon receipt thereof, copies of all management letters and other material reports submitted to any Principal Company by its independent accountants in connection with any annual or interim audit or review of the books of any Principal Company made by such accountants.</w:t>
      </w:r>
    </w:p>
    <w:p>
      <w:pPr>
        <w:spacing w:after="0" w:line="53"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Section 7.5. COPIES OF DOCUMENTS. Promptly upon their becoming available, copies of any: (i) financial statements, projections, non-routine reports, notices (other than routine correspondence), requests for waivers and proxy statements, in each case, delivered by any Principal Company to any lending holder of Indebtedness for Borrowed Money other than the Lenders; (ii) correspondence or notices received by any Principal Company from any Governmental Authority which regulates the operations of the Principal Companies, including the FCC, relating to an actual or threatened change or development which could be materially adverse to the Principal Companies or any Station, and all applications for renewals of any of the FCC Licenses; (iii) registration statements, prospectuses and any amendments and supplements thereto, and any regular and periodic reports (including reports on Form 10K, Form 10Q or Form 8K), if any, filed by any Principal Company with any securities exchange or with the Securities and Exchange Commission or any Governmental Authority succeeding to any or all of the functions of the said Commission (collectively, the "PUBLIC FILINGS"); (iv) letters of comment or correspondence sent to any Principal Company by any such securities</w:t>
      </w:r>
    </w:p>
    <w:p>
      <w:pPr>
        <w:sectPr>
          <w:pgSz w:w="11900" w:h="16838" w:orient="portrait"/>
          <w:cols w:equalWidth="0" w:num="1">
            <w:col w:w="10239"/>
          </w:cols>
          <w:pgMar w:left="220" w:top="26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92</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pacing w:after="0" w:line="14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exchange or such Commission in relation to such Principal Company and its affairs; (v) written reports submitted by any Principal Company or by its independent accountants in connection with any annual or interim audit of the books of such Principal Company made by such accountants; (vi) any appraisals received by such Principal Companies with respect to the properties or assets of such Principal Company; and (vii) any report, document, notices or proxy statement sent by any Principal Company to any of its stockholders.</w:t>
      </w:r>
    </w:p>
    <w:p>
      <w:pPr>
        <w:spacing w:after="0" w:line="82" w:lineRule="exact"/>
        <w:rPr>
          <w:sz w:val="20"/>
          <w:szCs w:val="20"/>
          <w:color w:val="auto"/>
        </w:rPr>
      </w:pPr>
    </w:p>
    <w:p>
      <w:pPr>
        <w:ind w:right="3399" w:firstLine="525"/>
        <w:spacing w:after="0" w:line="249" w:lineRule="auto"/>
        <w:rPr>
          <w:sz w:val="20"/>
          <w:szCs w:val="20"/>
          <w:color w:val="auto"/>
        </w:rPr>
      </w:pPr>
      <w:r>
        <w:rPr>
          <w:rFonts w:ascii="Courier New" w:cs="Courier New" w:eastAsia="Courier New" w:hAnsi="Courier New"/>
          <w:sz w:val="15"/>
          <w:szCs w:val="15"/>
          <w:color w:val="auto"/>
        </w:rPr>
        <w:t>Section 7.6. ANNUAL BUDGET. Annually, as soon as available but in any event within thirty (30) days after the last day of each of the Borrower's fiscal years, a summary of business plans in the form of consolidated and consolidating (on a station-by-station and market-by-market basis) financial operating projections for the Borrower and its Restricted Subsidiaries for the upcoming year, including (a) balance sheets, and (b) statements of operations and cash flows (indicating projected revenues and expenses), each prepared for the upcoming fiscal year on a monthly basis (together with reasonable assumptions and explanations attached thereto), all in form and substance satisfactory to the Required Lenders.</w:t>
      </w:r>
    </w:p>
    <w:p>
      <w:pPr>
        <w:spacing w:after="0" w:line="87"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Section 7.7. ADDITIONAL INFORMATION. Such other information regarding the business, affairs and condition of the Borrower and its Subsidiaries as the Agent or the Required Lenders may from time to time reasonably request, including monthly financial statements.</w:t>
      </w:r>
    </w:p>
    <w:p>
      <w:pPr>
        <w:spacing w:after="0" w:line="6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AFFIRMATIVE COVENANTS</w:t>
      </w:r>
    </w:p>
    <w:p>
      <w:pPr>
        <w:spacing w:after="0" w:line="166"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The undersigned Principal Companies agree with the Agent and each Lender that, until all Commitments have been terminated, all Letters of Credit have been fully drawn or have terminated or expired and all Obligations have been paid in cash in full, each Principal Company shall:</w:t>
      </w:r>
    </w:p>
    <w:p>
      <w:pPr>
        <w:spacing w:after="0" w:line="68"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Section 8.1. PAYMENT AND PERFORMANCE OF OBLIGATIONS. Pay its Indebtedness and pay and perform its Contractual Obligations promptly and in accordance with their respective terms, including all Taxes, assessments and governmental charges upon its income or profits or in respect of its Assets and all lawful claims for labor, material and supplies or otherwise which, if unpaid, might give rise to a Lien upon its Assets, unless and to the extent that such Indebtedness or Contractual Obligations are being contested in good faith and by appropriate proceedings and that proper and adequate reserves relating thereto are established in accordance with GAAP by the appropriate Principal Companies and then only to the extent that a bond is filed in cases where the filing of a bond is necessary to avoid the creation of a Lien against any of its properties. Nothing in this Section 8.1 shall (i) relieve any Principal Company from its absolute and unconditional obligation to pay and perform all Obligations of such Principal Company promptly and in accordance with their</w:t>
      </w:r>
    </w:p>
    <w:p>
      <w:pPr>
        <w:sectPr>
          <w:pgSz w:w="11900" w:h="16838" w:orient="portrait"/>
          <w:cols w:equalWidth="0" w:num="1">
            <w:col w:w="10239"/>
          </w:cols>
          <w:pgMar w:left="220" w:top="26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93</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85</w:t>
      </w:r>
    </w:p>
    <w:p>
      <w:pPr>
        <w:spacing w:after="0" w:line="140"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respective terms, or (ii) require any Principal Company to pay or perform any obligations in respect of Subordinated Debt if prohibited by any subordination provisions applicable thereto.</w:t>
      </w:r>
    </w:p>
    <w:p>
      <w:pPr>
        <w:spacing w:after="0" w:line="57"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Section 8.2. CONDUCT OF BUSINESS. Do, or cause to be done, all things reasonably necessary to (i) preserve and keep in full force and effect its corporate existence and good standing under the laws of its jurisdiction of incorporation or organization, (ii) obtain, maintain, preserve, renew, extend and keep in full force and effect all material permits, rights, licenses, franchises, authorizations, patents, Trademarks, Copyrights and privileges reasonably necessary for the proper conduct of its business, including FCC Licenses (except for (a) FCC licenses for Secondary Stations and the license for KNAL (AM), Victoria, Texas, which the Principal Companies may donate to Bible Broadcasting Network, Inc. and (b) Sales of Assets permitted by SECTION 9.3),</w:t>
      </w:r>
    </w:p>
    <w:p>
      <w:pPr>
        <w:spacing w:after="0" w:line="3" w:lineRule="exact"/>
        <w:rPr>
          <w:sz w:val="20"/>
          <w:szCs w:val="20"/>
          <w:color w:val="auto"/>
        </w:rPr>
      </w:pPr>
    </w:p>
    <w:p>
      <w:pPr>
        <w:ind w:right="3239" w:firstLine="10"/>
        <w:spacing w:after="0" w:line="254" w:lineRule="auto"/>
        <w:tabs>
          <w:tab w:leader="none" w:pos="52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and operate its business substantially in the manner in which it is presently conducted and operated, (iv) comply in all material respects with all Requirements of Law, including the Communications Act, (v) comply with all its Governing Documents, (vi) maintain its qualification to do business in each jurisdiction in which the failure to do so would have a Material Adverse Effect,</w:t>
      </w:r>
    </w:p>
    <w:p>
      <w:pPr>
        <w:spacing w:after="0" w:line="1" w:lineRule="exact"/>
        <w:rPr>
          <w:rFonts w:ascii="Courier New" w:cs="Courier New" w:eastAsia="Courier New" w:hAnsi="Courier New"/>
          <w:sz w:val="14"/>
          <w:szCs w:val="14"/>
          <w:color w:val="auto"/>
        </w:rPr>
      </w:pPr>
    </w:p>
    <w:p>
      <w:pPr>
        <w:ind w:right="3239" w:firstLine="10"/>
        <w:spacing w:after="0" w:line="260" w:lineRule="auto"/>
        <w:tabs>
          <w:tab w:leader="none" w:pos="52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preserve all the remainder of its Assets and property, and all improvements thereon, in use or useful in the conduct of its business and keep the same in reasonable repair, working order and condition as the same is now or may hereafter be put (taking into consideration ordinary wear and tear), damage from casualty expressly not excepted, and from time to time make, or cause to be made, all needful and proper repairs, renewals and replacements, betterments, additions and improvements thereto consistent with industry practices, so that the business carried on in connection therewith may be properly and advantageously conducted at all times, such repairs, renewals and replacements, betterments, additions and improvements to be conducted in accordance with the terms of Section 8.5, (viii) transact business in such names as such Principal Company has from time to time used in conducting its business, and (ix) maintain its executive offices and principal place of business at the locations set forth on SCHEDULE 8.2 hereto, or at such other place in the United States of America as the Borrower shall designate upon written notice to the Agent. Notwithstanding anything in this Section 8.1 or elsewhere in the Agreement to the contrary, the Principal Companies will not, and will not cause or permit any Station, to:</w:t>
      </w:r>
    </w:p>
    <w:p>
      <w:pPr>
        <w:spacing w:after="0" w:line="248" w:lineRule="exact"/>
        <w:rPr>
          <w:rFonts w:ascii="Courier New" w:cs="Courier New" w:eastAsia="Courier New" w:hAnsi="Courier New"/>
          <w:sz w:val="14"/>
          <w:szCs w:val="14"/>
          <w:color w:val="auto"/>
        </w:rPr>
      </w:pPr>
    </w:p>
    <w:p>
      <w:pPr>
        <w:ind w:right="3239" w:firstLine="534"/>
        <w:spacing w:after="0" w:line="258" w:lineRule="auto"/>
        <w:tabs>
          <w:tab w:leader="none" w:pos="87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so called "local market agreements" or any other arrangements with any other Communication System (other than another Station) whereby the parties agree to function cooperatively in terms of programming, advertising, sales, management, consulting or similar services, EXCEPT for (i) any such agreements or arrangements existing on the date hereof and described in SCHEDULE 8.2(A) or (ii) any Permitted LMA Transactions; or</w:t>
      </w:r>
    </w:p>
    <w:p>
      <w:pPr>
        <w:spacing w:after="0" w:line="81" w:lineRule="exact"/>
        <w:rPr>
          <w:rFonts w:ascii="Courier New" w:cs="Courier New" w:eastAsia="Courier New" w:hAnsi="Courier New"/>
          <w:sz w:val="15"/>
          <w:szCs w:val="15"/>
          <w:color w:val="auto"/>
        </w:rPr>
      </w:pPr>
    </w:p>
    <w:p>
      <w:pPr>
        <w:jc w:val="both"/>
        <w:ind w:right="3679" w:firstLine="534"/>
        <w:spacing w:after="0" w:line="385" w:lineRule="auto"/>
        <w:tabs>
          <w:tab w:leader="none" w:pos="87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so-called "time brokerage agreements" or any other agreements or arrangements under which any Station shall (i) sell broadcast</w:t>
      </w:r>
    </w:p>
    <w:p>
      <w:pPr>
        <w:sectPr>
          <w:pgSz w:w="11900" w:h="16838" w:orient="portrait"/>
          <w:cols w:equalWidth="0" w:num="1">
            <w:col w:w="10239"/>
          </w:cols>
          <w:pgMar w:left="220" w:top="26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94</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pacing w:after="0" w:line="140"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time to any other Communication System (other than another Station) which programs such broadcast time and sells its own commercial advertising announcements during such broadcast time or (ii) purchase broadcast time on any other Communication System (other than another Station) for the purpose of programming such broadcast time and selling its commercial advertisements during such time, EXCEPT for (i) such agreements or arrangements existing on the date hereof and described on SCHEDULE 8.2(b) hereto or (ii) Permitted LMA Transactions; or</w:t>
      </w:r>
    </w:p>
    <w:p>
      <w:pPr>
        <w:spacing w:after="0" w:line="86" w:lineRule="exact"/>
        <w:rPr>
          <w:sz w:val="20"/>
          <w:szCs w:val="20"/>
          <w:color w:val="auto"/>
        </w:rPr>
      </w:pPr>
    </w:p>
    <w:p>
      <w:pPr>
        <w:ind w:right="3239" w:firstLine="534"/>
        <w:spacing w:after="0" w:line="273" w:lineRule="auto"/>
        <w:tabs>
          <w:tab w:leader="none" w:pos="87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enter into any oral or written agreement with any other Person (other than one of the Principal Companies) pursuant to which any employee or any Assets owned by any Principal Company would be used by or shared with any other Person (other than one of the Principal Companies).</w:t>
      </w:r>
    </w:p>
    <w:p>
      <w:pPr>
        <w:spacing w:after="0" w:line="68"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Section 8.3. BOOKS AND RECORDS. Keep proper books of record and account in a manner reasonably satisfactory to the Agent in which full, true and correct entries shall be made in accordance with GAAP and maintain adequate accounts and reserves for all Taxes (including income taxes), all depreciation, depletion, obsolescence and amortization of its properties, all other contingencies, and all other proper reserves. Maintain a fiscal year ending December 31 of each year.</w:t>
      </w:r>
    </w:p>
    <w:p>
      <w:pPr>
        <w:spacing w:after="0" w:line="82" w:lineRule="exact"/>
        <w:rPr>
          <w:sz w:val="20"/>
          <w:szCs w:val="20"/>
          <w:color w:val="auto"/>
        </w:rPr>
      </w:pPr>
    </w:p>
    <w:p>
      <w:pPr>
        <w:ind w:right="3239" w:firstLine="525"/>
        <w:spacing w:after="0" w:line="250" w:lineRule="auto"/>
        <w:rPr>
          <w:sz w:val="20"/>
          <w:szCs w:val="20"/>
          <w:color w:val="auto"/>
        </w:rPr>
      </w:pPr>
      <w:r>
        <w:rPr>
          <w:rFonts w:ascii="Courier New" w:cs="Courier New" w:eastAsia="Courier New" w:hAnsi="Courier New"/>
          <w:sz w:val="15"/>
          <w:szCs w:val="15"/>
          <w:color w:val="auto"/>
        </w:rPr>
        <w:t>Section 8.4. INSPECTIONS AND AUDITS. Permit any officer or employee designated by the Agent or any Lender to visit and inspect any of its properties and to examine and audit its books and discuss the affairs, finances and accounts of any Principal Company with its officers, all at such reasonable times, upon reasonable notice, in a reasonable manner and as often as the Agent or the Required Lenders may reasonably request. The Principal Companies shall pay all reasonable out-of-pocket expenses incurred by any officers or employees of the Agent or any Lender in connection with any such visitation, audits and inspection.</w:t>
      </w:r>
    </w:p>
    <w:p>
      <w:pPr>
        <w:spacing w:after="0" w:line="8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8.5. INSURANCE.</w:t>
      </w:r>
    </w:p>
    <w:p>
      <w:pPr>
        <w:spacing w:after="0" w:line="166" w:lineRule="exact"/>
        <w:rPr>
          <w:sz w:val="20"/>
          <w:szCs w:val="20"/>
          <w:color w:val="auto"/>
        </w:rPr>
      </w:pPr>
    </w:p>
    <w:p>
      <w:pPr>
        <w:ind w:right="3239" w:firstLine="534"/>
        <w:spacing w:after="0" w:line="245" w:lineRule="auto"/>
        <w:tabs>
          <w:tab w:leader="none" w:pos="87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insurance covering, without limitation, fire, public liability, property damage, product liability workers' compensation and insurance on all Assets of each Principal Company, all in amounts customary for the industry and under policies issued by financially sound and reputable insurers satisfactory to the Agent and, with respect to any such insurance policies covering all or any portion of the Collateral, with a lender's loss payable clause in favor of the Collateral Trustee for the benefit of the Lenders, as their interests may appear, and naming the Agent as additional insured. All such policies of insurance shall be endorsed or otherwise amended to include a lender's loss payable endorsement, in form and substance reasonably satisfactory to the Collateral Trustee, which shall provide that, from and after the date, if any, on which the insurance carrier receives written notice from the Collateral Trustee that an Event of Default (a "DEFAULT NOTICE") has occurred, all proceeds otherwise payable to any Principal Company under such policies</w:t>
      </w:r>
    </w:p>
    <w:p>
      <w:pPr>
        <w:sectPr>
          <w:pgSz w:w="11900" w:h="16838" w:orient="portrait"/>
          <w:cols w:equalWidth="0" w:num="1">
            <w:col w:w="10239"/>
          </w:cols>
          <w:pgMar w:left="220" w:top="26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95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Pr>
          <w:p>
            <w:pPr>
              <w:jc w:val="right"/>
              <w:ind w:right="1627"/>
              <w:spacing w:after="0"/>
              <w:rPr>
                <w:sz w:val="20"/>
                <w:szCs w:val="20"/>
                <w:color w:val="auto"/>
              </w:rPr>
            </w:pPr>
            <w:r>
              <w:rPr>
                <w:rFonts w:ascii="Courier New" w:cs="Courier New" w:eastAsia="Courier New" w:hAnsi="Courier New"/>
                <w:sz w:val="15"/>
                <w:szCs w:val="15"/>
                <w:color w:val="auto"/>
                <w:w w:val="88"/>
              </w:rPr>
              <w: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bl>
    <w:p>
      <w:pPr>
        <w:spacing w:after="0" w:line="65" w:lineRule="exact"/>
        <w:rPr>
          <w:sz w:val="20"/>
          <w:szCs w:val="20"/>
          <w:color w:val="auto"/>
        </w:rPr>
      </w:pPr>
    </w:p>
    <w:p>
      <w:pPr>
        <w:ind w:right="3319"/>
        <w:spacing w:after="0" w:line="276" w:lineRule="auto"/>
        <w:rPr>
          <w:sz w:val="20"/>
          <w:szCs w:val="20"/>
          <w:color w:val="auto"/>
        </w:rPr>
      </w:pPr>
      <w:r>
        <w:rPr>
          <w:rFonts w:ascii="Courier New" w:cs="Courier New" w:eastAsia="Courier New" w:hAnsi="Courier New"/>
          <w:sz w:val="14"/>
          <w:szCs w:val="14"/>
          <w:color w:val="auto"/>
        </w:rPr>
        <w:t>shall be payable directly to the Collateral Trustee. Such endorsement or an independent instrument furnished to the Collateral Trustee shall provide that the insurance carriers will give the Collateral Trustee at least 30 days' prior written notice before any such policy or policies of insurance shall be altered or canceled and that no act or default of any Principal Company or any other Person shall affect the right of the Collateral Trustee to recover under such policy or policies of insurance in case of loss or damage.</w:t>
      </w:r>
    </w:p>
    <w:p>
      <w:pPr>
        <w:spacing w:after="0" w:line="69" w:lineRule="exact"/>
        <w:rPr>
          <w:sz w:val="20"/>
          <w:szCs w:val="20"/>
          <w:color w:val="auto"/>
        </w:rPr>
      </w:pPr>
    </w:p>
    <w:p>
      <w:pPr>
        <w:ind w:right="3239" w:firstLine="534"/>
        <w:spacing w:after="0" w:line="243" w:lineRule="auto"/>
        <w:tabs>
          <w:tab w:leader="none" w:pos="87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Principal Companies irrevocably makes, constitutes, and appoints the Collateral Trustee (and all officers, employees, or agents designated by the Collateral Trustee) as such Principal Company's true and lawful attorney (and agent-in-fact) effective upon the giving of a Default Notice and the continuance of an Event of Default for the purpose of making, settling, and adjusting claims under policies of insurance, endorsing the name of such Principal Company on any check, draft, instrument or other item or payment for the proceeds of such policies of insurance and for making all determinations and decisions with respect thereto. In the event that any Principal Company at any time or times shall fail to obtain or maintain any of the policies of insurance required hereby or to pay any premium in whole or part relating thereto, the Collateral Trustee may, without waiving or releasing any obligation or liability of such Principal Company hereunder or any Event of Default, in the Collateral Trustee's sole discretion, obtain and maintain such policies of insurance and pay such premiums and take any other actions with respect thereto as the Collateral Trustee deems advisable. All such sums so disbursed by the Collateral Trustee, including reasonable attorneys' fees, court costs, expenses and other charges relating thereto, shall be payable, upon demand, by such Principal Company to the Collateral Trustee and shall be additional Obligations hereunder.</w:t>
      </w:r>
    </w:p>
    <w:p>
      <w:pPr>
        <w:spacing w:after="0" w:line="91"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Section 8.6. NOTICE OF DEFAULTS, LITIGATION; ETC. Deliver to the Agent and the Lenders prompt written notice of the following:</w:t>
      </w:r>
    </w:p>
    <w:p>
      <w:pPr>
        <w:spacing w:after="0" w:line="17" w:lineRule="exact"/>
        <w:rPr>
          <w:sz w:val="20"/>
          <w:szCs w:val="20"/>
          <w:color w:val="auto"/>
        </w:rPr>
      </w:pPr>
    </w:p>
    <w:p>
      <w:pPr>
        <w:ind w:right="3679" w:firstLine="534"/>
        <w:spacing w:after="0" w:line="381" w:lineRule="auto"/>
        <w:tabs>
          <w:tab w:leader="none" w:pos="8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or Event of Default, specifying the nature and extent thereof and the corrective action proposed to be taken in respect thereto.</w:t>
      </w:r>
    </w:p>
    <w:p>
      <w:pPr>
        <w:spacing w:after="0" w:line="1" w:lineRule="exact"/>
        <w:rPr>
          <w:rFonts w:ascii="Courier New" w:cs="Courier New" w:eastAsia="Courier New" w:hAnsi="Courier New"/>
          <w:sz w:val="14"/>
          <w:szCs w:val="14"/>
          <w:color w:val="auto"/>
        </w:rPr>
      </w:pPr>
    </w:p>
    <w:p>
      <w:pPr>
        <w:ind w:right="3239" w:firstLine="534"/>
        <w:spacing w:after="0" w:line="287" w:lineRule="auto"/>
        <w:tabs>
          <w:tab w:leader="none" w:pos="8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or commencement of or written notice of intention to file or commence any action, suit or proceeding, whether at law or at equity or by or before any Governmental Authority, by or against or affecting any Principal Company, that, if determined adversely to such Principal Company, could result in a Default or an Event of Default described in Section 11.1(i) hereof.</w:t>
      </w:r>
    </w:p>
    <w:p>
      <w:pPr>
        <w:spacing w:after="0" w:line="60" w:lineRule="exact"/>
        <w:rPr>
          <w:rFonts w:ascii="Courier New" w:cs="Courier New" w:eastAsia="Courier New" w:hAnsi="Courier New"/>
          <w:sz w:val="14"/>
          <w:szCs w:val="14"/>
          <w:color w:val="auto"/>
        </w:rPr>
      </w:pPr>
    </w:p>
    <w:p>
      <w:pPr>
        <w:ind w:right="4099" w:firstLine="534"/>
        <w:spacing w:after="0" w:line="344" w:lineRule="auto"/>
        <w:tabs>
          <w:tab w:leader="none" w:pos="87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development that has resulted in, or could reasonably be anticipated to result in, a Material Adverse Effect.</w:t>
      </w:r>
    </w:p>
    <w:p>
      <w:pPr>
        <w:spacing w:after="0" w:line="17" w:lineRule="exact"/>
        <w:rPr>
          <w:rFonts w:ascii="Courier New" w:cs="Courier New" w:eastAsia="Courier New" w:hAnsi="Courier New"/>
          <w:sz w:val="15"/>
          <w:szCs w:val="15"/>
          <w:color w:val="auto"/>
        </w:rPr>
      </w:pPr>
    </w:p>
    <w:p>
      <w:pPr>
        <w:ind w:right="3579" w:firstLine="534"/>
        <w:spacing w:after="0" w:line="320" w:lineRule="auto"/>
        <w:tabs>
          <w:tab w:leader="none" w:pos="87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termination, amendment, modification or supplement of any Governing Document of any Principal Company or any Ancillary Document or any waiver under any Ancillary Document, and deliver to the Agent copies of</w:t>
      </w:r>
    </w:p>
    <w:p>
      <w:pPr>
        <w:sectPr>
          <w:pgSz w:w="11900" w:h="16838" w:orient="portrait"/>
          <w:cols w:equalWidth="0" w:num="1">
            <w:col w:w="10239"/>
          </w:cols>
          <w:pgMar w:left="220" w:top="26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96</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pacing w:after="0" w:line="140"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any such termination, amendment, modification, supplement, or waiver (to the extent the same is reflected in any writing).</w:t>
      </w:r>
    </w:p>
    <w:p>
      <w:pPr>
        <w:spacing w:after="0" w:line="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8.7. ERISA NOTICES.</w:t>
      </w:r>
    </w:p>
    <w:p>
      <w:pPr>
        <w:spacing w:after="0" w:line="166" w:lineRule="exact"/>
        <w:rPr>
          <w:sz w:val="20"/>
          <w:szCs w:val="20"/>
          <w:color w:val="auto"/>
        </w:rPr>
      </w:pPr>
    </w:p>
    <w:p>
      <w:pPr>
        <w:ind w:right="3399" w:firstLine="534"/>
        <w:spacing w:after="0" w:line="280" w:lineRule="auto"/>
        <w:tabs>
          <w:tab w:leader="none" w:pos="8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notify the Agent in writing of the occurrence of any ERISA Reportable Event, if a notice of such ERISA Reportable Event is required under ERISA to be delivered to the PBGC within thirty (30) days after the occurrence thereof, together with a description of such ERISA Reportable Event and a statement of the action the Principal Companies intends to take with respect thereto, together with a copy of any notice thereof given to the PBGC.</w:t>
      </w:r>
    </w:p>
    <w:p>
      <w:pPr>
        <w:spacing w:after="0" w:line="67" w:lineRule="exact"/>
        <w:rPr>
          <w:rFonts w:ascii="Courier New" w:cs="Courier New" w:eastAsia="Courier New" w:hAnsi="Courier New"/>
          <w:sz w:val="14"/>
          <w:szCs w:val="14"/>
          <w:color w:val="auto"/>
        </w:rPr>
      </w:pPr>
    </w:p>
    <w:p>
      <w:pPr>
        <w:ind w:right="3239" w:firstLine="534"/>
        <w:spacing w:after="0" w:line="264" w:lineRule="auto"/>
        <w:tabs>
          <w:tab w:leader="none" w:pos="87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filing the same with the Department of Labor or Internal Revenue Service, furnish to the Agent a copy of the most recent actuarial statement required to be submitted under ss.103(d) of ERISA and Annual Report, Form 5500, with all required attachments, in respect of each Guaranteed Pension Plan; and</w:t>
      </w:r>
    </w:p>
    <w:p>
      <w:pPr>
        <w:spacing w:after="0" w:line="74" w:lineRule="exact"/>
        <w:rPr>
          <w:rFonts w:ascii="Courier New" w:cs="Courier New" w:eastAsia="Courier New" w:hAnsi="Courier New"/>
          <w:sz w:val="15"/>
          <w:szCs w:val="15"/>
          <w:color w:val="auto"/>
        </w:rPr>
      </w:pPr>
    </w:p>
    <w:p>
      <w:pPr>
        <w:ind w:right="3319" w:firstLine="534"/>
        <w:spacing w:after="0" w:line="298" w:lineRule="auto"/>
        <w:tabs>
          <w:tab w:leader="none" w:pos="8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or dispatch, furnish to the Agent any notice, report or demand sent or received in respect of a Guaranteed Pension Plan under secs.302, 4041, 4042, 4043, 4063, 4065, 4066 and 4068 of ERISA, or in respect of a Multiemployer Plan, under secs.4041A, 4202, 4219, 4242, or 4245 of ERISA.</w:t>
      </w:r>
    </w:p>
    <w:p>
      <w:pPr>
        <w:spacing w:after="0" w:line="53"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Section 8.8. NO TERMINATION OF LOAN DOCUMENTS, ETC. Take or cause to be taken, promptly and without expense to the Agent or the Lenders, all such action as may be required to prevent, and refrain from taking any action that might cause, the termination, cancellation, amendment, rescission or default of any provision of any of the Loan Documents other than in accordance with the terms thereof.</w:t>
      </w:r>
    </w:p>
    <w:p>
      <w:pPr>
        <w:spacing w:after="0" w:line="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8.9. ENVIRONMENTAL LAWS.</w:t>
      </w:r>
    </w:p>
    <w:p>
      <w:pPr>
        <w:spacing w:after="0" w:line="166" w:lineRule="exact"/>
        <w:rPr>
          <w:sz w:val="20"/>
          <w:szCs w:val="20"/>
          <w:color w:val="auto"/>
        </w:rPr>
      </w:pPr>
    </w:p>
    <w:p>
      <w:pPr>
        <w:ind w:right="3239" w:firstLine="534"/>
        <w:spacing w:after="0" w:line="255" w:lineRule="auto"/>
        <w:tabs>
          <w:tab w:leader="none" w:pos="87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and use its best efforts to insure compliance by all Subsidiaries, tenants and subtenants, if any, with, all Environmental Laws and obtain and comply with and maintain, and use its best efforts to insure that all tenants and subtenants obtain and comply with and maintain, any and all licenses, approvals, registrations or permits required by any Environmental Laws, except to the extent that the failure to do so could not have a Material Adverse Effect.</w:t>
      </w:r>
    </w:p>
    <w:p>
      <w:pPr>
        <w:spacing w:after="0" w:line="81" w:lineRule="exact"/>
        <w:rPr>
          <w:rFonts w:ascii="Courier New" w:cs="Courier New" w:eastAsia="Courier New" w:hAnsi="Courier New"/>
          <w:sz w:val="15"/>
          <w:szCs w:val="15"/>
          <w:color w:val="auto"/>
        </w:rPr>
      </w:pPr>
    </w:p>
    <w:p>
      <w:pPr>
        <w:ind w:right="3399" w:firstLine="534"/>
        <w:spacing w:after="0" w:line="276" w:lineRule="auto"/>
        <w:tabs>
          <w:tab w:leader="none" w:pos="87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and complete or cause to be conducted and completed, with respect to its Assets and those of its Subsidiaries, all investigations, studies, sampling and testing, and all remedial, removal and other actions required under any Environmental Laws and promptly comply with, and cause its Subsidiaries to comply with, all lawful orders and directives of all Governmental Authorities respecting Environmental Laws, except to the extent that the same are being contested in good faith by appropriate proceedings and</w:t>
      </w:r>
    </w:p>
    <w:p>
      <w:pPr>
        <w:sectPr>
          <w:pgSz w:w="11900" w:h="16838" w:orient="portrait"/>
          <w:cols w:equalWidth="0" w:num="1">
            <w:col w:w="10239"/>
          </w:cols>
          <w:pgMar w:left="220" w:top="26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97</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pacing w:after="0" w:line="140"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the pendency of such proceedings could not reasonably be expected to have a Material Adverse Effect or result in a Lien upon any real property of any of the Principal Companies.</w:t>
      </w:r>
    </w:p>
    <w:p>
      <w:pPr>
        <w:spacing w:after="0" w:line="57" w:lineRule="exact"/>
        <w:rPr>
          <w:sz w:val="20"/>
          <w:szCs w:val="20"/>
          <w:color w:val="auto"/>
        </w:rPr>
      </w:pPr>
    </w:p>
    <w:p>
      <w:pPr>
        <w:ind w:right="3319" w:firstLine="534"/>
        <w:spacing w:after="0" w:line="250" w:lineRule="auto"/>
        <w:tabs>
          <w:tab w:leader="none" w:pos="87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notify the Agent in writing if any Borrower Affiliated Company receives: (i) any notice of any violation or administrative or judicial complaint or order having been filed or about to be filed against any Borrower Affiliated Company alleging violations of any Environmental Law, or (ii) any notice from any Governmental Authority or any other Person alleging that any Borrower Affiliated is or may be subject to any Environmental Liability; and promptly upon receipt thereof, provide the Agent with a copy of such notice together with a statement of the action the Principal Companies intend to take with respect thereto.</w:t>
      </w:r>
    </w:p>
    <w:p>
      <w:pPr>
        <w:spacing w:after="0" w:line="8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8.10. [Intentionally Deleted].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8.11. GOVERNMENTAL</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w w:val="98"/>
              </w:rPr>
              <w:t>APPROVALS. Obtain all such</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approvals or</w:t>
            </w:r>
          </w:p>
        </w:tc>
      </w:tr>
      <w:tr>
        <w:trPr>
          <w:trHeight w:val="168"/>
        </w:trPr>
        <w:tc>
          <w:tcPr>
            <w:tcW w:w="2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consents from, and take all such</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other actions with respect</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to, any Governmental</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Authority as</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may be required for</w:t>
            </w:r>
          </w:p>
        </w:tc>
        <w:tc>
          <w:tcPr>
            <w:tcW w:w="4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the execution, delivery and performance of the</w:t>
            </w:r>
          </w:p>
        </w:tc>
      </w:tr>
      <w:tr>
        <w:trPr>
          <w:trHeight w:val="168"/>
        </w:trPr>
        <w:tc>
          <w:tcPr>
            <w:tcW w:w="2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Loan Documents and the Ancillary</w:t>
            </w:r>
          </w:p>
        </w:tc>
        <w:tc>
          <w:tcPr>
            <w:tcW w:w="4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Documents, and duly perform and comply with all</w:t>
            </w:r>
          </w:p>
        </w:tc>
      </w:tr>
      <w:tr>
        <w:trPr>
          <w:trHeight w:val="245"/>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of the terms</w:t>
            </w:r>
          </w:p>
        </w:tc>
        <w:tc>
          <w:tcPr>
            <w:tcW w:w="5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conditions of all approvals or consents so obtained.</w:t>
            </w:r>
          </w:p>
        </w:tc>
      </w:tr>
    </w:tbl>
    <w:p>
      <w:pPr>
        <w:spacing w:after="0" w:line="9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8.12. COLLATERAL FOR LOANS.</w:t>
      </w:r>
    </w:p>
    <w:p>
      <w:pPr>
        <w:spacing w:after="0" w:line="166" w:lineRule="exact"/>
        <w:rPr>
          <w:sz w:val="20"/>
          <w:szCs w:val="20"/>
          <w:color w:val="auto"/>
        </w:rPr>
      </w:pPr>
    </w:p>
    <w:p>
      <w:pPr>
        <w:ind w:right="3319" w:firstLine="534"/>
        <w:spacing w:after="0" w:line="273" w:lineRule="auto"/>
        <w:tabs>
          <w:tab w:leader="none" w:pos="87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all outstanding shares of the Capital Stock of each direct Restricted Subsidiary of any Principal Company to be pledged to the Collateral Trustee in accordance with the provisions of the Stock Pledge Agreements at all times from and after the effectiveness of this Agreement.</w:t>
      </w:r>
    </w:p>
    <w:p>
      <w:pPr>
        <w:spacing w:after="0" w:line="67" w:lineRule="exact"/>
        <w:rPr>
          <w:rFonts w:ascii="Courier New" w:cs="Courier New" w:eastAsia="Courier New" w:hAnsi="Courier New"/>
          <w:sz w:val="15"/>
          <w:szCs w:val="15"/>
          <w:color w:val="auto"/>
        </w:rPr>
      </w:pPr>
    </w:p>
    <w:p>
      <w:pPr>
        <w:ind w:right="3239" w:firstLine="534"/>
        <w:spacing w:after="0" w:line="262" w:lineRule="auto"/>
        <w:tabs>
          <w:tab w:leader="none" w:pos="87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at its own cost and expense, promptly secure or cause to be secured the Obligations by creating or causing to be created in favor of the Collateral Trustee for the benefit of the Secured Creditors perfected security interests and liens (subject only to Liens permitted by SECTION 9.2) with respect to all Assets of the Principal Companies, now owned or hereafter acquired (other than Assets set forth on SCHEDULE 4.4(a)), to the extent the Agent or the Required Lenders shall so request. All such security interests will be created under security agreements, mortgages and other instruments and documents in form and substance satisfactory to the Agent, and the Borrower shall deliver to the Collateral Trustee (with copies to the Agent) all such instruments and documents (including legal opinions, title insurance policies and lien searches) as the Agent or the Required Lenders shall reasonably request to evidence the satisfaction of the obligations created by this SECTION 8.12. The Borrower agrees to provide such evidence as the Agent or the Required Lenders shall request as to the perfection and priority of such security interests (subject only to Liens permitted by SECTION 9.2). So long as no Event of Default is continuing, no Intellectual Property Security Agreement shall be required to be recorded in the United States Patent and Trademark or</w:t>
      </w:r>
    </w:p>
    <w:p>
      <w:pPr>
        <w:sectPr>
          <w:pgSz w:w="11900" w:h="16838" w:orient="portrait"/>
          <w:cols w:equalWidth="0" w:num="1">
            <w:col w:w="10239"/>
          </w:cols>
          <w:pgMar w:left="220" w:top="26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98</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pacing w:after="0" w:line="140"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the United States Copyright Office if such Intellectual Property Security Agreement covers no Material Intellectual Property.</w:t>
      </w:r>
    </w:p>
    <w:p>
      <w:pPr>
        <w:spacing w:after="0" w:line="1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5"/>
          <w:szCs w:val="15"/>
          <w:color w:val="auto"/>
        </w:rPr>
        <w:t>Section 8.13. DIVIDENDS. In the case of the Borrower, permit its Restricted Subsidiaries to pay cash dividends or make advances or repay advances, and cause its Restricted Subsidiaries to pay such cash dividends or make such advances or repay such advances, to the extent required to ensure that the Borrower can pay its monetary Obligations as the same become due.</w:t>
      </w:r>
    </w:p>
    <w:p>
      <w:pPr>
        <w:spacing w:after="0" w:line="75" w:lineRule="exact"/>
        <w:rPr>
          <w:sz w:val="20"/>
          <w:szCs w:val="20"/>
          <w:color w:val="auto"/>
        </w:rPr>
      </w:pPr>
    </w:p>
    <w:p>
      <w:pPr>
        <w:ind w:right="3239" w:firstLine="525"/>
        <w:spacing w:after="0" w:line="247" w:lineRule="auto"/>
        <w:rPr>
          <w:sz w:val="20"/>
          <w:szCs w:val="20"/>
          <w:color w:val="auto"/>
        </w:rPr>
      </w:pPr>
      <w:r>
        <w:rPr>
          <w:rFonts w:ascii="Courier New" w:cs="Courier New" w:eastAsia="Courier New" w:hAnsi="Courier New"/>
          <w:sz w:val="15"/>
          <w:szCs w:val="15"/>
          <w:color w:val="auto"/>
        </w:rPr>
        <w:t>Section 8.14. APPRAISALS. If any Lender determines in good faith that it is required, by Applicable Law or by the Comptroller of Currency or any other Government Authority, to obtain appraisals as to the market value of any real property constituting Collateral, obtain such appraisals, at the sole cost and expense of the Principal Companies. Such appraisals shall conform in all respects with the requirements contained in 12 U.S.C. ss.93a and Title XI of the Financial Institutions, Reform, Recovery and Enforcement Act of 1989 and the corresponding regulations under 12 C.F.R. 34.41 ET SEQ (1990) and shall be consistent with the Comptroller of the Currency's Guidelines for Real Estate Appraisal Policies and Review Procedures (as such Requirements of Law or such policies and procedures may be amended, supplemented, restated, or otherwise modified from time to time).</w:t>
      </w:r>
    </w:p>
    <w:p>
      <w:pPr>
        <w:spacing w:after="0" w:line="8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8.15. PERMITTED ACQUISITIONS.</w:t>
      </w:r>
    </w:p>
    <w:p>
      <w:pPr>
        <w:spacing w:after="0" w:line="166" w:lineRule="exact"/>
        <w:rPr>
          <w:sz w:val="20"/>
          <w:szCs w:val="20"/>
          <w:color w:val="auto"/>
        </w:rPr>
      </w:pPr>
    </w:p>
    <w:p>
      <w:pPr>
        <w:ind w:right="3239" w:firstLine="534"/>
        <w:spacing w:after="0" w:line="261" w:lineRule="auto"/>
        <w:tabs>
          <w:tab w:leader="none" w:pos="8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personal property or fixtures (other than Assets set forth on SCHEDULE 4.4(a)) acquired by any Principal Company after the effectiveness hereof in connection with a Permitted Acquisition (i) pledge such personal property or fixtures (to the maximum extent permitted by applicable law) to the Collateral Trustee as security for the payment in full of all the Obligations, pursuant to documentation satisfactory to the Agent (but in any event not materially more restrictive or burdensome than the Security Documents in effect as of the effectiveness hereof), within ten (10) days of such Principal Company acquiring such personal property or fixtures and (ii) perform any filings, recordings or other actions necessary in the reasonable judgment of the Agent to create in favor of the Collateral Trustee a perfected first-priority security interest in all such personal property or fixtures subject only to Liens permitted by Section 9.2 within ten (10) days of such Principal Company acquiring such personal property or fixtures. If any such personal property includes Trademarks, patents or Copyrights, then so long as no Event of Default is continuing, no Intellectual Property Security Agreement shall be required to be recorded in the United States Patent and Trademark or the United States Copyright Office if such Intellectual Property Security Agreement covers no Material Intellectual Property.</w:t>
      </w:r>
    </w:p>
    <w:p>
      <w:pPr>
        <w:spacing w:after="0" w:line="259" w:lineRule="exact"/>
        <w:rPr>
          <w:rFonts w:ascii="Courier New" w:cs="Courier New" w:eastAsia="Courier New" w:hAnsi="Courier New"/>
          <w:sz w:val="14"/>
          <w:szCs w:val="14"/>
          <w:color w:val="auto"/>
        </w:rPr>
      </w:pPr>
    </w:p>
    <w:p>
      <w:pPr>
        <w:ind w:right="3319" w:firstLine="534"/>
        <w:spacing w:after="0" w:line="298" w:lineRule="auto"/>
        <w:tabs>
          <w:tab w:leader="none" w:pos="8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Material Real Property acquired by any Principal Company after the effectiveness hereof in connection with a Permitted Acquisition, if the Required Lenders so request (i) execute and deliver to the Collateral Trustee, within fifteen (15) days after such Principal Company takes</w:t>
      </w:r>
    </w:p>
    <w:p>
      <w:pPr>
        <w:sectPr>
          <w:pgSz w:w="11900" w:h="16838" w:orient="portrait"/>
          <w:cols w:equalWidth="0" w:num="1">
            <w:col w:w="10239"/>
          </w:cols>
          <w:pgMar w:left="220" w:top="26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99</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91</w:t>
      </w:r>
    </w:p>
    <w:p>
      <w:pPr>
        <w:spacing w:after="0" w:line="140" w:lineRule="exact"/>
        <w:rPr>
          <w:sz w:val="20"/>
          <w:szCs w:val="20"/>
          <w:color w:val="auto"/>
        </w:rPr>
      </w:pPr>
    </w:p>
    <w:p>
      <w:pPr>
        <w:ind w:right="3239"/>
        <w:spacing w:after="0" w:line="265" w:lineRule="auto"/>
        <w:rPr>
          <w:sz w:val="20"/>
          <w:szCs w:val="20"/>
          <w:color w:val="auto"/>
        </w:rPr>
      </w:pPr>
      <w:r>
        <w:rPr>
          <w:rFonts w:ascii="Courier New" w:cs="Courier New" w:eastAsia="Courier New" w:hAnsi="Courier New"/>
          <w:sz w:val="14"/>
          <w:szCs w:val="14"/>
          <w:color w:val="auto"/>
        </w:rPr>
        <w:t>or receives possession of such Material Real Property, a mortgage granting to the Collateral Trustee a perfected Lien on such Material Real Property and (ii) deliver to the Collateral Trustee, within thirty (30) days after such Principal Company takes or receives possession of such Material Real Property, ALTA mortgage policies of title insurance covering all such Material Real Property and issued by title insurance companies satisfactory to the Agent, with proof of payment of all fees and premiums of such policy; PROVIDED, FURTHER that the amount, form and substance of each such mortgage title insurance policy shall be satisfactory to the Agent and each such title insurance policy shall contain no Schedule B standard preprinted exceptions (other than for taxes not yet due and payable and matters which would be disclosed by a current survey of the property) and shall contain no exceptions for coverage other than for Liens which the Agent reasonably determines are Permitted Liens.</w:t>
      </w:r>
    </w:p>
    <w:p>
      <w:pPr>
        <w:spacing w:after="0" w:line="78" w:lineRule="exact"/>
        <w:rPr>
          <w:sz w:val="20"/>
          <w:szCs w:val="20"/>
          <w:color w:val="auto"/>
        </w:rPr>
      </w:pPr>
    </w:p>
    <w:p>
      <w:pPr>
        <w:ind w:right="3319" w:firstLine="534"/>
        <w:spacing w:after="0" w:line="258" w:lineRule="auto"/>
        <w:tabs>
          <w:tab w:leader="none" w:pos="875"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Agent and the Agent's Special Counsel within ten (10) days after the date of any Permitted Acquisition, true, complete and correct copies of each instrument of transfer, officer's certificate, legal opinion and other instrument or agreement executed and delivered by the applicable seller and/or the applicable Principal Company in connection with such Permitted Acquisition.</w:t>
      </w:r>
    </w:p>
    <w:p>
      <w:pPr>
        <w:spacing w:after="0" w:line="8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Section 8.16. FURTHER ASSURANCES. Cooperate with the Agent and the Lenders and take such action and execute such further instruments and documents as the Agent shall reasonably request to further and more perfectly effect the purposes of this Agreement and the other Loan Documents.</w:t>
      </w:r>
    </w:p>
    <w:p>
      <w:pPr>
        <w:spacing w:after="0" w:line="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NEGATIVE COVENANTS</w:t>
      </w:r>
    </w:p>
    <w:p>
      <w:pPr>
        <w:spacing w:after="0" w:line="166" w:lineRule="exact"/>
        <w:rPr>
          <w:sz w:val="20"/>
          <w:szCs w:val="20"/>
          <w:color w:val="auto"/>
        </w:rPr>
      </w:pPr>
    </w:p>
    <w:p>
      <w:pPr>
        <w:ind w:right="3319" w:firstLine="525"/>
        <w:spacing w:after="0" w:line="298" w:lineRule="auto"/>
        <w:rPr>
          <w:sz w:val="20"/>
          <w:szCs w:val="20"/>
          <w:color w:val="auto"/>
        </w:rPr>
      </w:pPr>
      <w:r>
        <w:rPr>
          <w:rFonts w:ascii="Courier New" w:cs="Courier New" w:eastAsia="Courier New" w:hAnsi="Courier New"/>
          <w:sz w:val="14"/>
          <w:szCs w:val="14"/>
          <w:color w:val="auto"/>
        </w:rPr>
        <w:t>The undersigned Principal Companies agree with the Agent and each of the Lenders that, until all Commitments have been terminated, all Letters of Credit have been fully drawn or have terminated or expired and all Obligations have been paid in cash in full, the Principal Companies shall not:</w:t>
      </w:r>
    </w:p>
    <w:p>
      <w:pPr>
        <w:spacing w:after="0" w:line="5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9.1. INDEBTEDNESS. Create, incur, assume or permit to exist any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to any Person, except:</w:t>
      </w:r>
    </w:p>
    <w:p>
      <w:pPr>
        <w:spacing w:after="0" w:line="140" w:lineRule="exact"/>
        <w:rPr>
          <w:sz w:val="20"/>
          <w:szCs w:val="20"/>
          <w:color w:val="auto"/>
        </w:rPr>
      </w:pPr>
    </w:p>
    <w:p>
      <w:pPr>
        <w:ind w:left="1060" w:hanging="526"/>
        <w:spacing w:after="0"/>
        <w:tabs>
          <w:tab w:leader="none" w:pos="106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w:t>
      </w:r>
    </w:p>
    <w:p>
      <w:pPr>
        <w:spacing w:after="0" w:line="166" w:lineRule="exact"/>
        <w:rPr>
          <w:rFonts w:ascii="Courier New" w:cs="Courier New" w:eastAsia="Courier New" w:hAnsi="Courier New"/>
          <w:sz w:val="15"/>
          <w:szCs w:val="15"/>
          <w:color w:val="auto"/>
        </w:rPr>
      </w:pPr>
    </w:p>
    <w:p>
      <w:pPr>
        <w:ind w:right="3319" w:firstLine="534"/>
        <w:spacing w:after="0" w:line="258" w:lineRule="auto"/>
        <w:tabs>
          <w:tab w:leader="none" w:pos="87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assessments and governmental charges, non-interest bearing accounts payable and accrued liabilities, in any case not more than 120 days past due from the original due date thereof (except any such amounts that are not required to be paid in accordance with Section 8.1 or that are described on SCHEDULE 4.11), and non-interest bearing deferred liabilities other than Indebtedness for Borrowed Money (e.g., deferred</w:t>
      </w:r>
    </w:p>
    <w:p>
      <w:pPr>
        <w:sectPr>
          <w:pgSz w:w="11900" w:h="16838" w:orient="portrait"/>
          <w:cols w:equalWidth="0" w:num="1">
            <w:col w:w="10239"/>
          </w:cols>
          <w:pgMar w:left="220" w:top="26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100</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92</w:t>
      </w:r>
    </w:p>
    <w:p>
      <w:pPr>
        <w:spacing w:after="0" w:line="140"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compensation and deferred taxes), in each case incurred and continuing in the ordinary course of business;</w:t>
      </w:r>
    </w:p>
    <w:p>
      <w:pPr>
        <w:spacing w:after="0" w:line="17" w:lineRule="exact"/>
        <w:rPr>
          <w:sz w:val="20"/>
          <w:szCs w:val="20"/>
          <w:color w:val="auto"/>
        </w:rPr>
      </w:pPr>
    </w:p>
    <w:p>
      <w:pPr>
        <w:jc w:val="both"/>
        <w:ind w:right="3399" w:firstLine="534"/>
        <w:spacing w:after="0" w:line="290" w:lineRule="auto"/>
        <w:tabs>
          <w:tab w:leader="none" w:pos="87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consisting of purchase money debt and Capitalized Lease Obligations in a combined aggregate principal amount not exceeding at any time $3,000,000;</w:t>
      </w:r>
    </w:p>
    <w:p>
      <w:pPr>
        <w:spacing w:after="0" w:line="56"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Debt;</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any Principal Company to any other Principal Company;</w:t>
      </w:r>
    </w:p>
    <w:p>
      <w:pPr>
        <w:spacing w:after="0" w:line="177" w:lineRule="exact"/>
        <w:rPr>
          <w:rFonts w:ascii="Courier New" w:cs="Courier New" w:eastAsia="Courier New" w:hAnsi="Courier New"/>
          <w:sz w:val="14"/>
          <w:szCs w:val="14"/>
          <w:color w:val="auto"/>
        </w:rPr>
      </w:pPr>
    </w:p>
    <w:p>
      <w:pPr>
        <w:ind w:right="3319" w:firstLine="534"/>
        <w:spacing w:after="0" w:line="344" w:lineRule="auto"/>
        <w:tabs>
          <w:tab w:leader="none" w:pos="87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Principal Companies in respect of endorsements of negotiable instruments for collection in the ordinary course of business;</w:t>
      </w:r>
    </w:p>
    <w:p>
      <w:pPr>
        <w:spacing w:after="0" w:line="17" w:lineRule="exact"/>
        <w:rPr>
          <w:rFonts w:ascii="Courier New" w:cs="Courier New" w:eastAsia="Courier New" w:hAnsi="Courier New"/>
          <w:sz w:val="15"/>
          <w:szCs w:val="15"/>
          <w:color w:val="auto"/>
        </w:rPr>
      </w:pPr>
    </w:p>
    <w:p>
      <w:pPr>
        <w:ind w:right="3319" w:firstLine="534"/>
        <w:spacing w:after="0" w:line="344" w:lineRule="auto"/>
        <w:tabs>
          <w:tab w:leader="none" w:pos="87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Borrower in respect of Guaranties of Indebtedness of any of the Restricted Subsidiaries;</w:t>
      </w:r>
    </w:p>
    <w:p>
      <w:pPr>
        <w:spacing w:after="0" w:line="17" w:lineRule="exact"/>
        <w:rPr>
          <w:rFonts w:ascii="Courier New" w:cs="Courier New" w:eastAsia="Courier New" w:hAnsi="Courier New"/>
          <w:sz w:val="15"/>
          <w:szCs w:val="15"/>
          <w:color w:val="auto"/>
        </w:rPr>
      </w:pPr>
    </w:p>
    <w:p>
      <w:pPr>
        <w:ind w:right="4279" w:firstLine="534"/>
        <w:spacing w:after="0" w:line="344" w:lineRule="auto"/>
        <w:tabs>
          <w:tab w:leader="none" w:pos="87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Saga Broadcast in respect of Guaranties of Indebtedness of any of the Restricted Subsidiaries; and</w:t>
      </w:r>
    </w:p>
    <w:p>
      <w:pPr>
        <w:spacing w:after="0" w:line="17"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described on SCHEDULE 9.1(i) annexed hereto.</w:t>
      </w:r>
    </w:p>
    <w:p>
      <w:pPr>
        <w:spacing w:after="0" w:line="166" w:lineRule="exact"/>
        <w:rPr>
          <w:sz w:val="20"/>
          <w:szCs w:val="20"/>
          <w:color w:val="auto"/>
        </w:rPr>
      </w:pPr>
    </w:p>
    <w:p>
      <w:pPr>
        <w:ind w:right="3399" w:firstLine="525"/>
        <w:spacing w:after="0" w:line="344" w:lineRule="auto"/>
        <w:rPr>
          <w:sz w:val="20"/>
          <w:szCs w:val="20"/>
          <w:color w:val="auto"/>
        </w:rPr>
      </w:pPr>
      <w:r>
        <w:rPr>
          <w:rFonts w:ascii="Courier New" w:cs="Courier New" w:eastAsia="Courier New" w:hAnsi="Courier New"/>
          <w:sz w:val="15"/>
          <w:szCs w:val="15"/>
          <w:color w:val="auto"/>
        </w:rPr>
        <w:t>Section 9.2. LIENS. Create, incur, assume or permit to exist any Lien on any of its Assets, now owned or hereafter acquired, except:</w:t>
      </w:r>
    </w:p>
    <w:p>
      <w:pPr>
        <w:spacing w:after="0" w:line="17" w:lineRule="exact"/>
        <w:rPr>
          <w:sz w:val="20"/>
          <w:szCs w:val="20"/>
          <w:color w:val="auto"/>
        </w:rPr>
      </w:pPr>
    </w:p>
    <w:p>
      <w:pPr>
        <w:ind w:left="880" w:hanging="346"/>
        <w:spacing w:after="0"/>
        <w:tabs>
          <w:tab w:leader="none" w:pos="8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by the Security Documents;</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66" w:lineRule="exact"/>
        <w:rPr>
          <w:rFonts w:ascii="Courier New" w:cs="Courier New" w:eastAsia="Courier New" w:hAnsi="Courier New"/>
          <w:sz w:val="15"/>
          <w:szCs w:val="15"/>
          <w:color w:val="auto"/>
        </w:rPr>
      </w:pPr>
    </w:p>
    <w:p>
      <w:pPr>
        <w:ind w:right="3239" w:firstLine="534"/>
        <w:spacing w:after="0" w:line="258" w:lineRule="auto"/>
        <w:tabs>
          <w:tab w:leader="none" w:pos="87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existing on any Asset prior to the acquisition thereof by any Principal Company; PROVIDED that (i) such Lien is not created in contemplation of or in connection with such acquisition; (ii) such Lien does not apply to any other property or Assets of any Principal Company; (iii) such acquisition is permitted by this Agreement, and (iv) all Indebtedness secured by such Lien is permitted by this Agreement;</w:t>
      </w:r>
    </w:p>
    <w:p>
      <w:pPr>
        <w:spacing w:after="0" w:line="81" w:lineRule="exact"/>
        <w:rPr>
          <w:rFonts w:ascii="Courier New" w:cs="Courier New" w:eastAsia="Courier New" w:hAnsi="Courier New"/>
          <w:sz w:val="15"/>
          <w:szCs w:val="15"/>
          <w:color w:val="auto"/>
        </w:rPr>
      </w:pPr>
    </w:p>
    <w:p>
      <w:pPr>
        <w:ind w:right="3319" w:firstLine="534"/>
        <w:spacing w:after="0" w:line="250" w:lineRule="auto"/>
        <w:tabs>
          <w:tab w:leader="none" w:pos="87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purchase money mortgages or security interests, conditional sale arrangements and other similar security interests, in real property, improvements thereto, equipment or motor vehicles acquired (or, in the case of improvements, constructed) by any Principal Company (hereinafter referred to individually as a "PURCHASE MONEY SECURITY INTEREST") with proceeds of Indebtedness permitted by Subsection 9.1(c) and (ii) interests of lessors under Capitalized Leases entered into by any Principal Company and permitted by Subsection 9.1(c); provided, that with respect to any Purchase Money Security Interest:</w:t>
      </w:r>
    </w:p>
    <w:p>
      <w:pPr>
        <w:sectPr>
          <w:pgSz w:w="11900" w:h="16838" w:orient="portrait"/>
          <w:cols w:equalWidth="0" w:num="1">
            <w:col w:w="10239"/>
          </w:cols>
          <w:pgMar w:left="220" w:top="261"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101</w:t>
      </w:r>
    </w:p>
    <w:p>
      <w:pPr>
        <w:spacing w:after="0" w:line="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93</w:t>
      </w:r>
    </w:p>
    <w:p>
      <w:pPr>
        <w:spacing w:after="0" w:line="140" w:lineRule="exact"/>
        <w:rPr>
          <w:sz w:val="20"/>
          <w:szCs w:val="20"/>
          <w:color w:val="auto"/>
        </w:rPr>
      </w:pPr>
    </w:p>
    <w:p>
      <w:pPr>
        <w:ind w:left="260" w:right="3239" w:firstLine="519"/>
        <w:spacing w:after="0" w:line="344" w:lineRule="auto"/>
        <w:tabs>
          <w:tab w:leader="none" w:pos="1135"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in which any Purchase Money Security Interest is proposed to be created shall not be prohibited by this Agreement;</w:t>
      </w:r>
    </w:p>
    <w:p>
      <w:pPr>
        <w:spacing w:after="0" w:line="17" w:lineRule="exact"/>
        <w:rPr>
          <w:rFonts w:ascii="Courier New" w:cs="Courier New" w:eastAsia="Courier New" w:hAnsi="Courier New"/>
          <w:sz w:val="15"/>
          <w:szCs w:val="15"/>
          <w:color w:val="auto"/>
        </w:rPr>
      </w:pPr>
    </w:p>
    <w:p>
      <w:pPr>
        <w:ind w:left="260" w:right="3239" w:firstLine="519"/>
        <w:spacing w:after="0" w:line="290" w:lineRule="auto"/>
        <w:tabs>
          <w:tab w:leader="none" w:pos="1135"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Purchase Money Security Interest shall attach only to the Asset acquired (or constructed) and shall not extend to or cover any other Asset of any Principal Company; and</w:t>
      </w:r>
    </w:p>
    <w:p>
      <w:pPr>
        <w:spacing w:after="0" w:line="56" w:lineRule="exact"/>
        <w:rPr>
          <w:rFonts w:ascii="Courier New" w:cs="Courier New" w:eastAsia="Courier New" w:hAnsi="Courier New"/>
          <w:sz w:val="15"/>
          <w:szCs w:val="15"/>
          <w:color w:val="auto"/>
        </w:rPr>
      </w:pPr>
    </w:p>
    <w:p>
      <w:pPr>
        <w:ind w:left="260" w:right="3239" w:firstLine="519"/>
        <w:spacing w:after="0" w:line="298" w:lineRule="auto"/>
        <w:tabs>
          <w:tab w:leader="none" w:pos="1135"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Indebtedness secured by any Purchase Money Security Interest shall not exceed the lesser of the cost or fair market value of the Asset acquired (or constructed) and shall not be renewed, extended or repaid from the proceeds of any borrowing by any Principal Company.</w:t>
      </w:r>
    </w:p>
    <w:p>
      <w:pPr>
        <w:spacing w:after="0" w:line="53" w:lineRule="exact"/>
        <w:rPr>
          <w:rFonts w:ascii="Courier New" w:cs="Courier New" w:eastAsia="Courier New" w:hAnsi="Courier New"/>
          <w:sz w:val="14"/>
          <w:szCs w:val="14"/>
          <w:color w:val="auto"/>
        </w:rPr>
      </w:pPr>
    </w:p>
    <w:p>
      <w:pPr>
        <w:ind w:left="-280" w:right="3239" w:firstLine="534"/>
        <w:spacing w:after="0" w:line="381" w:lineRule="auto"/>
        <w:tabs>
          <w:tab w:leader="none" w:pos="76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deposits made by any Principal Company to secure performance of its obligations in connection with Permitted Acquisitions;</w:t>
      </w:r>
    </w:p>
    <w:p>
      <w:pPr>
        <w:spacing w:after="0" w:line="1" w:lineRule="exact"/>
        <w:rPr>
          <w:rFonts w:ascii="Courier New" w:cs="Courier New" w:eastAsia="Courier New" w:hAnsi="Courier New"/>
          <w:sz w:val="14"/>
          <w:szCs w:val="14"/>
          <w:color w:val="auto"/>
        </w:rPr>
      </w:pPr>
    </w:p>
    <w:p>
      <w:pPr>
        <w:ind w:left="-280" w:right="3239" w:firstLine="534"/>
        <w:spacing w:after="0" w:line="290" w:lineRule="auto"/>
        <w:tabs>
          <w:tab w:leader="none" w:pos="769"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the Principal Companies existing on the date hereof and described in SCHEDULE 9.2; PROVIDED that such Liens shall secure only those obligations which they secure on the date hereof;</w:t>
      </w:r>
    </w:p>
    <w:p>
      <w:pPr>
        <w:spacing w:after="0" w:line="56" w:lineRule="exact"/>
        <w:rPr>
          <w:rFonts w:ascii="Courier New" w:cs="Courier New" w:eastAsia="Courier New" w:hAnsi="Courier New"/>
          <w:sz w:val="15"/>
          <w:szCs w:val="15"/>
          <w:color w:val="auto"/>
        </w:rPr>
      </w:pPr>
    </w:p>
    <w:p>
      <w:pPr>
        <w:ind w:left="-280" w:right="3399" w:firstLine="534"/>
        <w:spacing w:after="0" w:line="290" w:lineRule="auto"/>
        <w:tabs>
          <w:tab w:leader="none" w:pos="769"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amounts held in a post-closing escrow account securing indemnity obligations in connection with a Sale of Assets permitted hereunder; and</w:t>
      </w:r>
    </w:p>
    <w:p>
      <w:pPr>
        <w:spacing w:after="0" w:line="56" w:lineRule="exact"/>
        <w:rPr>
          <w:rFonts w:ascii="Courier New" w:cs="Courier New" w:eastAsia="Courier New" w:hAnsi="Courier New"/>
          <w:sz w:val="15"/>
          <w:szCs w:val="15"/>
          <w:color w:val="auto"/>
        </w:rPr>
      </w:pPr>
    </w:p>
    <w:p>
      <w:pPr>
        <w:ind w:left="780" w:hanging="526"/>
        <w:spacing w:after="0"/>
        <w:tabs>
          <w:tab w:leader="none" w:pos="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Investments permitted by SUBSECTION 9.4(i).</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Section 9.3. MERGERS, CONSOLIDATIONS, SALES OF ASSETS.</w:t>
      </w:r>
    </w:p>
    <w:p>
      <w:pPr>
        <w:spacing w:after="0" w:line="166" w:lineRule="exact"/>
        <w:rPr>
          <w:sz w:val="20"/>
          <w:szCs w:val="20"/>
          <w:color w:val="auto"/>
        </w:rPr>
      </w:pPr>
    </w:p>
    <w:p>
      <w:pPr>
        <w:jc w:val="both"/>
        <w:ind w:left="-280" w:right="3239" w:firstLine="534"/>
        <w:spacing w:after="0" w:line="298" w:lineRule="auto"/>
        <w:tabs>
          <w:tab w:leader="none" w:pos="769"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into or consolidate with any other Person, or permit any other Person to merge into or consolidate with it, or engage in any Sale of any of its Assets; EXCEPT THAT, so long as no Default or Event of Default is continuing or would exist after giving effect thereto, the following shall be permitted:</w:t>
      </w:r>
    </w:p>
    <w:p>
      <w:pPr>
        <w:spacing w:after="0" w:line="53" w:lineRule="exact"/>
        <w:rPr>
          <w:rFonts w:ascii="Courier New" w:cs="Courier New" w:eastAsia="Courier New" w:hAnsi="Courier New"/>
          <w:sz w:val="14"/>
          <w:szCs w:val="14"/>
          <w:color w:val="auto"/>
        </w:rPr>
      </w:pPr>
    </w:p>
    <w:p>
      <w:pPr>
        <w:ind w:left="260" w:right="3239" w:firstLine="519"/>
        <w:spacing w:after="0" w:line="266" w:lineRule="auto"/>
        <w:tabs>
          <w:tab w:leader="none" w:pos="1135"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any merger of any wholly-owned Restricted Subsidiary of the Borrower with and into the Borrower or any other wholly-owned Restricted Subsidiary of the Borrower or (B) any sale, transfer or other disposition by any wholly-owned Restricted Subsidiary of the Borrower of any Assets to the Borrower or any other wholly-owned Restricted Subsidiary of the Borrower; PROVIDED, that (1) the Agent is satisfied that none of the Collateral Trustee's Liens on the Assets of the Borrower or any Restricted Subsidiary would become impaired, unperfected or unenforceable in any respect, and (2) the Agent is satisfied that all appropriate consents and approvals of any Governmental Authorities (including the FCC) have been obtained, and copies of all such consents and approvals have been delivered to the Agent;</w:t>
      </w:r>
    </w:p>
    <w:p>
      <w:pPr>
        <w:sectPr>
          <w:pgSz w:w="11900" w:h="16838" w:orient="portrait"/>
          <w:cols w:equalWidth="0" w:num="1">
            <w:col w:w="9959"/>
          </w:cols>
          <w:pgMar w:left="500" w:top="261"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102</w:t>
      </w:r>
    </w:p>
    <w:p>
      <w:pPr>
        <w:spacing w:after="0" w:line="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94</w:t>
      </w:r>
    </w:p>
    <w:p>
      <w:pPr>
        <w:spacing w:after="0" w:line="140" w:lineRule="exact"/>
        <w:rPr>
          <w:sz w:val="20"/>
          <w:szCs w:val="20"/>
          <w:color w:val="auto"/>
        </w:rPr>
      </w:pPr>
    </w:p>
    <w:p>
      <w:pPr>
        <w:ind w:left="1300" w:hanging="521"/>
        <w:spacing w:after="0"/>
        <w:tabs>
          <w:tab w:leader="none" w:pos="130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Permitted Sale; and</w:t>
      </w:r>
    </w:p>
    <w:p>
      <w:pPr>
        <w:spacing w:after="0" w:line="166" w:lineRule="exact"/>
        <w:rPr>
          <w:rFonts w:ascii="Courier New" w:cs="Courier New" w:eastAsia="Courier New" w:hAnsi="Courier New"/>
          <w:sz w:val="15"/>
          <w:szCs w:val="15"/>
          <w:color w:val="auto"/>
        </w:rPr>
      </w:pPr>
    </w:p>
    <w:p>
      <w:pPr>
        <w:ind w:left="260" w:right="3939" w:firstLine="519"/>
        <w:spacing w:after="0" w:line="344" w:lineRule="auto"/>
        <w:tabs>
          <w:tab w:leader="none" w:pos="131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sale of any Assets by any Principal Company; provided, that:</w:t>
      </w:r>
    </w:p>
    <w:p>
      <w:pPr>
        <w:spacing w:after="0" w:line="17" w:lineRule="exact"/>
        <w:rPr>
          <w:rFonts w:ascii="Courier New" w:cs="Courier New" w:eastAsia="Courier New" w:hAnsi="Courier New"/>
          <w:sz w:val="15"/>
          <w:szCs w:val="15"/>
          <w:color w:val="auto"/>
        </w:rPr>
      </w:pPr>
    </w:p>
    <w:p>
      <w:pPr>
        <w:ind w:left="260" w:right="3239" w:firstLine="782"/>
        <w:spacing w:after="0" w:line="276" w:lineRule="auto"/>
        <w:tabs>
          <w:tab w:leader="none" w:pos="1397" w:val="left"/>
        </w:tabs>
        <w:numPr>
          <w:ilvl w:val="2"/>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consideration (taking appropriate account of any tax benefits associated with any sale in which such Principal Company obtains tax certificates issued by the FCC) payable to or receivable by the Principal Companies in connection with such sale (1) is an amount not less than the fair value of the Assets sold and (2) consists of at least 90% cash which is (x) payable at the closing of such sale or (y) held in a post-closing escrow account as security for indemnity obligations;</w:t>
      </w:r>
    </w:p>
    <w:p>
      <w:pPr>
        <w:spacing w:after="0" w:line="68" w:lineRule="exact"/>
        <w:rPr>
          <w:rFonts w:ascii="Courier New" w:cs="Courier New" w:eastAsia="Courier New" w:hAnsi="Courier New"/>
          <w:sz w:val="14"/>
          <w:szCs w:val="14"/>
          <w:color w:val="auto"/>
        </w:rPr>
      </w:pPr>
    </w:p>
    <w:p>
      <w:pPr>
        <w:ind w:left="260" w:right="3239" w:firstLine="782"/>
        <w:spacing w:after="0" w:line="252" w:lineRule="auto"/>
        <w:tabs>
          <w:tab w:leader="none" w:pos="1397" w:val="left"/>
        </w:tabs>
        <w:numPr>
          <w:ilvl w:val="2"/>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annual Consolidated EBITDA attributable to all Assets sold by the Principal Companies during any Reference Period ending after the Effective Date (determined separately for each sale of Assets based upon Consolidated EBITDA attributable to such Assets for the Reference Period ending most recently prior to the date of sale) shall not exceed ten percent (10%) of the Consolidated EBITDA of the Principal Companies for such Reference Period (determined without regard to any sales of Assets during such Reference Period); and</w:t>
      </w:r>
    </w:p>
    <w:p>
      <w:pPr>
        <w:spacing w:after="0" w:line="86" w:lineRule="exact"/>
        <w:rPr>
          <w:rFonts w:ascii="Courier New" w:cs="Courier New" w:eastAsia="Courier New" w:hAnsi="Courier New"/>
          <w:sz w:val="15"/>
          <w:szCs w:val="15"/>
          <w:color w:val="auto"/>
        </w:rPr>
      </w:pPr>
    </w:p>
    <w:p>
      <w:pPr>
        <w:ind w:left="260" w:right="3239" w:firstLine="782"/>
        <w:spacing w:after="0" w:line="250" w:lineRule="auto"/>
        <w:tabs>
          <w:tab w:leader="none" w:pos="1397" w:val="left"/>
        </w:tabs>
        <w:numPr>
          <w:ilvl w:val="2"/>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annual Consolidated EBITDA attributable to all Assets sold by the Principal Companies during the period commencing on the Effective Date and ending on the last day of any Reference Period ending thereafter (determined separately for each sale of Assets based upon Consolidated EBITDA attributable to such Assets for the Reference Period ending most recently prior to the date of sale) shall not exceed twenty-five percent (25%) of the Consolidated EBITDA of the Principal Companies for such Reference Period (determined without regard to any sales of Assets during such Reference Period).</w:t>
      </w:r>
    </w:p>
    <w:p>
      <w:pPr>
        <w:spacing w:after="0" w:line="88" w:lineRule="exact"/>
        <w:rPr>
          <w:rFonts w:ascii="Courier New" w:cs="Courier New" w:eastAsia="Courier New" w:hAnsi="Courier New"/>
          <w:sz w:val="15"/>
          <w:szCs w:val="15"/>
          <w:color w:val="auto"/>
        </w:rPr>
      </w:pPr>
    </w:p>
    <w:p>
      <w:pPr>
        <w:ind w:left="-280" w:right="3239" w:firstLine="534"/>
        <w:spacing w:after="0" w:line="273" w:lineRule="auto"/>
        <w:tabs>
          <w:tab w:leader="none" w:pos="59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corporate structure or organization of the Principal Companies from that set forth in SCHEDULE 9.3, PROVIDED, HOWEVER, that Principal Company may (x) make a Permitted Acquisition, and (y) form one or more wholly-owned Restricted Subsidiaries so long as:</w:t>
      </w:r>
    </w:p>
    <w:p>
      <w:pPr>
        <w:spacing w:after="0" w:line="67" w:lineRule="exact"/>
        <w:rPr>
          <w:rFonts w:ascii="Courier New" w:cs="Courier New" w:eastAsia="Courier New" w:hAnsi="Courier New"/>
          <w:sz w:val="15"/>
          <w:szCs w:val="15"/>
          <w:color w:val="auto"/>
        </w:rPr>
      </w:pPr>
    </w:p>
    <w:p>
      <w:pPr>
        <w:ind w:left="260" w:right="3499" w:firstLine="519"/>
        <w:spacing w:after="0" w:line="290" w:lineRule="auto"/>
        <w:tabs>
          <w:tab w:leader="none" w:pos="131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such Restricted Subsidiary shall notify the Agent and the Collateral Trustee at least ten (10) days prior to the formation or acquisition of such Restricted Subsidiary;</w:t>
      </w:r>
    </w:p>
    <w:p>
      <w:pPr>
        <w:spacing w:after="0" w:line="56" w:lineRule="exact"/>
        <w:rPr>
          <w:rFonts w:ascii="Courier New" w:cs="Courier New" w:eastAsia="Courier New" w:hAnsi="Courier New"/>
          <w:sz w:val="15"/>
          <w:szCs w:val="15"/>
          <w:color w:val="auto"/>
        </w:rPr>
      </w:pPr>
    </w:p>
    <w:p>
      <w:pPr>
        <w:ind w:left="260" w:right="3399" w:firstLine="519"/>
        <w:spacing w:after="0" w:line="258" w:lineRule="auto"/>
        <w:tabs>
          <w:tab w:leader="none" w:pos="131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new Restricted Subsidiary executes and delivers to the Agent and the Lenders (A) an accession agreement, in form and substance satisfactory to the Agent, pursuant to which such Restricted Subsidiary (1) becomes a party to this Agreement as a Principal Company and as a Guarantor, becomes a party to the Borrower Subsidiary Security Agreement as a</w:t>
      </w:r>
    </w:p>
    <w:p>
      <w:pPr>
        <w:sectPr>
          <w:pgSz w:w="11900" w:h="16838" w:orient="portrait"/>
          <w:cols w:equalWidth="0" w:num="1">
            <w:col w:w="9959"/>
          </w:cols>
          <w:pgMar w:left="500" w:top="261"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103</w:t>
      </w:r>
    </w:p>
    <w:p>
      <w:pPr>
        <w:spacing w:after="0" w:line="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95</w:t>
      </w:r>
    </w:p>
    <w:p>
      <w:pPr>
        <w:spacing w:after="0" w:line="140" w:lineRule="exact"/>
        <w:rPr>
          <w:sz w:val="20"/>
          <w:szCs w:val="20"/>
          <w:color w:val="auto"/>
        </w:rPr>
      </w:pPr>
    </w:p>
    <w:p>
      <w:pPr>
        <w:ind w:left="260" w:right="3319"/>
        <w:spacing w:after="0" w:line="267" w:lineRule="auto"/>
        <w:rPr>
          <w:sz w:val="20"/>
          <w:szCs w:val="20"/>
          <w:color w:val="auto"/>
        </w:rPr>
      </w:pPr>
      <w:r>
        <w:rPr>
          <w:rFonts w:ascii="Courier New" w:cs="Courier New" w:eastAsia="Courier New" w:hAnsi="Courier New"/>
          <w:sz w:val="14"/>
          <w:szCs w:val="14"/>
          <w:color w:val="auto"/>
        </w:rPr>
        <w:t>"Borrower Subsidiary", becomes a party to the Indemnity, Contribution and Subrogation Agreement as a "Borrower Affiliated Company", and becomes a party to any other Loan Document as the Agent may reasonably request, and</w:t>
      </w:r>
    </w:p>
    <w:p>
      <w:pPr>
        <w:spacing w:after="0" w:line="1" w:lineRule="exact"/>
        <w:rPr>
          <w:sz w:val="20"/>
          <w:szCs w:val="20"/>
          <w:color w:val="auto"/>
        </w:rPr>
      </w:pPr>
    </w:p>
    <w:p>
      <w:pPr>
        <w:ind w:left="260" w:right="3399" w:hanging="6"/>
        <w:spacing w:after="0" w:line="247" w:lineRule="auto"/>
        <w:tabs>
          <w:tab w:leader="none" w:pos="61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to perform and observe all of the obligations and covenants (including all obligations and covenants contained in ARTICLE VI hereof) of a Principal Company and a Guarantor hereunder, of a "Borrower Subsidiary" under the Borrower Subsidiary Security Agreement, of a "Borrower Affiliated Company" under the Indemnity, Contribution and Subrogation Agreement, and of the appropriate party under any other Loan Document to which it becomes a party and (B) a Borrower Subsidiary Trademark Security Agreement, if applicable;</w:t>
      </w:r>
    </w:p>
    <w:p>
      <w:pPr>
        <w:spacing w:after="0" w:line="88" w:lineRule="exact"/>
        <w:rPr>
          <w:rFonts w:ascii="Courier New" w:cs="Courier New" w:eastAsia="Courier New" w:hAnsi="Courier New"/>
          <w:sz w:val="15"/>
          <w:szCs w:val="15"/>
          <w:color w:val="auto"/>
        </w:rPr>
      </w:pPr>
    </w:p>
    <w:p>
      <w:pPr>
        <w:ind w:left="260" w:right="3319" w:firstLine="519"/>
        <w:spacing w:after="0" w:line="264" w:lineRule="auto"/>
        <w:tabs>
          <w:tab w:leader="none" w:pos="1310"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capital stock of such new Restricted Subsidiary shall be pledged to the Collateral Trustee, for the ratable benefit of the Agent and the Lenders, pursuant to a stock pledge agreement substantially in the form of the Borrower Stock Pledge Agreement;</w:t>
      </w:r>
    </w:p>
    <w:p>
      <w:pPr>
        <w:spacing w:after="0" w:line="74" w:lineRule="exact"/>
        <w:rPr>
          <w:rFonts w:ascii="Courier New" w:cs="Courier New" w:eastAsia="Courier New" w:hAnsi="Courier New"/>
          <w:sz w:val="15"/>
          <w:szCs w:val="15"/>
          <w:color w:val="auto"/>
        </w:rPr>
      </w:pPr>
    </w:p>
    <w:p>
      <w:pPr>
        <w:ind w:left="260" w:right="3239" w:firstLine="519"/>
        <w:spacing w:after="0" w:line="265" w:lineRule="auto"/>
        <w:tabs>
          <w:tab w:leader="none" w:pos="131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new Restricted Subsidiary shall otherwise grant a security interest in all of its Assets of the type described in the Borrower Subsidiary Security Agreement to the Collateral Trustee as security for all the Obligations and shall make all filings, recordings and take such other actions (including the filing of financing statements and the filing of Intellectual Property Security Agreements, in form and substance satisfactory to the Agent, in the United States Patent and Trademark Office or the United States Copyright Office with respect to any Material Intellectual Property) required by the Agent or the Collateral Trustee in order to create, in favor of the Collateral Trustee, a perfected first-priority Lien on all of such Assets of the new Restricted Subsidiary (other than Assets of the type listed on SCHEDULE 4.4(a)) and all of the Capital Stock of such new Restricted Subsidiary; and</w:t>
      </w:r>
    </w:p>
    <w:p>
      <w:pPr>
        <w:spacing w:after="0" w:line="78" w:lineRule="exact"/>
        <w:rPr>
          <w:rFonts w:ascii="Courier New" w:cs="Courier New" w:eastAsia="Courier New" w:hAnsi="Courier New"/>
          <w:sz w:val="14"/>
          <w:szCs w:val="14"/>
          <w:color w:val="auto"/>
        </w:rPr>
      </w:pPr>
    </w:p>
    <w:p>
      <w:pPr>
        <w:ind w:left="260" w:right="3239" w:firstLine="519"/>
        <w:spacing w:after="0" w:line="264" w:lineRule="auto"/>
        <w:tabs>
          <w:tab w:leader="none" w:pos="131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new Restricted Subsidiary shall grant a security interest in and mortgage on its owned Material Real Property pursuant to a mortgage on such Assets in form and substance satisfactory to the Agent and the Collateral Trustee, which mortgage shall be filed of record promptly after such new Restricted Subsidiary is formed and ALTA mortgagee policies of title insurance covering such Material Real Property and issued by title insurance companies satisfactory to the Agent, with proof of payment of all fees and premiums of such policy; provided, further that the amount, form and substance of each such mortgage title insurance policy shall be satisfactory to the Agent and each such title insurance policy shall contain no Schedule D preprinted exceptions (other than for taxes not yet due and payable and matters which would be disclosed by a current survey of the property) and shall contain no exceptions for coverage other than for Liens which the Agent reasonably determines are permitted liens; and</w:t>
      </w:r>
    </w:p>
    <w:p>
      <w:pPr>
        <w:sectPr>
          <w:pgSz w:w="11900" w:h="16838" w:orient="portrait"/>
          <w:cols w:equalWidth="0" w:num="1">
            <w:col w:w="9959"/>
          </w:cols>
          <w:pgMar w:left="500" w:top="26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104</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pacing w:after="0" w:line="140" w:lineRule="exact"/>
        <w:rPr>
          <w:sz w:val="20"/>
          <w:szCs w:val="20"/>
          <w:color w:val="auto"/>
        </w:rPr>
      </w:pPr>
    </w:p>
    <w:p>
      <w:pPr>
        <w:ind w:right="3239" w:firstLine="534"/>
        <w:spacing w:after="0" w:line="273" w:lineRule="auto"/>
        <w:tabs>
          <w:tab w:leader="none" w:pos="1049"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consummation of the KAVU-TV Acquisition, the transfer of the assets of radio station KNAL (AM), licensed to Victoria, Texas, by Saga Broadcast to Bible Broadcasting Network, Inc., pursuant to that certain Donation Agreement dated as of September 4, 1998.</w:t>
      </w:r>
    </w:p>
    <w:p>
      <w:pPr>
        <w:spacing w:after="0" w:line="67" w:lineRule="exact"/>
        <w:rPr>
          <w:rFonts w:ascii="Courier New" w:cs="Courier New" w:eastAsia="Courier New" w:hAnsi="Courier New"/>
          <w:sz w:val="15"/>
          <w:szCs w:val="15"/>
          <w:color w:val="auto"/>
        </w:rPr>
      </w:pPr>
    </w:p>
    <w:p>
      <w:pPr>
        <w:ind w:right="3939" w:firstLine="10"/>
        <w:spacing w:after="0" w:line="381" w:lineRule="auto"/>
        <w:tabs>
          <w:tab w:leader="none" w:pos="35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one or more Unrestricted Subsidiaries, so long as the Principal Companies shall have complied with the provisions of SECTION 1.3.</w:t>
      </w:r>
    </w:p>
    <w:p>
      <w:pPr>
        <w:spacing w:after="0" w:line="1" w:lineRule="exact"/>
        <w:rPr>
          <w:sz w:val="20"/>
          <w:szCs w:val="20"/>
          <w:color w:val="auto"/>
        </w:rPr>
      </w:pPr>
    </w:p>
    <w:p>
      <w:pPr>
        <w:ind w:right="3239" w:firstLine="525"/>
        <w:spacing w:after="0" w:line="344" w:lineRule="auto"/>
        <w:rPr>
          <w:sz w:val="20"/>
          <w:szCs w:val="20"/>
          <w:color w:val="auto"/>
        </w:rPr>
      </w:pPr>
      <w:r>
        <w:rPr>
          <w:rFonts w:ascii="Courier New" w:cs="Courier New" w:eastAsia="Courier New" w:hAnsi="Courier New"/>
          <w:sz w:val="15"/>
          <w:szCs w:val="15"/>
          <w:color w:val="auto"/>
        </w:rPr>
        <w:t>Section 9.4. INVESTMENTS. Make or suffer to exist or to remain outstanding any Investment, except:</w:t>
      </w:r>
    </w:p>
    <w:p>
      <w:pPr>
        <w:spacing w:after="0" w:line="17" w:lineRule="exact"/>
        <w:rPr>
          <w:sz w:val="20"/>
          <w:szCs w:val="20"/>
          <w:color w:val="auto"/>
        </w:rPr>
      </w:pPr>
    </w:p>
    <w:p>
      <w:pPr>
        <w:ind w:left="1060" w:hanging="526"/>
        <w:spacing w:after="0"/>
        <w:tabs>
          <w:tab w:leader="none" w:pos="106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w:t>
      </w:r>
    </w:p>
    <w:p>
      <w:pPr>
        <w:spacing w:after="0" w:line="166" w:lineRule="exact"/>
        <w:rPr>
          <w:rFonts w:ascii="Courier New" w:cs="Courier New" w:eastAsia="Courier New" w:hAnsi="Courier New"/>
          <w:sz w:val="15"/>
          <w:szCs w:val="15"/>
          <w:color w:val="auto"/>
        </w:rPr>
      </w:pPr>
    </w:p>
    <w:p>
      <w:pPr>
        <w:ind w:left="540" w:right="3239" w:firstLine="519"/>
        <w:spacing w:after="0" w:line="287" w:lineRule="auto"/>
        <w:tabs>
          <w:tab w:leader="none" w:pos="159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marketable direct obligations of, or obligations the principal of and interest on which are unconditionally guaranteed by, the United States (or by any agency thereof to the extent such obligations are backed by the full faith and credit of the United States), in each case maturing within 90 days from the date of acquisition thereof;</w:t>
      </w:r>
    </w:p>
    <w:p>
      <w:pPr>
        <w:spacing w:after="0" w:line="60" w:lineRule="exact"/>
        <w:rPr>
          <w:rFonts w:ascii="Courier New" w:cs="Courier New" w:eastAsia="Courier New" w:hAnsi="Courier New"/>
          <w:sz w:val="14"/>
          <w:szCs w:val="14"/>
          <w:color w:val="auto"/>
        </w:rPr>
      </w:pPr>
    </w:p>
    <w:p>
      <w:pPr>
        <w:ind w:left="540" w:right="3239" w:firstLine="519"/>
        <w:spacing w:after="0" w:line="258" w:lineRule="auto"/>
        <w:tabs>
          <w:tab w:leader="none" w:pos="159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commonly known as "commercial paper" issued by a corporation organized and existing under the laws of the United States or any state thereof maturing within 90 days from the date of acquisition thereof and having, at such date of acquisition, the highest credit rating obtainable from Standard &amp; Poor's Corporation or from Moody's Investors Service, Inc.;</w:t>
      </w:r>
    </w:p>
    <w:p>
      <w:pPr>
        <w:spacing w:after="0" w:line="81" w:lineRule="exact"/>
        <w:rPr>
          <w:rFonts w:ascii="Courier New" w:cs="Courier New" w:eastAsia="Courier New" w:hAnsi="Courier New"/>
          <w:sz w:val="15"/>
          <w:szCs w:val="15"/>
          <w:color w:val="auto"/>
        </w:rPr>
      </w:pPr>
    </w:p>
    <w:p>
      <w:pPr>
        <w:ind w:left="540" w:right="3499" w:firstLine="519"/>
        <w:spacing w:after="0" w:line="270" w:lineRule="auto"/>
        <w:tabs>
          <w:tab w:leader="none" w:pos="159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deposit, banker's acceptances and time deposits maturing within 90 days from the date of acquisition thereof issued or guaranteed by or placed with, and demand deposit accounts or money market deposit accounts issued or offered by, any commercial bank organized under the laws of the United States of America or any state thereof, but only so long as such commercial bank is a Lender or has a combined capital and surplus and undivided profits of not less than $500,000,000, or has a credit rating of "A" or better from Standard &amp; Poor's Corporation or from Moody's Investors Service, Inc.;</w:t>
      </w:r>
    </w:p>
    <w:p>
      <w:pPr>
        <w:spacing w:after="0" w:line="76" w:lineRule="exact"/>
        <w:rPr>
          <w:rFonts w:ascii="Courier New" w:cs="Courier New" w:eastAsia="Courier New" w:hAnsi="Courier New"/>
          <w:sz w:val="14"/>
          <w:szCs w:val="14"/>
          <w:color w:val="auto"/>
        </w:rPr>
      </w:pPr>
    </w:p>
    <w:p>
      <w:pPr>
        <w:ind w:left="540" w:right="3399" w:firstLine="519"/>
        <w:spacing w:after="0" w:line="264" w:lineRule="auto"/>
        <w:tabs>
          <w:tab w:leader="none" w:pos="159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direct obligations of any state of the United States or any political subdivision thereof maturing within 90 days from the date of acquisition thereof and having a credit rating of "A" or better from Standard &amp; Poor's Corporation or from Moody's Investors Service, Inc.; and</w:t>
      </w:r>
    </w:p>
    <w:p>
      <w:pPr>
        <w:spacing w:after="0" w:line="74" w:lineRule="exact"/>
        <w:rPr>
          <w:rFonts w:ascii="Courier New" w:cs="Courier New" w:eastAsia="Courier New" w:hAnsi="Courier New"/>
          <w:sz w:val="15"/>
          <w:szCs w:val="15"/>
          <w:color w:val="auto"/>
        </w:rPr>
      </w:pPr>
    </w:p>
    <w:p>
      <w:pPr>
        <w:ind w:left="540" w:right="3239" w:firstLine="519"/>
        <w:spacing w:after="0" w:line="290" w:lineRule="auto"/>
        <w:tabs>
          <w:tab w:leader="none" w:pos="159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BankBoston's 1784 money market fund and in other overnight investments customarily provided by BankBoston to its corporate customers; and</w:t>
      </w:r>
    </w:p>
    <w:p>
      <w:pPr>
        <w:sectPr>
          <w:pgSz w:w="11900" w:h="16838" w:orient="portrait"/>
          <w:cols w:equalWidth="0" w:num="1">
            <w:col w:w="10239"/>
          </w:cols>
          <w:pgMar w:left="220" w:top="261"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105</w:t>
      </w:r>
    </w:p>
    <w:p>
      <w:pPr>
        <w:spacing w:after="0" w:line="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97</w:t>
      </w:r>
    </w:p>
    <w:p>
      <w:pPr>
        <w:spacing w:after="0" w:line="140" w:lineRule="exact"/>
        <w:rPr>
          <w:sz w:val="20"/>
          <w:szCs w:val="20"/>
          <w:color w:val="auto"/>
        </w:rPr>
      </w:pPr>
    </w:p>
    <w:p>
      <w:pPr>
        <w:ind w:left="-280" w:right="3239" w:firstLine="534"/>
        <w:spacing w:after="0" w:line="255" w:lineRule="auto"/>
        <w:tabs>
          <w:tab w:leader="none" w:pos="59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form of loans to employees of the Principal Companies (other than Christian), provided that the outstanding principal amount of all such loans to any one employee shall at no time exceed $100,000 and that the aggregate outstanding principal amount of all such loans shall at no time exceed $300,000, and no such loan shall be made if, on the date of the proposed loan, any Default or Event of Default exists or would exist after giving effect to the making of any such loan;</w:t>
      </w:r>
    </w:p>
    <w:p>
      <w:pPr>
        <w:spacing w:after="0" w:line="81" w:lineRule="exact"/>
        <w:rPr>
          <w:rFonts w:ascii="Courier New" w:cs="Courier New" w:eastAsia="Courier New" w:hAnsi="Courier New"/>
          <w:sz w:val="15"/>
          <w:szCs w:val="15"/>
          <w:color w:val="auto"/>
        </w:rPr>
      </w:pPr>
    </w:p>
    <w:p>
      <w:pPr>
        <w:ind w:left="600" w:hanging="346"/>
        <w:spacing w:after="0"/>
        <w:tabs>
          <w:tab w:leader="none" w:pos="6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of any Principal Company in any other Principal Company;</w:t>
      </w:r>
    </w:p>
    <w:p>
      <w:pPr>
        <w:spacing w:after="0" w:line="177" w:lineRule="exact"/>
        <w:rPr>
          <w:rFonts w:ascii="Courier New" w:cs="Courier New" w:eastAsia="Courier New" w:hAnsi="Courier New"/>
          <w:sz w:val="14"/>
          <w:szCs w:val="14"/>
          <w:color w:val="auto"/>
        </w:rPr>
      </w:pPr>
    </w:p>
    <w:p>
      <w:pPr>
        <w:ind w:left="600" w:hanging="346"/>
        <w:spacing w:after="0"/>
        <w:tabs>
          <w:tab w:leader="none" w:pos="60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Acquisitions;</w:t>
      </w:r>
    </w:p>
    <w:p>
      <w:pPr>
        <w:spacing w:after="0" w:line="166" w:lineRule="exact"/>
        <w:rPr>
          <w:rFonts w:ascii="Courier New" w:cs="Courier New" w:eastAsia="Courier New" w:hAnsi="Courier New"/>
          <w:sz w:val="15"/>
          <w:szCs w:val="15"/>
          <w:color w:val="auto"/>
        </w:rPr>
      </w:pPr>
    </w:p>
    <w:p>
      <w:pPr>
        <w:ind w:left="-280" w:right="3499" w:firstLine="534"/>
        <w:spacing w:after="0" w:line="344" w:lineRule="auto"/>
        <w:tabs>
          <w:tab w:leader="none" w:pos="59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consisting of loans evidenced by the Christian Note and interest accrued thereon;</w:t>
      </w:r>
    </w:p>
    <w:p>
      <w:pPr>
        <w:spacing w:after="0" w:line="17" w:lineRule="exact"/>
        <w:rPr>
          <w:rFonts w:ascii="Courier New" w:cs="Courier New" w:eastAsia="Courier New" w:hAnsi="Courier New"/>
          <w:sz w:val="15"/>
          <w:szCs w:val="15"/>
          <w:color w:val="auto"/>
        </w:rPr>
      </w:pPr>
    </w:p>
    <w:p>
      <w:pPr>
        <w:ind w:left="-280" w:right="3679" w:firstLine="534"/>
        <w:spacing w:after="0" w:line="381" w:lineRule="auto"/>
        <w:tabs>
          <w:tab w:leader="none" w:pos="59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the form of deposits securing performance of any Principal Company's obligations in connection with a Permitted Acquisition;</w:t>
      </w:r>
    </w:p>
    <w:p>
      <w:pPr>
        <w:spacing w:after="0" w:line="1" w:lineRule="exact"/>
        <w:rPr>
          <w:rFonts w:ascii="Courier New" w:cs="Courier New" w:eastAsia="Courier New" w:hAnsi="Courier New"/>
          <w:sz w:val="14"/>
          <w:szCs w:val="14"/>
          <w:color w:val="auto"/>
        </w:rPr>
      </w:pPr>
    </w:p>
    <w:p>
      <w:pPr>
        <w:ind w:left="-280" w:right="3399" w:firstLine="534"/>
        <w:spacing w:after="0" w:line="287" w:lineRule="auto"/>
        <w:tabs>
          <w:tab w:leader="none" w:pos="59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the form of promissory notes issued to any Principal Company in a sale of Assets permitted by SECTION 9.3(a)(iii); representing the non-cash portion of the consideration received by the Principal Companies pursuant to such sale; PROVIDED that such notes are delivered in pledge to the Collateral Trustee pursuant to the applicable Security Documents;</w:t>
      </w:r>
    </w:p>
    <w:p>
      <w:pPr>
        <w:spacing w:after="0" w:line="60" w:lineRule="exact"/>
        <w:rPr>
          <w:rFonts w:ascii="Courier New" w:cs="Courier New" w:eastAsia="Courier New" w:hAnsi="Courier New"/>
          <w:sz w:val="14"/>
          <w:szCs w:val="14"/>
          <w:color w:val="auto"/>
        </w:rPr>
      </w:pPr>
    </w:p>
    <w:p>
      <w:pPr>
        <w:ind w:left="600" w:hanging="346"/>
        <w:spacing w:after="0"/>
        <w:tabs>
          <w:tab w:leader="none" w:pos="60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described in SCHEDULE 9.4 hereto; and</w:t>
      </w:r>
    </w:p>
    <w:p>
      <w:pPr>
        <w:spacing w:after="0" w:line="166" w:lineRule="exact"/>
        <w:rPr>
          <w:rFonts w:ascii="Courier New" w:cs="Courier New" w:eastAsia="Courier New" w:hAnsi="Courier New"/>
          <w:sz w:val="15"/>
          <w:szCs w:val="15"/>
          <w:color w:val="auto"/>
        </w:rPr>
      </w:pPr>
    </w:p>
    <w:p>
      <w:pPr>
        <w:ind w:left="-280" w:right="3239" w:firstLine="534"/>
        <w:spacing w:after="0" w:line="261" w:lineRule="auto"/>
        <w:tabs>
          <w:tab w:leader="none" w:pos="59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(including Investments in Unrestricted Subsidiaries) not otherwise permitted by any of PARAGRAPHS (A) through (H) above in the Capital Stock of any Person that owns and operates as its principal business one or more Communications Systems or other businesses reasonably related to the radio or television business, PROVIDED, HOWEVER, that (i) the aggregate amount of such Investments by the Principal Companies from and after the Effective Date shall not exceed $10,000,000 (it being understood and agreed that the designation by the Borrower of a Subsidiary as an Unrestricted Subsidiary pursuant to SECTION 1.3 shall be deemed an Investment by the Borrower (or by one of its Restricted Subsidiaries which is the direct parent of such Unrestricted Subsidiary) in such Unrestricted Subsidiary at the time of such designation in an amount equal to the aggregate amount of Investments previously made by the Borrower and its Restricted Subsidiary in such Subsidiary prior to its designation as an Unrestricted Subsidiary); (ii) at the time of such Investment and after giving effect thereto, no Default Event of Default shall have occurred and be continuing; and (iii) the Borrower shall have demonstrated to the reasonable satisfaction of the Agent (based on, among other things, operating and financial projections and PRO FORMA financial statements delivered to the Agent and certified by the Chief Operating Officer) that, immediately after giving effect to such designation, all covenants</w:t>
      </w:r>
    </w:p>
    <w:p>
      <w:pPr>
        <w:sectPr>
          <w:pgSz w:w="11900" w:h="16838" w:orient="portrait"/>
          <w:cols w:equalWidth="0" w:num="1">
            <w:col w:w="9959"/>
          </w:cols>
          <w:pgMar w:left="500" w:top="26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106</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pacing w:after="0" w:line="140"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(including all covenants contained in ARTICLE X hereof) contained herein (A) would have been satisfied on a PRO FORMA basis as at the end of and for the Most Recent Reference Period had such Subsidiary been an Unrestricted Subsidiary at all times during such period, and (B) will be satisfied on a PRO FORMA basis through the period ending two years after the date of such designation.</w:t>
      </w:r>
    </w:p>
    <w:p>
      <w:pPr>
        <w:spacing w:after="0" w:line="6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The aggregate amount of an Investment described in paragraph (i) above in any Person at any time (x) shall be equal to the aggregate amount of all cash, plus the aggregate fair market value of all Assets, loaned, advanced, contributed or transferred to, or otherwise invested in, such Person, and (y) shall not be reduced by reason of any write-down or write-off of such Investment or by reason of any dividends, distributions or payments received by any Principal Company in respect of such Investment.</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9.5. RESTRICTED PAYMENTS. Make any Restricted Payments, other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w:t>
      </w:r>
    </w:p>
    <w:p>
      <w:pPr>
        <w:spacing w:after="0" w:line="140" w:lineRule="exact"/>
        <w:rPr>
          <w:sz w:val="20"/>
          <w:szCs w:val="20"/>
          <w:color w:val="auto"/>
        </w:rPr>
      </w:pPr>
    </w:p>
    <w:p>
      <w:pPr>
        <w:jc w:val="both"/>
        <w:ind w:right="3759" w:firstLine="534"/>
        <w:spacing w:after="0" w:line="290" w:lineRule="auto"/>
        <w:tabs>
          <w:tab w:leader="none" w:pos="87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cash dividends, making of advances, and repayment of advances, in each case by any Restricted Subsidiary of the Borrower to the parent of such Restricted Subsidiary;</w:t>
      </w:r>
    </w:p>
    <w:p>
      <w:pPr>
        <w:spacing w:after="0" w:line="56" w:lineRule="exact"/>
        <w:rPr>
          <w:rFonts w:ascii="Courier New" w:cs="Courier New" w:eastAsia="Courier New" w:hAnsi="Courier New"/>
          <w:sz w:val="15"/>
          <w:szCs w:val="15"/>
          <w:color w:val="auto"/>
        </w:rPr>
      </w:pPr>
    </w:p>
    <w:p>
      <w:pPr>
        <w:jc w:val="both"/>
        <w:ind w:right="3239" w:firstLine="534"/>
        <w:spacing w:after="0" w:line="273" w:lineRule="auto"/>
        <w:tabs>
          <w:tab w:leader="none" w:pos="87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Default or Event of Default is continuing or would exist after giving effect thereto, the Borrower may prepay Indebtedness for Borrowed Money permitted by Section 9.1(c) and secured by Liens permitted by Section 9.2(D) and Capitalized Lease Obligations; and</w:t>
      </w:r>
    </w:p>
    <w:p>
      <w:pPr>
        <w:spacing w:after="0" w:line="67" w:lineRule="exact"/>
        <w:rPr>
          <w:rFonts w:ascii="Courier New" w:cs="Courier New" w:eastAsia="Courier New" w:hAnsi="Courier New"/>
          <w:sz w:val="15"/>
          <w:szCs w:val="15"/>
          <w:color w:val="auto"/>
        </w:rPr>
      </w:pPr>
    </w:p>
    <w:p>
      <w:pPr>
        <w:ind w:right="3239" w:firstLine="1234"/>
        <w:spacing w:after="0" w:line="262" w:lineRule="auto"/>
        <w:tabs>
          <w:tab w:leader="none" w:pos="1574"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by the Borrower to stockholders of the Borrower in an aggregate amount not to exceed $10,000,000 (from and after the effectiveness hereof) to repurchase shares of Class A Common Stock of the Borrower; PROVIDED THAT, (i) no Default or Event of Default shall be continuing on the date of the proposed payment or would result from such payment, and (ii) prior to such repurchase, the Borrower shall have demonstrated to the reasonable satisfaction of the Agent (based on, among other things, operating and financial projections and pro forma financial statements delivered to the Agent and certified by the Chief Financial Officer) that, immediately after giving effect to such repurchase (including the making of any Loans and the incurrence of any Indebtedness required to finance such repurchase, all covenants (including all covenants contained in ARTICLE X hereof) contained herein (A) would be satisfied on a pro forma basis through the end of and for the Most Recent Reference Period, and (B) will be satisfied on a pro forma basis through the period ending two years after the date of such repurchase; and PROVIDED FURTHER, that the Borrower shall immediately retire any shares of its Class A Common Stock so repurchased.</w:t>
      </w:r>
    </w:p>
    <w:p>
      <w:pPr>
        <w:spacing w:after="0" w:line="257" w:lineRule="exact"/>
        <w:rPr>
          <w:sz w:val="20"/>
          <w:szCs w:val="20"/>
          <w:color w:val="auto"/>
        </w:rPr>
      </w:pPr>
    </w:p>
    <w:p>
      <w:pPr>
        <w:ind w:right="3399" w:firstLine="525"/>
        <w:spacing w:after="0" w:line="385" w:lineRule="auto"/>
        <w:rPr>
          <w:sz w:val="20"/>
          <w:szCs w:val="20"/>
          <w:color w:val="auto"/>
        </w:rPr>
      </w:pPr>
      <w:r>
        <w:rPr>
          <w:rFonts w:ascii="Courier New" w:cs="Courier New" w:eastAsia="Courier New" w:hAnsi="Courier New"/>
          <w:sz w:val="14"/>
          <w:szCs w:val="14"/>
          <w:color w:val="auto"/>
        </w:rPr>
        <w:t>Section 9.6. ISSUANCE OF CAPITAL STOCK. Issue any Capital Stock if (i) such Capital Stock is not Permitted Capital Stock or (ii) the issuance of such</w:t>
      </w:r>
    </w:p>
    <w:p>
      <w:pPr>
        <w:sectPr>
          <w:pgSz w:w="11900" w:h="16838" w:orient="portrait"/>
          <w:cols w:equalWidth="0" w:num="1">
            <w:col w:w="10239"/>
          </w:cols>
          <w:pgMar w:left="220" w:top="26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107</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99</w:t>
      </w:r>
    </w:p>
    <w:p>
      <w:pPr>
        <w:spacing w:after="0" w:line="140" w:lineRule="exact"/>
        <w:rPr>
          <w:sz w:val="20"/>
          <w:szCs w:val="20"/>
          <w:color w:val="auto"/>
        </w:rPr>
      </w:pPr>
    </w:p>
    <w:p>
      <w:pPr>
        <w:jc w:val="both"/>
        <w:ind w:right="3399"/>
        <w:spacing w:after="0" w:line="344" w:lineRule="auto"/>
        <w:rPr>
          <w:sz w:val="20"/>
          <w:szCs w:val="20"/>
          <w:color w:val="auto"/>
        </w:rPr>
      </w:pPr>
      <w:r>
        <w:rPr>
          <w:rFonts w:ascii="Courier New" w:cs="Courier New" w:eastAsia="Courier New" w:hAnsi="Courier New"/>
          <w:sz w:val="15"/>
          <w:szCs w:val="15"/>
          <w:color w:val="auto"/>
        </w:rPr>
        <w:t>Capital Stock, or the exercise or conversion thereof, would result in a Change in Control.</w:t>
      </w:r>
    </w:p>
    <w:p>
      <w:pPr>
        <w:spacing w:after="0" w:line="17" w:lineRule="exact"/>
        <w:rPr>
          <w:sz w:val="20"/>
          <w:szCs w:val="20"/>
          <w:color w:val="auto"/>
        </w:rPr>
      </w:pPr>
    </w:p>
    <w:p>
      <w:pPr>
        <w:jc w:val="both"/>
        <w:ind w:right="3399" w:firstLine="525"/>
        <w:spacing w:after="0" w:line="273" w:lineRule="auto"/>
        <w:rPr>
          <w:sz w:val="20"/>
          <w:szCs w:val="20"/>
          <w:color w:val="auto"/>
        </w:rPr>
      </w:pPr>
      <w:r>
        <w:rPr>
          <w:rFonts w:ascii="Courier New" w:cs="Courier New" w:eastAsia="Courier New" w:hAnsi="Courier New"/>
          <w:sz w:val="15"/>
          <w:szCs w:val="15"/>
          <w:color w:val="auto"/>
        </w:rPr>
        <w:t>Section 9.7. SALE AND LEASEBACK. Enter into any arrangement, directly or indirectly, with any Person providing for the leasing by any Principal Company of real or personal property which has been or is to be sold or transferred by any Principal Company.</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9.8. ERISA COMPLIANCE.</w:t>
      </w:r>
    </w:p>
    <w:p>
      <w:pPr>
        <w:spacing w:after="0" w:line="166" w:lineRule="exact"/>
        <w:rPr>
          <w:sz w:val="20"/>
          <w:szCs w:val="20"/>
          <w:color w:val="auto"/>
        </w:rPr>
      </w:pPr>
    </w:p>
    <w:p>
      <w:pPr>
        <w:jc w:val="both"/>
        <w:ind w:right="3319" w:firstLine="534"/>
        <w:spacing w:after="0" w:line="298" w:lineRule="auto"/>
        <w:tabs>
          <w:tab w:leader="none" w:pos="8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or permit any of its Subsidiaries to engage in any "prohibited transaction" within the meaning of ss.406 of ERISA or ss.4975 of the Code which is not subject to an exemption under ss.408 of ERISA or ss.4975(d) of the Code and which could result in a material liability for any Principal Company.</w:t>
      </w:r>
    </w:p>
    <w:p>
      <w:pPr>
        <w:spacing w:after="0" w:line="53" w:lineRule="exact"/>
        <w:rPr>
          <w:rFonts w:ascii="Courier New" w:cs="Courier New" w:eastAsia="Courier New" w:hAnsi="Courier New"/>
          <w:sz w:val="14"/>
          <w:szCs w:val="14"/>
          <w:color w:val="auto"/>
        </w:rPr>
      </w:pPr>
    </w:p>
    <w:p>
      <w:pPr>
        <w:jc w:val="both"/>
        <w:ind w:right="3319" w:firstLine="534"/>
        <w:spacing w:after="0" w:line="320" w:lineRule="auto"/>
        <w:tabs>
          <w:tab w:leader="none" w:pos="87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or allow any of its Subsidiaries to permit any Guaranteed Pension Plan to incur an "accumulated funding deficiency", as such term is defined in ss.302 of ERISA, whether or not such deficiency is or may be waived.</w:t>
      </w:r>
    </w:p>
    <w:p>
      <w:pPr>
        <w:spacing w:after="0" w:line="38" w:lineRule="exact"/>
        <w:rPr>
          <w:rFonts w:ascii="Courier New" w:cs="Courier New" w:eastAsia="Courier New" w:hAnsi="Courier New"/>
          <w:sz w:val="14"/>
          <w:szCs w:val="14"/>
          <w:color w:val="auto"/>
        </w:rPr>
      </w:pPr>
    </w:p>
    <w:p>
      <w:pPr>
        <w:ind w:right="3239" w:firstLine="534"/>
        <w:spacing w:after="0" w:line="258" w:lineRule="auto"/>
        <w:tabs>
          <w:tab w:leader="none" w:pos="87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or permit any of its Subsidiaries to fail to contribute to any Guaranteed Pension Plan to an extent which, or terminate or permit any of its Subsidiaries to terminate any Guaranteed Pension Plan in a manner which, could result in the imposition of a lien or encumbrance on the assets of any Principal Company or any of its Subsidiaries pursuant to ss.302(f) or ss.4068 of ERISA.</w:t>
      </w:r>
    </w:p>
    <w:p>
      <w:pPr>
        <w:spacing w:after="0" w:line="81" w:lineRule="exact"/>
        <w:rPr>
          <w:rFonts w:ascii="Courier New" w:cs="Courier New" w:eastAsia="Courier New" w:hAnsi="Courier New"/>
          <w:sz w:val="15"/>
          <w:szCs w:val="15"/>
          <w:color w:val="auto"/>
        </w:rPr>
      </w:pPr>
    </w:p>
    <w:p>
      <w:pPr>
        <w:ind w:right="3239" w:firstLine="534"/>
        <w:spacing w:after="0" w:line="264" w:lineRule="auto"/>
        <w:tabs>
          <w:tab w:leader="none" w:pos="87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 the meaning of ss.4001 of ERISA) of all Guaranteed Pension Plans exceeding the value of the aggregate assets of such Plans, disregarding for this purpose the benefit liabilities and assets of any such Plan with assets in excess of benefit liabilities, by more than $100,000.</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9.9. AMENDMENT OR TERMINATION OF DOCUMENTS.</w:t>
      </w:r>
    </w:p>
    <w:p>
      <w:pPr>
        <w:spacing w:after="0" w:line="166" w:lineRule="exact"/>
        <w:rPr>
          <w:sz w:val="20"/>
          <w:szCs w:val="20"/>
          <w:color w:val="auto"/>
        </w:rPr>
      </w:pPr>
    </w:p>
    <w:p>
      <w:pPr>
        <w:ind w:right="3399" w:firstLine="534"/>
        <w:spacing w:after="0" w:line="273" w:lineRule="auto"/>
        <w:tabs>
          <w:tab w:leader="none" w:pos="875"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supplement any Governing Documents of any Principal Company if the effect of such an amendment or supplementation could reasonably be expected to impair the rights or interests of the Lenders under the Loan Documents.</w:t>
      </w:r>
    </w:p>
    <w:p>
      <w:pPr>
        <w:spacing w:after="0" w:line="67" w:lineRule="exact"/>
        <w:rPr>
          <w:rFonts w:ascii="Courier New" w:cs="Courier New" w:eastAsia="Courier New" w:hAnsi="Courier New"/>
          <w:sz w:val="15"/>
          <w:szCs w:val="15"/>
          <w:color w:val="auto"/>
        </w:rPr>
      </w:pPr>
    </w:p>
    <w:p>
      <w:pPr>
        <w:ind w:right="3239" w:firstLine="534"/>
        <w:spacing w:after="0" w:line="273" w:lineRule="auto"/>
        <w:tabs>
          <w:tab w:leader="none" w:pos="875"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supplement in any material respect or terminate or cancel any Ancillary Document (other than any Seller Debt Document) if the effect of such an amendment or supplementation could reasonably be expected to impair the rights or interests of the Lenders under the Loan Documents.</w:t>
      </w:r>
    </w:p>
    <w:p>
      <w:pPr>
        <w:spacing w:after="0" w:line="67" w:lineRule="exact"/>
        <w:rPr>
          <w:rFonts w:ascii="Courier New" w:cs="Courier New" w:eastAsia="Courier New" w:hAnsi="Courier New"/>
          <w:sz w:val="15"/>
          <w:szCs w:val="15"/>
          <w:color w:val="auto"/>
        </w:rPr>
      </w:pPr>
    </w:p>
    <w:p>
      <w:pPr>
        <w:ind w:right="3319" w:firstLine="534"/>
        <w:spacing w:after="0" w:line="320" w:lineRule="auto"/>
        <w:tabs>
          <w:tab w:leader="none" w:pos="875"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supplement or otherwise modify in any respect any subordinated Debt Document if such amendment or supplementation would (i) add any representation, covenant or agreement or event of default or make any</w:t>
      </w:r>
    </w:p>
    <w:p>
      <w:pPr>
        <w:sectPr>
          <w:pgSz w:w="11900" w:h="16838" w:orient="portrait"/>
          <w:cols w:equalWidth="0" w:num="1">
            <w:col w:w="10239"/>
          </w:cols>
          <w:pgMar w:left="220" w:top="26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108</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100</w:t>
      </w:r>
    </w:p>
    <w:p>
      <w:pPr>
        <w:spacing w:after="0" w:line="140"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representation, covenant or agreement or event of default more restrictive as to any Principal Company, (ii) alter any applicable subordination provisions, (iii) require any additional payment or prepayment of any principal, interest, fee or other amount, (iv) shorten the maturity or increase the rate or amount or the frequency of payment of any principal, interest, fee or other amount, or (v) grant any Lien to any holder of any obligation under or in respect of any Subordinated Debt Documents. The Principal Companies will promptly provide to the Agent a copy of any amendment, supplement or modification whether or not such amendment, supplement or modification shall have required the consent of the Required Lenders.</w:t>
      </w:r>
    </w:p>
    <w:p>
      <w:pPr>
        <w:spacing w:after="0" w:line="87" w:lineRule="exact"/>
        <w:rPr>
          <w:sz w:val="20"/>
          <w:szCs w:val="20"/>
          <w:color w:val="auto"/>
        </w:rPr>
      </w:pPr>
    </w:p>
    <w:p>
      <w:pPr>
        <w:ind w:right="3499" w:firstLine="534"/>
        <w:spacing w:after="0" w:line="381" w:lineRule="auto"/>
        <w:tabs>
          <w:tab w:leader="none" w:pos="87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release, discharge or compromise any material obligations of any parties other than Principal Companies under any Ancillary Documents.</w:t>
      </w:r>
    </w:p>
    <w:p>
      <w:pPr>
        <w:spacing w:after="0" w:line="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Section 9.10. RESTRICTIVE AGREEMENTS. Become or remain bound by any Contractual Obligation (other than the Loan Documents) which, directly or indirectly, prohibits or limits, or has the effect of prohibiting or limiting, or imposes materially adverse conditions on, (i) the incurrence of Indebtedness, the granting of Liens or the provision of Guaranties by any Principal Company, or (ii) the making of Distributions by any Restricted Subsidiary of the Borrower.</w:t>
      </w:r>
    </w:p>
    <w:p>
      <w:pPr>
        <w:spacing w:after="0" w:line="82"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Section 9.11. TRANSACTIONS WITH AFFILIATES. Except as otherwise expressly permitted by this Agreement, directly or indirectly (i) make any Investment in any Affiliate, (ii) sell, lease or otherwise dispose of any Assets or services to, or purchase, lease or otherwise acquire any Assets or services from, any Affiliate, or (iii) directly or indirectly engage in any other transaction with or for the benefit of, or make any payment or distribution to, any Affiliate; PROVIDED, that: (i) any employee (or former employee) of the Borrower owning any Common Stock may serve as an employee or director of any Principal Company and receive reasonable compensation for his services in such capacity, (ii) the Principal Companies may perform all their respective obligations under the Ancillary Documents in accordance with the terms thereof, and (iii) so long as no Default or Event of Default is continuing, any Principal Company may enter into any transaction with an Affiliate providing for the rendering or receipt of services or the purchase, sale or lease of assets in the ordinary course of business if the monetary or business consideration arising therefrom would be substantially as advantageous to such Principal Company as the monetary or business consideration which would obtain in a comparable arm's length transaction with a Person not an Affiliate, and such transaction is accurately reflected on the books of such Principal Company.</w:t>
      </w:r>
    </w:p>
    <w:p>
      <w:pPr>
        <w:spacing w:after="0" w:line="259"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Section 9.12. LIMITATION ON OPERATION OF SAGA REAL ESTATE. Permit Saga Real Estate to conduct or engage in any business or operations of any kind, except the ownership (but not the operation), and other activities necessarily related to such ownership, of the transmitter site at 2900 S.E. 22d Street, Des Moines, Iowa.</w:t>
      </w:r>
    </w:p>
    <w:p>
      <w:pPr>
        <w:sectPr>
          <w:pgSz w:w="11900" w:h="16838" w:orient="portrait"/>
          <w:cols w:equalWidth="0" w:num="1">
            <w:col w:w="10239"/>
          </w:cols>
          <w:pgMar w:left="220" w:top="26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109</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pacing w:after="0" w:line="14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FINANCIAL COVENANTS</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The Borrower agrees with the Agent and each Lender that, until all Commitments have been terminated, all Letters of Credit have been fully drawn or have terminated or expired and all Obligations have been paid in cash in full, the Borrower will not cause or permit:</w:t>
      </w:r>
    </w:p>
    <w:p>
      <w:pPr>
        <w:spacing w:after="0" w:line="68" w:lineRule="exact"/>
        <w:rPr>
          <w:sz w:val="20"/>
          <w:szCs w:val="20"/>
          <w:color w:val="auto"/>
        </w:rPr>
      </w:pPr>
    </w:p>
    <w:p>
      <w:pPr>
        <w:ind w:right="3319" w:firstLine="525"/>
        <w:spacing w:after="0" w:line="273" w:lineRule="auto"/>
        <w:rPr>
          <w:sz w:val="20"/>
          <w:szCs w:val="20"/>
          <w:color w:val="auto"/>
        </w:rPr>
      </w:pPr>
      <w:r>
        <w:rPr>
          <w:rFonts w:ascii="Courier New" w:cs="Courier New" w:eastAsia="Courier New" w:hAnsi="Courier New"/>
          <w:sz w:val="15"/>
          <w:szCs w:val="15"/>
          <w:color w:val="auto"/>
        </w:rPr>
        <w:t>Section 10.1. MAXIMUM TOTAL FUNDED DEBT LEVERAGE RATIO. The Total Funded Debt Leverage Ratio (as defined below) for any Reference Period ending during any period identified in the table below to be greater than the ratio specified in such table opposite such period:</w:t>
      </w:r>
    </w:p>
    <w:p>
      <w:pPr>
        <w:spacing w:after="0" w:line="6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800" w:type="dxa"/>
            <w:vAlign w:val="bottom"/>
            <w:gridSpan w:val="2"/>
            <w:vMerge w:val="restart"/>
          </w:tcPr>
          <w:p>
            <w:pPr>
              <w:jc w:val="center"/>
              <w:ind w:right="647"/>
              <w:spacing w:after="0"/>
              <w:rPr>
                <w:sz w:val="20"/>
                <w:szCs w:val="20"/>
                <w:color w:val="auto"/>
              </w:rPr>
            </w:pPr>
            <w:r>
              <w:rPr>
                <w:rFonts w:ascii="Courier New" w:cs="Courier New" w:eastAsia="Courier New" w:hAnsi="Courier New"/>
                <w:sz w:val="15"/>
                <w:szCs w:val="15"/>
                <w:color w:val="auto"/>
                <w:w w:val="96"/>
              </w:rPr>
              <w:t>Period</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Maximum Total Funded</w:t>
            </w:r>
          </w:p>
        </w:tc>
        <w:tc>
          <w:tcPr>
            <w:tcW w:w="0" w:type="dxa"/>
            <w:vAlign w:val="bottom"/>
          </w:tcPr>
          <w:p>
            <w:pPr>
              <w:spacing w:after="0"/>
              <w:rPr>
                <w:sz w:val="1"/>
                <w:szCs w:val="1"/>
                <w:color w:val="auto"/>
              </w:rPr>
            </w:pPr>
          </w:p>
        </w:tc>
      </w:tr>
      <w:tr>
        <w:trPr>
          <w:trHeight w:val="168"/>
        </w:trPr>
        <w:tc>
          <w:tcPr>
            <w:tcW w:w="2800" w:type="dxa"/>
            <w:vAlign w:val="bottom"/>
            <w:gridSpan w:val="2"/>
            <w:vMerge w:val="continue"/>
          </w:tcPr>
          <w:p>
            <w:pPr>
              <w:spacing w:after="0"/>
              <w:rPr>
                <w:sz w:val="14"/>
                <w:szCs w:val="14"/>
                <w:color w:val="auto"/>
              </w:rPr>
            </w:pP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Debt Leverage Ratio</w:t>
            </w:r>
          </w:p>
        </w:tc>
        <w:tc>
          <w:tcPr>
            <w:tcW w:w="0" w:type="dxa"/>
            <w:vAlign w:val="bottom"/>
          </w:tcPr>
          <w:p>
            <w:pPr>
              <w:spacing w:after="0"/>
              <w:rPr>
                <w:sz w:val="1"/>
                <w:szCs w:val="1"/>
                <w:color w:val="auto"/>
              </w:rPr>
            </w:pPr>
          </w:p>
        </w:tc>
      </w:tr>
      <w:tr>
        <w:trPr>
          <w:trHeight w:val="245"/>
        </w:trPr>
        <w:tc>
          <w:tcPr>
            <w:tcW w:w="2800" w:type="dxa"/>
            <w:vAlign w:val="bottom"/>
            <w:gridSpan w:val="2"/>
          </w:tcPr>
          <w:p>
            <w:pPr>
              <w:jc w:val="center"/>
              <w:ind w:right="647"/>
              <w:spacing w:after="0"/>
              <w:rPr>
                <w:sz w:val="20"/>
                <w:szCs w:val="20"/>
                <w:color w:val="auto"/>
              </w:rPr>
            </w:pPr>
            <w:r>
              <w:rPr>
                <w:rFonts w:ascii="Courier New" w:cs="Courier New" w:eastAsia="Courier New" w:hAnsi="Courier New"/>
                <w:sz w:val="15"/>
                <w:szCs w:val="15"/>
                <w:color w:val="auto"/>
                <w:w w:val="96"/>
              </w:rPr>
              <w:t>------</w:t>
            </w: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2800" w:type="dxa"/>
            <w:vAlign w:val="bottom"/>
            <w:gridSpan w:val="2"/>
          </w:tcPr>
          <w:p>
            <w:pPr>
              <w:jc w:val="center"/>
              <w:ind w:right="627"/>
              <w:spacing w:after="0"/>
              <w:rPr>
                <w:sz w:val="20"/>
                <w:szCs w:val="20"/>
                <w:color w:val="auto"/>
              </w:rPr>
            </w:pPr>
            <w:r>
              <w:rPr>
                <w:rFonts w:ascii="Courier New" w:cs="Courier New" w:eastAsia="Courier New" w:hAnsi="Courier New"/>
                <w:sz w:val="15"/>
                <w:szCs w:val="15"/>
                <w:color w:val="auto"/>
                <w:w w:val="97"/>
              </w:rPr>
              <w:t>Effective Date - 9/29/99</w:t>
            </w: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9"/>
              </w:rPr>
              <w:t>5.50:1</w:t>
            </w:r>
          </w:p>
        </w:tc>
        <w:tc>
          <w:tcPr>
            <w:tcW w:w="0" w:type="dxa"/>
            <w:vAlign w:val="bottom"/>
          </w:tcPr>
          <w:p>
            <w:pPr>
              <w:spacing w:after="0"/>
              <w:rPr>
                <w:sz w:val="1"/>
                <w:szCs w:val="1"/>
                <w:color w:val="auto"/>
              </w:rPr>
            </w:pP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9/30/99 -</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12/30/99</w:t>
            </w:r>
          </w:p>
        </w:tc>
        <w:tc>
          <w:tcPr>
            <w:tcW w:w="24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9"/>
              </w:rPr>
              <w:t>5.25:1</w:t>
            </w:r>
          </w:p>
        </w:tc>
        <w:tc>
          <w:tcPr>
            <w:tcW w:w="0" w:type="dxa"/>
            <w:vAlign w:val="bottom"/>
          </w:tcPr>
          <w:p>
            <w:pPr>
              <w:spacing w:after="0"/>
              <w:rPr>
                <w:sz w:val="1"/>
                <w:szCs w:val="1"/>
                <w:color w:val="auto"/>
              </w:rPr>
            </w:pP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12/31/99 -</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12/30/00</w:t>
            </w:r>
          </w:p>
        </w:tc>
        <w:tc>
          <w:tcPr>
            <w:tcW w:w="24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9"/>
              </w:rPr>
              <w:t>5.00:1</w:t>
            </w:r>
          </w:p>
        </w:tc>
        <w:tc>
          <w:tcPr>
            <w:tcW w:w="0" w:type="dxa"/>
            <w:vAlign w:val="bottom"/>
          </w:tcPr>
          <w:p>
            <w:pPr>
              <w:spacing w:after="0"/>
              <w:rPr>
                <w:sz w:val="1"/>
                <w:szCs w:val="1"/>
                <w:color w:val="auto"/>
              </w:rPr>
            </w:pP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12/31/00 -</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12/30/01</w:t>
            </w:r>
          </w:p>
        </w:tc>
        <w:tc>
          <w:tcPr>
            <w:tcW w:w="24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9"/>
              </w:rPr>
              <w:t>4.75:1</w:t>
            </w:r>
          </w:p>
        </w:tc>
        <w:tc>
          <w:tcPr>
            <w:tcW w:w="0" w:type="dxa"/>
            <w:vAlign w:val="bottom"/>
          </w:tcPr>
          <w:p>
            <w:pPr>
              <w:spacing w:after="0"/>
              <w:rPr>
                <w:sz w:val="1"/>
                <w:szCs w:val="1"/>
                <w:color w:val="auto"/>
              </w:rPr>
            </w:pP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12/31/01 -</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12/30/02</w:t>
            </w:r>
          </w:p>
        </w:tc>
        <w:tc>
          <w:tcPr>
            <w:tcW w:w="24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9"/>
              </w:rPr>
              <w:t>4.50:1</w:t>
            </w:r>
          </w:p>
        </w:tc>
        <w:tc>
          <w:tcPr>
            <w:tcW w:w="0" w:type="dxa"/>
            <w:vAlign w:val="bottom"/>
          </w:tcPr>
          <w:p>
            <w:pPr>
              <w:spacing w:after="0"/>
              <w:rPr>
                <w:sz w:val="1"/>
                <w:szCs w:val="1"/>
                <w:color w:val="auto"/>
              </w:rPr>
            </w:pPr>
          </w:p>
        </w:tc>
      </w:t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12/31/02 -</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12/30/03</w:t>
            </w:r>
          </w:p>
        </w:tc>
        <w:tc>
          <w:tcPr>
            <w:tcW w:w="24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9"/>
              </w:rPr>
              <w:t>4.00:1</w:t>
            </w:r>
          </w:p>
        </w:tc>
        <w:tc>
          <w:tcPr>
            <w:tcW w:w="0" w:type="dxa"/>
            <w:vAlign w:val="bottom"/>
          </w:tcPr>
          <w:p>
            <w:pPr>
              <w:spacing w:after="0"/>
              <w:rPr>
                <w:sz w:val="1"/>
                <w:szCs w:val="1"/>
                <w:color w:val="auto"/>
              </w:rPr>
            </w:pPr>
          </w:p>
        </w:tc>
      </w:tr>
      <w:tr>
        <w:trPr>
          <w:trHeight w:val="245"/>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12/31/03 -</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thereafter</w:t>
            </w:r>
          </w:p>
        </w:tc>
        <w:tc>
          <w:tcPr>
            <w:tcW w:w="244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9"/>
              </w:rPr>
              <w:t>3.50:1</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239"/>
        <w:spacing w:after="0" w:line="276" w:lineRule="auto"/>
        <w:rPr>
          <w:sz w:val="20"/>
          <w:szCs w:val="20"/>
          <w:color w:val="auto"/>
        </w:rPr>
      </w:pPr>
      <w:r>
        <w:rPr>
          <w:rFonts w:ascii="Courier New" w:cs="Courier New" w:eastAsia="Courier New" w:hAnsi="Courier New"/>
          <w:sz w:val="14"/>
          <w:szCs w:val="14"/>
          <w:color w:val="auto"/>
        </w:rPr>
        <w:t>As used in this SECTION 10.1, "TOTAL FUNDED DEBT LEVERAGE RATIO" means, in relation to any Reference Period, the ratio of (i) Consolidated Total Funded Debt at the end of such Reference Period (net of the outstanding balance at such time of any Net Proceeds deposited in the Reinvestment Collateral Account pursuant to SUBSECTION 2.5(f)(i)(x)(i) and then held by the Collateral Trustee pending application to a Permitted Acquisition or as provided in SUBSECTION 2.5(h)(i)) to (ii) Consolidated EBITDA for such Reference Period.</w:t>
      </w:r>
    </w:p>
    <w:p>
      <w:pPr>
        <w:spacing w:after="0" w:line="69"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Section 10.2. PRO FORMA FIXED CHARGES COVERAGE RATIO. The Pro Forma Fixed Charges Coverage Ratio (as defined below) for any Reference Period to be less than 1.10:1. As used in this SECTION 10.2, "PRO FORMA FIXED CHARGES COVERAGE RATIO" means, in relation to any Reference Period described in the previous sentence, the ratio of (i) Consolidated EBITDA for such Reference Period to (ii) Pro Forma Fixed Charges for such Reference Period.</w:t>
      </w:r>
    </w:p>
    <w:p>
      <w:pPr>
        <w:spacing w:after="0" w:line="81"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Section 10.3 MINIMUM INTEREST COVERAGE RATIO. The Interest Coverage Ratio (as defined below), for any Reference Period ending during any period identified in the table below to be less than the ratio specified in such table opposite such period:</w:t>
      </w:r>
    </w:p>
    <w:p>
      <w:pPr>
        <w:sectPr>
          <w:pgSz w:w="11900" w:h="16838" w:orient="portrait"/>
          <w:cols w:equalWidth="0" w:num="1">
            <w:col w:w="10239"/>
          </w:cols>
          <w:pgMar w:left="220" w:top="26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110</w:t>
      </w:r>
    </w:p>
    <w:p>
      <w:pPr>
        <w:spacing w:after="0" w:line="24"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2440" w:type="dxa"/>
            <w:vAlign w:val="bottom"/>
          </w:tcPr>
          <w:p>
            <w:pPr>
              <w:spacing w:after="0"/>
              <w:rPr>
                <w:sz w:val="21"/>
                <w:szCs w:val="21"/>
                <w:color w:val="auto"/>
              </w:rPr>
            </w:pPr>
          </w:p>
        </w:tc>
        <w:tc>
          <w:tcPr>
            <w:tcW w:w="246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233"/>
        </w:trPr>
        <w:tc>
          <w:tcPr>
            <w:tcW w:w="2440" w:type="dxa"/>
            <w:vAlign w:val="bottom"/>
            <w:vMerge w:val="restart"/>
          </w:tcPr>
          <w:p>
            <w:pPr>
              <w:jc w:val="center"/>
              <w:ind w:right="287"/>
              <w:spacing w:after="0"/>
              <w:rPr>
                <w:sz w:val="20"/>
                <w:szCs w:val="20"/>
                <w:color w:val="auto"/>
              </w:rPr>
            </w:pPr>
            <w:r>
              <w:rPr>
                <w:rFonts w:ascii="Courier New" w:cs="Courier New" w:eastAsia="Courier New" w:hAnsi="Courier New"/>
                <w:sz w:val="15"/>
                <w:szCs w:val="15"/>
                <w:color w:val="auto"/>
                <w:w w:val="96"/>
              </w:rPr>
              <w:t>Period</w:t>
            </w:r>
          </w:p>
        </w:tc>
        <w:tc>
          <w:tcPr>
            <w:tcW w:w="246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7"/>
              </w:rPr>
              <w:t>Minimum Interest</w:t>
            </w:r>
          </w:p>
        </w:tc>
        <w:tc>
          <w:tcPr>
            <w:tcW w:w="0" w:type="dxa"/>
            <w:vAlign w:val="bottom"/>
          </w:tcPr>
          <w:p>
            <w:pPr>
              <w:spacing w:after="0"/>
              <w:rPr>
                <w:sz w:val="1"/>
                <w:szCs w:val="1"/>
                <w:color w:val="auto"/>
              </w:rPr>
            </w:pPr>
          </w:p>
        </w:tc>
      </w:tr>
      <w:tr>
        <w:trPr>
          <w:trHeight w:val="168"/>
        </w:trPr>
        <w:tc>
          <w:tcPr>
            <w:tcW w:w="2440" w:type="dxa"/>
            <w:vAlign w:val="bottom"/>
            <w:vMerge w:val="continue"/>
          </w:tcPr>
          <w:p>
            <w:pPr>
              <w:spacing w:after="0"/>
              <w:rPr>
                <w:sz w:val="14"/>
                <w:szCs w:val="14"/>
                <w:color w:val="auto"/>
              </w:rPr>
            </w:pPr>
          </w:p>
        </w:tc>
        <w:tc>
          <w:tcPr>
            <w:tcW w:w="2460" w:type="dxa"/>
            <w:vAlign w:val="bottom"/>
          </w:tcPr>
          <w:p>
            <w:pPr>
              <w:jc w:val="center"/>
              <w:ind w:left="967"/>
              <w:spacing w:after="0" w:line="168" w:lineRule="exact"/>
              <w:rPr>
                <w:sz w:val="20"/>
                <w:szCs w:val="20"/>
                <w:color w:val="auto"/>
              </w:rPr>
            </w:pPr>
            <w:r>
              <w:rPr>
                <w:rFonts w:ascii="Courier New" w:cs="Courier New" w:eastAsia="Courier New" w:hAnsi="Courier New"/>
                <w:sz w:val="15"/>
                <w:szCs w:val="15"/>
                <w:color w:val="auto"/>
                <w:w w:val="96"/>
              </w:rPr>
              <w:t>Coverage Ratio</w:t>
            </w:r>
          </w:p>
        </w:tc>
        <w:tc>
          <w:tcPr>
            <w:tcW w:w="0" w:type="dxa"/>
            <w:vAlign w:val="bottom"/>
          </w:tcPr>
          <w:p>
            <w:pPr>
              <w:spacing w:after="0"/>
              <w:rPr>
                <w:sz w:val="1"/>
                <w:szCs w:val="1"/>
                <w:color w:val="auto"/>
              </w:rPr>
            </w:pPr>
          </w:p>
        </w:tc>
      </w:tr>
      <w:tr>
        <w:trPr>
          <w:trHeight w:val="245"/>
        </w:trPr>
        <w:tc>
          <w:tcPr>
            <w:tcW w:w="24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w:t>
            </w:r>
          </w:p>
        </w:tc>
        <w:tc>
          <w:tcPr>
            <w:tcW w:w="2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4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Effective Date - 6/29/00</w:t>
            </w:r>
          </w:p>
        </w:tc>
        <w:tc>
          <w:tcPr>
            <w:tcW w:w="246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6"/>
              </w:rPr>
              <w:t>2.50:1</w:t>
            </w:r>
          </w:p>
        </w:tc>
        <w:tc>
          <w:tcPr>
            <w:tcW w:w="0" w:type="dxa"/>
            <w:vAlign w:val="bottom"/>
          </w:tcPr>
          <w:p>
            <w:pPr>
              <w:spacing w:after="0"/>
              <w:rPr>
                <w:sz w:val="1"/>
                <w:szCs w:val="1"/>
                <w:color w:val="auto"/>
              </w:rPr>
            </w:pPr>
          </w:p>
        </w:tc>
      </w:tr>
      <w:tr>
        <w:trPr>
          <w:trHeight w:val="168"/>
        </w:trPr>
        <w:tc>
          <w:tcPr>
            <w:tcW w:w="2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06/30/00 - 12/30/00</w:t>
            </w:r>
          </w:p>
        </w:tc>
        <w:tc>
          <w:tcPr>
            <w:tcW w:w="246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6"/>
              </w:rPr>
              <w:t>2.75:1</w:t>
            </w:r>
          </w:p>
        </w:tc>
        <w:tc>
          <w:tcPr>
            <w:tcW w:w="0" w:type="dxa"/>
            <w:vAlign w:val="bottom"/>
          </w:tcPr>
          <w:p>
            <w:pPr>
              <w:spacing w:after="0"/>
              <w:rPr>
                <w:sz w:val="1"/>
                <w:szCs w:val="1"/>
                <w:color w:val="auto"/>
              </w:rPr>
            </w:pPr>
          </w:p>
        </w:tc>
      </w:tr>
      <w:tr>
        <w:trPr>
          <w:trHeight w:val="245"/>
        </w:trPr>
        <w:tc>
          <w:tcPr>
            <w:tcW w:w="24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12/31/00 - thereafter</w:t>
            </w:r>
          </w:p>
        </w:tc>
        <w:tc>
          <w:tcPr>
            <w:tcW w:w="246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6"/>
              </w:rPr>
              <w:t>3.00:1</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As used in this Section 10.3, "INTEREST COVERAGE RATIO" means, in relation to any Reference Period described in the previous sentence, the ratio of (i) Consolidated EBITDA for such Reference Period to (ii) Consolidated Total Interest Expense for such Reference Period.</w:t>
      </w:r>
    </w:p>
    <w:p>
      <w:pPr>
        <w:spacing w:after="0" w:line="68" w:lineRule="exact"/>
        <w:rPr>
          <w:sz w:val="20"/>
          <w:szCs w:val="20"/>
          <w:color w:val="auto"/>
        </w:rPr>
      </w:pPr>
    </w:p>
    <w:p>
      <w:pPr>
        <w:ind w:right="3679" w:firstLine="525"/>
        <w:spacing w:after="0" w:line="273" w:lineRule="auto"/>
        <w:rPr>
          <w:sz w:val="20"/>
          <w:szCs w:val="20"/>
          <w:color w:val="auto"/>
        </w:rPr>
      </w:pPr>
      <w:r>
        <w:rPr>
          <w:rFonts w:ascii="Courier New" w:cs="Courier New" w:eastAsia="Courier New" w:hAnsi="Courier New"/>
          <w:sz w:val="15"/>
          <w:szCs w:val="15"/>
          <w:color w:val="auto"/>
        </w:rPr>
        <w:t>Section 10.4. GENERAL PROVISIONS RELATING TO FINANCIAL TERMS AND COVENANTS. In the event the Borrower or any of its Subsidiaries acquires or disposes of any Communications System or other business, the following adjustments shall be made:</w:t>
      </w:r>
    </w:p>
    <w:p>
      <w:pPr>
        <w:spacing w:after="0" w:line="68" w:lineRule="exact"/>
        <w:rPr>
          <w:sz w:val="20"/>
          <w:szCs w:val="20"/>
          <w:color w:val="auto"/>
        </w:rPr>
      </w:pPr>
    </w:p>
    <w:p>
      <w:pPr>
        <w:ind w:right="3319" w:firstLine="534"/>
        <w:spacing w:after="0" w:line="245" w:lineRule="auto"/>
        <w:tabs>
          <w:tab w:leader="none" w:pos="87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EBITDA. In determining Consolidated EBITDA for any period, there shall be (i) included in such Consolidated EBITDA all EBITDA attributable to any Communications System or other business acquired by (and thereafter owned by) the Borrower or any Restricted Subsidiary during such period as if such Communications System or other business had been acquired on the day before the first day of such period and (ii) excluded from such Consolidated EBITDA all EBITDA attributable to any Communications System or other business disposed of by the Borrower or any Restricted Subsidiary during such period as if such Communications System or other business were disposed of on the day before the first day of such period. For purposes hereof, the EBITDA attributable to any such acquired or disposed Communications System or other business prior to the date of acquisition or disposition thereof shall be determined in a manner consistent with the method for determining Consolidated EBITDA, but on a non-consolidated basis (subject to any adjustments made pursuant to paragraph (c) below).</w:t>
      </w:r>
    </w:p>
    <w:p>
      <w:pPr>
        <w:spacing w:after="0" w:line="89" w:lineRule="exact"/>
        <w:rPr>
          <w:rFonts w:ascii="Courier New" w:cs="Courier New" w:eastAsia="Courier New" w:hAnsi="Courier New"/>
          <w:sz w:val="15"/>
          <w:szCs w:val="15"/>
          <w:color w:val="auto"/>
        </w:rPr>
      </w:pPr>
    </w:p>
    <w:p>
      <w:pPr>
        <w:ind w:right="3239" w:firstLine="534"/>
        <w:spacing w:after="0" w:line="269" w:lineRule="auto"/>
        <w:tabs>
          <w:tab w:leader="none" w:pos="87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TOTAL INTEREST EXPENSE. In determining Consolidated Total Interest Expense for any period, there shall be (i) included all Consolidated Total Interest Expense attributable to Indebtedness incurred or assumed by the Borrower or any Restricted Subsidiaries during such period in connection with any Permitted Acquisition as if such Indebtedness was incurred or assumed on the day before the first day of such period and (ii) excluded all Consolidated Total Interest Expense attributable to that portion of the principal amount of the Loans prepaid during such period with Net Proceeds pursuant to SECTION 2.5(f) as if such portion of the principal amount of the Loans was prepaid on the day before the first day of such period.</w:t>
      </w:r>
    </w:p>
    <w:p>
      <w:pPr>
        <w:spacing w:after="0" w:line="72" w:lineRule="exact"/>
        <w:rPr>
          <w:rFonts w:ascii="Courier New" w:cs="Courier New" w:eastAsia="Courier New" w:hAnsi="Courier New"/>
          <w:sz w:val="14"/>
          <w:szCs w:val="14"/>
          <w:color w:val="auto"/>
        </w:rPr>
      </w:pPr>
    </w:p>
    <w:p>
      <w:pPr>
        <w:ind w:right="3239" w:firstLine="534"/>
        <w:spacing w:after="0" w:line="273" w:lineRule="auto"/>
        <w:tabs>
          <w:tab w:leader="none" w:pos="87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ADJUSTMENTS. For purposes of this SECTION 10.4, the EBITDA attributable to any Communications System or other business acquired or disposed of by the Borrower or any of its Restricted Subsidiaries during any period may be adjusted to more accurately reflect the financial</w:t>
      </w:r>
    </w:p>
    <w:p>
      <w:pPr>
        <w:sectPr>
          <w:pgSz w:w="11900" w:h="16838" w:orient="portrait"/>
          <w:cols w:equalWidth="0" w:num="1">
            <w:col w:w="10239"/>
          </w:cols>
          <w:pgMar w:left="220" w:top="26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111</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103</w:t>
      </w:r>
    </w:p>
    <w:p>
      <w:pPr>
        <w:spacing w:after="0" w:line="140"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condition and results of operations of the acquired Communications System or other business after giving effect to the acquisition as mutually determined and agreed to by the Borrower and the Required Lenders. The Borrower and the Required Lenders shall each use good faith efforts to mutually determine and agree to any such adjustments. It is understood and agreed, however, that the Required Lenders shall have no liability for failing to agree to any such adjustments. In the case of an Acquisition by the Borrower or any of its Restricted Subsidiaries, such adjustments may reflect any cost savings (but not revenue enhancements) that would have been achieved if such business had been owned by the Borrower or one of its Restricted Subsidiaries for the entire relevant period including adjustments for excess owner's compensation, excess rent paid to related parties, directors' fees paid to related parties and workmen's compensation and other insurance expense in excess of that which would have been incurred under policies of the Borrower and its Restricted Subsidiaries existing at the time of such Acquisition.</w:t>
      </w:r>
    </w:p>
    <w:p>
      <w:pPr>
        <w:spacing w:after="0" w:line="8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EVENTS OF DEFAULT; ACCELERATION</w:t>
      </w:r>
    </w:p>
    <w:p>
      <w:pPr>
        <w:spacing w:after="0" w:line="166"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Section 11.1. EVENTS OF DEFAULT. The occurrence of any one or more of the following events or conditions shall constitute an "EVENT OF DEFAULT":</w:t>
      </w:r>
    </w:p>
    <w:p>
      <w:pPr>
        <w:spacing w:after="0" w:line="17" w:lineRule="exact"/>
        <w:rPr>
          <w:sz w:val="20"/>
          <w:szCs w:val="20"/>
          <w:color w:val="auto"/>
        </w:rPr>
      </w:pPr>
    </w:p>
    <w:p>
      <w:pPr>
        <w:ind w:right="3239" w:firstLine="534"/>
        <w:spacing w:after="0" w:line="290" w:lineRule="auto"/>
        <w:tabs>
          <w:tab w:leader="none" w:pos="875"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make any payment or mandatory prepayment of principal on any Note or to reimburse the Issuing Bank for any Letter of Credit Disbursement when and as the same becomes due and payable; or</w:t>
      </w:r>
    </w:p>
    <w:p>
      <w:pPr>
        <w:spacing w:after="0" w:line="56" w:lineRule="exact"/>
        <w:rPr>
          <w:rFonts w:ascii="Courier New" w:cs="Courier New" w:eastAsia="Courier New" w:hAnsi="Courier New"/>
          <w:sz w:val="15"/>
          <w:szCs w:val="15"/>
          <w:color w:val="auto"/>
        </w:rPr>
      </w:pPr>
    </w:p>
    <w:p>
      <w:pPr>
        <w:ind w:right="3239" w:firstLine="534"/>
        <w:spacing w:after="0" w:line="264" w:lineRule="auto"/>
        <w:tabs>
          <w:tab w:leader="none" w:pos="875"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interest on any Loan or Letter of Credit Disbursement or any Fee or any other amount (other than an amount referred to in paragraph (a) above) when and as the same shall become due and payable, and such default shall continue unremedied for three (3) Business Days; or</w:t>
      </w:r>
    </w:p>
    <w:p>
      <w:pPr>
        <w:spacing w:after="0" w:line="74" w:lineRule="exact"/>
        <w:rPr>
          <w:rFonts w:ascii="Courier New" w:cs="Courier New" w:eastAsia="Courier New" w:hAnsi="Courier New"/>
          <w:sz w:val="15"/>
          <w:szCs w:val="15"/>
          <w:color w:val="auto"/>
        </w:rPr>
      </w:pPr>
    </w:p>
    <w:p>
      <w:pPr>
        <w:ind w:right="3679" w:firstLine="534"/>
        <w:spacing w:after="0" w:line="344" w:lineRule="auto"/>
        <w:tabs>
          <w:tab w:leader="none" w:pos="875"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Principal Company shall fail to perform or observe any of its agreements contained in SECTION 8.14, ARTICLES IX or X hereof; or</w:t>
      </w:r>
    </w:p>
    <w:p>
      <w:pPr>
        <w:spacing w:after="0" w:line="17" w:lineRule="exact"/>
        <w:rPr>
          <w:rFonts w:ascii="Courier New" w:cs="Courier New" w:eastAsia="Courier New" w:hAnsi="Courier New"/>
          <w:sz w:val="15"/>
          <w:szCs w:val="15"/>
          <w:color w:val="auto"/>
        </w:rPr>
      </w:pPr>
    </w:p>
    <w:p>
      <w:pPr>
        <w:ind w:right="3239" w:firstLine="534"/>
        <w:spacing w:after="0" w:line="258" w:lineRule="auto"/>
        <w:tabs>
          <w:tab w:leader="none" w:pos="875"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Principal Company shall fail to perform or observe any of its agreements in any of the Loan Documents (other than those specified in paragraphs (a), (b) or (c) above) and such failure shall remain unremedied upon the earlier to occur of thirty (30) days after any executive officer of the Borrower shall know thereof and thirty (30) days after notice thereof shall have been given to the Borrower by the Agent; or</w:t>
      </w:r>
    </w:p>
    <w:p>
      <w:pPr>
        <w:spacing w:after="0" w:line="81" w:lineRule="exact"/>
        <w:rPr>
          <w:rFonts w:ascii="Courier New" w:cs="Courier New" w:eastAsia="Courier New" w:hAnsi="Courier New"/>
          <w:sz w:val="15"/>
          <w:szCs w:val="15"/>
          <w:color w:val="auto"/>
        </w:rPr>
      </w:pPr>
    </w:p>
    <w:p>
      <w:pPr>
        <w:ind w:right="3239" w:firstLine="534"/>
        <w:spacing w:after="0" w:line="290" w:lineRule="auto"/>
        <w:tabs>
          <w:tab w:leader="none" w:pos="875"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Principal Company shall fail to pay any principal, interest or other amounts due in respect of any Indebtedness for Borrowed Money and the aggregate amount not paid when due, together with other such amounts</w:t>
      </w:r>
    </w:p>
    <w:p>
      <w:pPr>
        <w:sectPr>
          <w:pgSz w:w="11900" w:h="16838" w:orient="portrait"/>
          <w:cols w:equalWidth="0" w:num="1">
            <w:col w:w="10239"/>
          </w:cols>
          <w:pgMar w:left="220" w:top="26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112</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pacing w:after="0" w:line="140"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not paid when due by any Principal Companies, exceeds $1,000,000; or (ii) Indebtedness for Borrowed Money of any Principal Company is accelerated or otherwise becomes due and payable prior to its stated maturity and the aggregate amount accelerated or otherwise due and payable, together with other such amounts of any Principal Companies accelerated or otherwise due and payable, exceeds $1,000,000; or (iii) any holder or holders (or any agent or trustee for any such holder or holders) of Indebtedness for Borrowed Money of any Borrower Affiliated Company take any legal proceeding against any Principal Company to collect such Indebtedness or to seek possession of any portion of the Collateral by any means or to enforce any provision of any agreement or instrument evidencing or governing Indebtedness for Borrowed Money of the Principal Companies and such Indebtedness, together with other such Indebtedness of any Principal Companies with respect to which such legal proceedings have been taken, exceeds $1,000,000; or</w:t>
      </w:r>
    </w:p>
    <w:p>
      <w:pPr>
        <w:spacing w:after="0" w:line="95" w:lineRule="exact"/>
        <w:rPr>
          <w:sz w:val="20"/>
          <w:szCs w:val="20"/>
          <w:color w:val="auto"/>
        </w:rPr>
      </w:pPr>
    </w:p>
    <w:p>
      <w:pPr>
        <w:ind w:right="3319" w:firstLine="534"/>
        <w:spacing w:after="0" w:line="264" w:lineRule="auto"/>
        <w:tabs>
          <w:tab w:leader="none" w:pos="875"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or deemed made by or on behalf of any Principal Company in or in connection with any Loan Document or in any report, certificate, financial statement or other instrument furnished in connection with or pursuant to any Loan Document shall prove to have been false or misleading in any material respect when made or deemed made; or</w:t>
      </w:r>
    </w:p>
    <w:p>
      <w:pPr>
        <w:spacing w:after="0" w:line="74" w:lineRule="exact"/>
        <w:rPr>
          <w:rFonts w:ascii="Courier New" w:cs="Courier New" w:eastAsia="Courier New" w:hAnsi="Courier New"/>
          <w:sz w:val="15"/>
          <w:szCs w:val="15"/>
          <w:color w:val="auto"/>
        </w:rPr>
      </w:pPr>
    </w:p>
    <w:p>
      <w:pPr>
        <w:ind w:right="3239" w:firstLine="534"/>
        <w:spacing w:after="0" w:line="258" w:lineRule="auto"/>
        <w:tabs>
          <w:tab w:leader="none" w:pos="875"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involuntary proceeding shall be commenced or an involuntary petition shall be filed in a court of competent jurisdiction seeking (i) relief in respect of any Principal Company or of a substantial part of the Assets of any Principal Company under Title 11 of the United States Code, as now constituted or hereafter amended, or any other Federal, state or foreign bankruptcy, insolvency, receivership or similar law, (ii) the appointment of a receiver, trustee, custodian, sequestrator, conservator or similar official for any Principal Company or for a substantial part of the property or assets of any Principal Company or (iii) the winding-up or liquidation of any Principal Company; and such proceeding or petition shall continue undismissed for sixty</w:t>
      </w:r>
    </w:p>
    <w:p>
      <w:pPr>
        <w:spacing w:after="0" w:line="3" w:lineRule="exact"/>
        <w:rPr>
          <w:rFonts w:ascii="Courier New" w:cs="Courier New" w:eastAsia="Courier New" w:hAnsi="Courier New"/>
          <w:sz w:val="14"/>
          <w:szCs w:val="14"/>
          <w:color w:val="auto"/>
        </w:rPr>
      </w:pPr>
    </w:p>
    <w:p>
      <w:pPr>
        <w:ind w:right="3239" w:firstLine="10"/>
        <w:spacing w:after="0" w:line="307" w:lineRule="auto"/>
        <w:tabs>
          <w:tab w:leader="none" w:pos="43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or an order or decree approving or ordering any of the foregoing shall be entered; or</w:t>
      </w:r>
    </w:p>
    <w:p>
      <w:pPr>
        <w:spacing w:after="0" w:line="43" w:lineRule="exact"/>
        <w:rPr>
          <w:rFonts w:ascii="Courier New" w:cs="Courier New" w:eastAsia="Courier New" w:hAnsi="Courier New"/>
          <w:sz w:val="15"/>
          <w:szCs w:val="15"/>
          <w:color w:val="auto"/>
        </w:rPr>
      </w:pPr>
    </w:p>
    <w:p>
      <w:pPr>
        <w:ind w:right="3239" w:firstLine="534"/>
        <w:spacing w:after="0" w:line="245" w:lineRule="auto"/>
        <w:tabs>
          <w:tab w:leader="none" w:pos="875"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Principal Company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(g) above, (iii) apply for or consent to the appointment of a receiver, trustee, custodian, sequestrator, conservator or similar official for any Principal Company or for a substantial part of the Assets of any Principal Company, (iv) file an answer admitting the material allegations of a petition filed against it in any such proceeding, (v) make a general assignment for the benefit of creditors, (vi) become unable or admit in writing its inability or fail generally to pay its debts as they become due or (vii) take any action for the purpose of effecting any of the foregoing; or</w:t>
      </w:r>
    </w:p>
    <w:p>
      <w:pPr>
        <w:sectPr>
          <w:pgSz w:w="11900" w:h="16838" w:orient="portrait"/>
          <w:cols w:equalWidth="0" w:num="1">
            <w:col w:w="10239"/>
          </w:cols>
          <w:pgMar w:left="220" w:top="261"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113</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105</w:t>
      </w:r>
    </w:p>
    <w:p>
      <w:pPr>
        <w:spacing w:after="0" w:line="309" w:lineRule="exact"/>
        <w:rPr>
          <w:sz w:val="20"/>
          <w:szCs w:val="20"/>
          <w:color w:val="auto"/>
        </w:rPr>
      </w:pPr>
    </w:p>
    <w:p>
      <w:pPr>
        <w:ind w:left="-280" w:right="3239" w:firstLine="534"/>
        <w:spacing w:after="0" w:line="252" w:lineRule="auto"/>
        <w:tabs>
          <w:tab w:leader="none" w:pos="59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judgments for the payment of money shall be rendered against any Principal Company which, together with other such judgments against any Principal Companies, exceed $1,000,000, and the same shall remain undischarged, unsatisfied or unstayed or a bond sufficient to cover such judgment shall not have been provided by the Borrower for a period of 30 consecutive days, or any action shall be legally taken by a judgment creditor to levy upon Assets or properties of any Principal Company to enforce any such judgment; or</w:t>
      </w:r>
    </w:p>
    <w:p>
      <w:pPr>
        <w:spacing w:after="0" w:line="86" w:lineRule="exact"/>
        <w:rPr>
          <w:rFonts w:ascii="Courier New" w:cs="Courier New" w:eastAsia="Courier New" w:hAnsi="Courier New"/>
          <w:sz w:val="15"/>
          <w:szCs w:val="15"/>
          <w:color w:val="auto"/>
        </w:rPr>
      </w:pPr>
    </w:p>
    <w:p>
      <w:pPr>
        <w:ind w:left="-280" w:right="3239" w:firstLine="534"/>
        <w:spacing w:after="0" w:line="261" w:lineRule="auto"/>
        <w:tabs>
          <w:tab w:leader="none" w:pos="59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Principal Company or any ERISA Affiliate incurs any liability to the PBGC or a Guaranteed Pension Plan pursuant to Title IV of ERISA in an aggregate amount which, together with other such liabilities of the Principal Companies and their ERISA Affiliates, exceeds $1,000,000; any Principal Company shall fail to make required contributions, in accordance with applicable provisions of ERISA, to each of the Plans; any Principal Company or any ERISA Affiliate is assessed withdrawal liability pursuant to Title IV of ERISA by a Multiemployer Plan in an aggregate amount which, together with other such assessed withdrawal liabilities of any Principal Companies or ERISA Afiiliates, exceeds $1,000,000; or any of the following occurs with respect to a Guaranteed Pension Plan: (i) an ERISA Reportable Event, provided the Required Lenders determine in their reasonable discretion that such event reasonably could be expected to result in liability of the Principal Companies to the PBGC or the Plan in an aggregate amount, together with other such liabilities of the Principal Companies, exceeds $1,000,000 and such event or events in the circumstances occurring reasonably could constitute grounds for the termination of such Plan by the PBGC or for the appointment by the appropriate United States District Court of a trustee to administer such Plan; (ii) the appointment by a United States District Court of a trustee to administer such Plan; or (iii) the institution by the PBGC of proceedings to terminate such Plan; or</w:t>
      </w:r>
    </w:p>
    <w:p>
      <w:pPr>
        <w:spacing w:after="0" w:line="255" w:lineRule="exact"/>
        <w:rPr>
          <w:rFonts w:ascii="Courier New" w:cs="Courier New" w:eastAsia="Courier New" w:hAnsi="Courier New"/>
          <w:sz w:val="14"/>
          <w:szCs w:val="14"/>
          <w:color w:val="auto"/>
        </w:rPr>
      </w:pPr>
    </w:p>
    <w:p>
      <w:pPr>
        <w:ind w:left="-280" w:right="3319" w:firstLine="534"/>
        <w:spacing w:after="0" w:line="264" w:lineRule="auto"/>
        <w:tabs>
          <w:tab w:leader="none" w:pos="59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Liens granted to the Collateral Trustee for the benefit of the Agent and the Lenders under the Security Documents on any material portion of the Collateral shall fail to be a valid, perfected Lien, subject to no prior or equal Lien, except as permitted by Section 9.2, or shall become otherwise impaired or unenforceable in any material respect; or</w:t>
      </w:r>
    </w:p>
    <w:p>
      <w:pPr>
        <w:spacing w:after="0" w:line="74" w:lineRule="exact"/>
        <w:rPr>
          <w:rFonts w:ascii="Courier New" w:cs="Courier New" w:eastAsia="Courier New" w:hAnsi="Courier New"/>
          <w:sz w:val="15"/>
          <w:szCs w:val="15"/>
          <w:color w:val="auto"/>
        </w:rPr>
      </w:pPr>
    </w:p>
    <w:p>
      <w:pPr>
        <w:ind w:left="-280" w:right="3319" w:firstLine="534"/>
        <w:spacing w:after="0" w:line="267" w:lineRule="auto"/>
        <w:tabs>
          <w:tab w:leader="none" w:pos="59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loss, revocation or failure to file for renewal of any FCC License; the commencement of proceedings by the FCC to suspend, revoke, terminate or substantially and adversely modify any FCC License, which proceedings are resolved unfavorably to the applicable Principal Company and which resolution shall be Final; or the designation of an application for renewal of any such FCC License for an evidentiary hearing upon issues related to the basic qualifications of the applicable Principal Company to be an FCC licensee which hearing is resolved unfavorably to such Principal Company and which resolution shall be Final, which FCC License is now held or hereafter acquired by such Principal Company and is necessary for the continued operation of such Principal Company's business in the same manner as is being conducted</w:t>
      </w:r>
    </w:p>
    <w:p>
      <w:pPr>
        <w:sectPr>
          <w:pgSz w:w="11900" w:h="16838" w:orient="portrait"/>
          <w:cols w:equalWidth="0" w:num="1">
            <w:col w:w="9959"/>
          </w:cols>
          <w:pgMar w:left="500" w:top="26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114</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pacing w:after="0" w:line="140"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at the time of such loss, revocation, failure to renew, commencement of proceedings or designation for hearing; or</w:t>
      </w:r>
    </w:p>
    <w:p>
      <w:pPr>
        <w:spacing w:after="0" w:line="17" w:lineRule="exact"/>
        <w:rPr>
          <w:sz w:val="20"/>
          <w:szCs w:val="20"/>
          <w:color w:val="auto"/>
        </w:rPr>
      </w:pPr>
    </w:p>
    <w:p>
      <w:pPr>
        <w:ind w:left="880" w:hanging="346"/>
        <w:spacing w:after="0"/>
        <w:tabs>
          <w:tab w:leader="none" w:pos="880"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 Change in Control; or</w:t>
      </w:r>
    </w:p>
    <w:p>
      <w:pPr>
        <w:spacing w:after="0" w:line="166" w:lineRule="exact"/>
        <w:rPr>
          <w:rFonts w:ascii="Courier New" w:cs="Courier New" w:eastAsia="Courier New" w:hAnsi="Courier New"/>
          <w:sz w:val="15"/>
          <w:szCs w:val="15"/>
          <w:color w:val="auto"/>
        </w:rPr>
      </w:pPr>
    </w:p>
    <w:p>
      <w:pPr>
        <w:ind w:right="3239" w:firstLine="534"/>
        <w:spacing w:after="0" w:line="264" w:lineRule="auto"/>
        <w:tabs>
          <w:tab w:leader="none" w:pos="875"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Authority shall (i) enter a judgment, order or decree requiring any Principal Company to divest itself of all or any substantial part of its property or Assets, or (ii) take any action of any kind whatever for the dissolution of any Principal Company or for the suspension of any material operations of any Principal Company; or</w:t>
      </w:r>
    </w:p>
    <w:p>
      <w:pPr>
        <w:spacing w:after="0" w:line="74" w:lineRule="exact"/>
        <w:rPr>
          <w:rFonts w:ascii="Courier New" w:cs="Courier New" w:eastAsia="Courier New" w:hAnsi="Courier New"/>
          <w:sz w:val="15"/>
          <w:szCs w:val="15"/>
          <w:color w:val="auto"/>
        </w:rPr>
      </w:pPr>
    </w:p>
    <w:p>
      <w:pPr>
        <w:ind w:right="3399" w:firstLine="534"/>
        <w:spacing w:after="0" w:line="264" w:lineRule="auto"/>
        <w:tabs>
          <w:tab w:leader="none" w:pos="875"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creditor of any Borrower Affiliated Company shall obtain possession of any substantial and material portion of the Collateral by any means, including levy, distraint, replevin or self-help; or (ii) any material portion of the Collateral shall be taken by eminent domain or condemnation; or</w:t>
      </w:r>
    </w:p>
    <w:p>
      <w:pPr>
        <w:ind w:right="3239" w:firstLine="10"/>
        <w:spacing w:after="0" w:line="249" w:lineRule="auto"/>
        <w:tabs>
          <w:tab w:leader="none" w:pos="52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provision of any of the Loan Documents shall cease for any reason to be in full force and effect other than pursuant to the terms of the Loan Documents or as a result of a waiver or amendment by the Lenders or the Required Lenders, as applicable, or any Principal Company party thereto shall purport to disavow its material obligations thereunder or shall declare that it does not have any further obligation thereunder or shall contest the validity or enforceability thereof.</w:t>
      </w:r>
    </w:p>
    <w:p>
      <w:pPr>
        <w:spacing w:after="0" w:line="86"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Section 11.2. TERMINATION OF COMMITMENTS; ACCELERATION OF Obligations. If any one or more Events of Default shall at any time occur (other than an Event of Default described in Sections 11.1(g) or 11.1(h)):</w:t>
      </w:r>
    </w:p>
    <w:p>
      <w:pPr>
        <w:spacing w:after="0" w:line="57" w:lineRule="exact"/>
        <w:rPr>
          <w:sz w:val="20"/>
          <w:szCs w:val="20"/>
          <w:color w:val="auto"/>
        </w:rPr>
      </w:pPr>
    </w:p>
    <w:p>
      <w:pPr>
        <w:ind w:right="3239" w:firstLine="534"/>
        <w:spacing w:after="0" w:line="261" w:lineRule="auto"/>
        <w:tabs>
          <w:tab w:leader="none" w:pos="87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at the request of the Required Lenders, shall, by written notice to the Borrower, take any or all of the following actions, at the same or different times: (i) terminate forthwith all the Commitments or (ii) declare the Loans then outstanding to be forthwith due and payable in whole or in part, whereupon the principal of the Loans so declared to be due and payable, together with accrued interest thereon and any unpaid accrued Fees and all other liabilities of the Principal Companies accrued hereunder and under any other Loan Document, shall become forthwith due and payable without presentment, demand, protest or any other notice of any kind, all of which are hereby expressly waived by the Principal Companies, anything contained herein or in any other Loan Document to the contrary notwithstanding; and if any one or more Events of Default described in Sections 11.1(g) or 11.1(h) above shall at any time occur, the Commitments shall automatically terminate and the principal of the Loans then outstanding, together with accrued interest thereon and any unpaid accrued Fees and all other liabilities of the Principal Companies accrued hereunder and under any other Loan Document, shall automatically become due and payable, without presentment, demand, protest or any other notice of any kind, all of which are hereby expressly waived by the Principal Companies, anything contained herein or in any other Loan Document to the contrary notwithstanding.</w:t>
      </w:r>
    </w:p>
    <w:p>
      <w:pPr>
        <w:sectPr>
          <w:pgSz w:w="11900" w:h="16838" w:orient="portrait"/>
          <w:cols w:equalWidth="0" w:num="1">
            <w:col w:w="10239"/>
          </w:cols>
          <w:pgMar w:left="220" w:top="26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115</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pacing w:after="0" w:line="166" w:lineRule="exact"/>
        <w:rPr>
          <w:sz w:val="20"/>
          <w:szCs w:val="20"/>
          <w:color w:val="auto"/>
        </w:rPr>
      </w:pPr>
    </w:p>
    <w:p>
      <w:pPr>
        <w:ind w:right="3239" w:firstLine="534"/>
        <w:spacing w:after="0" w:line="247" w:lineRule="auto"/>
        <w:tabs>
          <w:tab w:leader="none" w:pos="87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ARTICLE XII hereof, each of the Lenders, the Agent and the Collateral Trustee may proceed to protect and enforce all or any of its rights, remedies, powers and privileges under this Agreement, the Notes or the other Loan Documents by action at law, suit in equity or other appropriate proceedings, whether for specific performance of any covenant contained in this Agreement, the Notes or any of the other Loan Documents or in aid of the exercise of any power granted to the Agent, the Collateral Trustee or any Lender herein or therein. Neither the Agent, the Lenders nor the Collateral Trustee shall be required to marshall any present or future Collateral or any other present or future security for or guaranties of, all or any of the Obligations or to resort to any such Collateral, securities or guaranties in any particular order.</w:t>
      </w:r>
    </w:p>
    <w:p>
      <w:pPr>
        <w:spacing w:after="0" w:line="88" w:lineRule="exact"/>
        <w:rPr>
          <w:sz w:val="20"/>
          <w:szCs w:val="20"/>
          <w:color w:val="auto"/>
        </w:rPr>
      </w:pPr>
    </w:p>
    <w:p>
      <w:pPr>
        <w:ind w:right="3239" w:firstLine="525"/>
        <w:spacing w:after="0" w:line="262" w:lineRule="auto"/>
        <w:rPr>
          <w:sz w:val="20"/>
          <w:szCs w:val="20"/>
          <w:color w:val="auto"/>
        </w:rPr>
      </w:pPr>
      <w:r>
        <w:rPr>
          <w:rFonts w:ascii="Courier New" w:cs="Courier New" w:eastAsia="Courier New" w:hAnsi="Courier New"/>
          <w:sz w:val="14"/>
          <w:szCs w:val="14"/>
          <w:color w:val="auto"/>
        </w:rPr>
        <w:t>Section 11.3. NO IMPLIED WAIVERS; RIGHTS CUMULATIVE. No delay on the part of the Collateral Trustee, the Agent, the Issuing Bank or any Lender in exercising any right, remedy, power or privilege under any of the Loan Documents or provided by statute or at law or in equity or otherwise shall impair, prejudice or constitute a waiver of any such right, remedy, power or privilege or be construed as a waiver of any Default or Event of Default or as an acquiescence therein. No right, remedy, power or privilege conferred on or reserved to the Collateral Trustee, the Agent, the Issuing Bank or any Lender under any of the Loan Documents or otherwise is intended to be exclusive of any other right, remedy, power or privilege. Each and every right, remedy, power and privilege conferred on or reserved to the Collateral Trustee, the Agent, the Issuing Bank or any Lender under any of the Loan Documents or otherwise shall be cumulative and in addition to each and every other right, remedy, power or privilege so conferred on or reserved to the Collateral Trustee, the Agent, the Issuing Bank or any Lender and may be exercised at such time or times and in such order and manner as the Collateral Trustee, the Agent, the Issuing Bank or any Lender shall (in its sole and complete discretion) deem expedient.</w:t>
      </w:r>
    </w:p>
    <w:p>
      <w:pPr>
        <w:spacing w:after="0" w:line="84" w:lineRule="exact"/>
        <w:rPr>
          <w:sz w:val="20"/>
          <w:szCs w:val="20"/>
          <w:color w:val="auto"/>
        </w:rPr>
      </w:pPr>
    </w:p>
    <w:p>
      <w:pPr>
        <w:ind w:right="3399" w:firstLine="525"/>
        <w:spacing w:after="0" w:line="264" w:lineRule="auto"/>
        <w:rPr>
          <w:sz w:val="20"/>
          <w:szCs w:val="20"/>
          <w:color w:val="auto"/>
        </w:rPr>
      </w:pPr>
      <w:r>
        <w:rPr>
          <w:rFonts w:ascii="Courier New" w:cs="Courier New" w:eastAsia="Courier New" w:hAnsi="Courier New"/>
          <w:sz w:val="15"/>
          <w:szCs w:val="15"/>
          <w:color w:val="auto"/>
        </w:rPr>
        <w:t>Section 11.4. LETTERS OF CREDIT. If any one or more Events of Default shall at any time occur (other than an Event of Default described in SECTION 11.1(g) or 11.1(h)) the Agent may and, at the request of the Required Lenders, shall, by written notice to the Borrower, take any or all of the following actions, at the same or different times:</w:t>
      </w:r>
    </w:p>
    <w:p>
      <w:pPr>
        <w:spacing w:after="0" w:line="75" w:lineRule="exact"/>
        <w:rPr>
          <w:sz w:val="20"/>
          <w:szCs w:val="20"/>
          <w:color w:val="auto"/>
        </w:rPr>
      </w:pPr>
    </w:p>
    <w:p>
      <w:pPr>
        <w:jc w:val="both"/>
        <w:ind w:right="3399" w:firstLine="534"/>
        <w:spacing w:after="0" w:line="273" w:lineRule="auto"/>
        <w:tabs>
          <w:tab w:leader="none" w:pos="87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all obligations of the Borrower under any outstanding Letter of Credit, all the unpaid interest accrued thereon and all (if any) other sums payable by the Borrower under ARTICLE III of this Agreement, to be immediately due and payable;</w:t>
      </w:r>
    </w:p>
    <w:p>
      <w:pPr>
        <w:spacing w:after="0" w:line="67" w:lineRule="exact"/>
        <w:rPr>
          <w:rFonts w:ascii="Courier New" w:cs="Courier New" w:eastAsia="Courier New" w:hAnsi="Courier New"/>
          <w:sz w:val="15"/>
          <w:szCs w:val="15"/>
          <w:color w:val="auto"/>
        </w:rPr>
      </w:pPr>
    </w:p>
    <w:p>
      <w:pPr>
        <w:ind w:right="3239" w:firstLine="534"/>
        <w:spacing w:after="0" w:line="287" w:lineRule="auto"/>
        <w:tabs>
          <w:tab w:leader="none" w:pos="87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send notices to all or any of the beneficiaries of the Letters of Credit advising such beneficiaries of the intention and desire of the Agent, as directed by the Required Lenders, to effect the termination, cancellation and surrender of such Letters of Credit in thirty (30) days, PROVIDED, however, that the Agent shall not send any such notice to any beneficiary unless the Agent</w:t>
      </w:r>
    </w:p>
    <w:p>
      <w:pPr>
        <w:sectPr>
          <w:pgSz w:w="11900" w:h="16838" w:orient="portrait"/>
          <w:cols w:equalWidth="0" w:num="1">
            <w:col w:w="10239"/>
          </w:cols>
          <w:pgMar w:left="220" w:top="26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116</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108</w:t>
      </w:r>
    </w:p>
    <w:p>
      <w:pPr>
        <w:spacing w:after="0" w:line="140"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has requested that the Principal Companies deliver cash collateral to the Agent pursuant to paragraph (c) below and the Principal Companies have failed to deliver such cash collateral to the Agent within ten (10) days of such request; and</w:t>
      </w:r>
    </w:p>
    <w:p>
      <w:pPr>
        <w:spacing w:after="0" w:line="68" w:lineRule="exact"/>
        <w:rPr>
          <w:sz w:val="20"/>
          <w:szCs w:val="20"/>
          <w:color w:val="auto"/>
        </w:rPr>
      </w:pPr>
    </w:p>
    <w:p>
      <w:pPr>
        <w:ind w:right="3239" w:firstLine="534"/>
        <w:spacing w:after="0" w:line="247" w:lineRule="auto"/>
        <w:tabs>
          <w:tab w:leader="none" w:pos="875"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that the Borrower deliver to the Agent, on behalf of the Issuing Bank, cash collateral in an amount equal to the face amount of all Letters of Credit which remain outstanding; and if any one or more Events of Default described in Sections 11.1(g) or 11.1(h) shall occur, then (i) all of the obligations of the Borrower under any outstanding Letter of Credit Disbursement, together with accrued interest thereon and all (if any) other sums payable by the Borrower under ARTICLE III of this Agreement, shall automatically become due and payable, without presentment, demand, protest or any other notice of any kind, all of which are hereby expressly waived by the Principal Companies, anything contained herein or in any other Loan Document to the contrary notwithstanding and (ii) the Agent may take any or all of the actions set forth in clauses (b) and (c) of this Section 11.4.</w:t>
      </w:r>
    </w:p>
    <w:p>
      <w:pPr>
        <w:spacing w:after="0" w:line="8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AGENT</w:t>
      </w:r>
    </w:p>
    <w:p>
      <w:pPr>
        <w:spacing w:after="0" w:line="166" w:lineRule="exact"/>
        <w:rPr>
          <w:sz w:val="20"/>
          <w:szCs w:val="20"/>
          <w:color w:val="auto"/>
        </w:rPr>
      </w:pPr>
    </w:p>
    <w:p>
      <w:pPr>
        <w:ind w:right="3239" w:firstLine="525"/>
        <w:spacing w:after="0" w:line="260" w:lineRule="auto"/>
        <w:rPr>
          <w:sz w:val="20"/>
          <w:szCs w:val="20"/>
          <w:color w:val="auto"/>
        </w:rPr>
      </w:pPr>
      <w:r>
        <w:rPr>
          <w:rFonts w:ascii="Courier New" w:cs="Courier New" w:eastAsia="Courier New" w:hAnsi="Courier New"/>
          <w:sz w:val="14"/>
          <w:szCs w:val="14"/>
          <w:color w:val="auto"/>
        </w:rPr>
        <w:t>Section 12.1. APPOINTMENT, POWERS AND IMMUNITIES. Each Lender hereby irrevocably appoints and authorizes the Agent to act as its agent hereunder and under the other Loan Documents (excluding the Security Documents) with such powers as are specifically delegated to the Agent by the terms of this Agreement and such other Loan Documents together with such other powers as are reasonably incidental thereto. The Agent shall have no duties or responsibilities except those expressly set forth in this Agreement and the other Loan Documents and shall not be a trustee for any Lender. The Agent shall not be responsible to the Lenders for any recitals, statements, representations or warranties contained in this Agreement or the other Loan Documents or in any certificate or other documents referred to or provided for in, or received by any of them under, this Agreement or the other Loan Documents, or for the value, validity, effectiveness, genuineness, enforceability or sufficiency of this Agreement or the other Loan Documents or any other document referred to or provided for herein or therein or for the collectability of the Loans or for the validity, effectiveness or value of any interest or security covered by the Security Documents or for the value of any Collateral or for the validity or effectiveness of any assignment, mortgage, pledge, security agreement, financing statement, document or instrument, or for the filing, recording, re-filing, continuing or re-recording of any thereof or for any failure by the Borrower or any of the other Borrower Affiliated Companies to perform any of its obligations hereunder or under the other Loan Documents. The Agent may employ agents and attorneys-in-fact and shall not be answerable, except as to money or securities received by it or its authorized agents, for the negligence or misconduct of any such agents or attorneys-in-fact selected by it</w:t>
      </w:r>
    </w:p>
    <w:p>
      <w:pPr>
        <w:sectPr>
          <w:pgSz w:w="11900" w:h="16838" w:orient="portrait"/>
          <w:cols w:equalWidth="0" w:num="1">
            <w:col w:w="10239"/>
          </w:cols>
          <w:pgMar w:left="220" w:top="26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117</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pacing w:after="0" w:line="140"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with reasonable care. Neither the Agent nor any of its directors, officers, employees or agents shall be liable or responsible for any action taken or omitted to be taken by it or them hereunder, or the other Loan Documents or in connection herewith or therewith, except for its or their own gross negligence or willful misconduct.</w:t>
      </w:r>
    </w:p>
    <w:p>
      <w:pPr>
        <w:spacing w:after="0" w:line="75"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Section 12.2. RELIANCE BY AGENT. The Agent shall be entitled to rely upon any certification, notice or other communication (including any thereof by telephone, telex, telegram or cable) believed by it to be genuine and correct and to have been signed or sent by or on behalf of the proper person or persons, and upon advice and statements of legal counsel, independent accountants and other experts selected by the Agent. As to any matters not expressly provided for by this Agreement or the other Loan Documents, the Agent shall in all cases be fully protected in acting, or in refraining from acting hereunder or under the other Loan Documents in accordance with instructions signed by the Required Lenders, and such instructions of the Required Lenders and any action taken or failure to act pursuant thereto shall be binding on all of the Lenders.</w:t>
      </w:r>
    </w:p>
    <w:p>
      <w:pPr>
        <w:spacing w:after="0" w:line="78" w:lineRule="exact"/>
        <w:rPr>
          <w:sz w:val="20"/>
          <w:szCs w:val="20"/>
          <w:color w:val="auto"/>
        </w:rPr>
      </w:pPr>
    </w:p>
    <w:p>
      <w:pPr>
        <w:ind w:right="3239" w:firstLine="525"/>
        <w:spacing w:after="0" w:line="249" w:lineRule="auto"/>
        <w:rPr>
          <w:sz w:val="20"/>
          <w:szCs w:val="20"/>
          <w:color w:val="auto"/>
        </w:rPr>
      </w:pPr>
      <w:r>
        <w:rPr>
          <w:rFonts w:ascii="Courier New" w:cs="Courier New" w:eastAsia="Courier New" w:hAnsi="Courier New"/>
          <w:sz w:val="15"/>
          <w:szCs w:val="15"/>
          <w:color w:val="auto"/>
        </w:rPr>
        <w:t>Section 12.3. EVENTS OF DEFAULT. The Agent shall not be deemed to have knowledge of the occurrence of a Default (other than the non-payment of principal, interest or fees on Loans) unless the Agent has received notice from a Lender or the Borrower specifying such Default and stating that such notice is a "Notice of Default". In the event that the Agent receives such a notice of the occurrence of a Default, the Agent shall give prompt notice thereof to the Lenders (and shall give each Lender notice of each such non-payment). The Agent shall (subject to Section 12.7) take such action with respect to such Default as shall be directed by either all of the Lenders or the Required Lenders, as provided in Section 13.4.</w:t>
      </w:r>
    </w:p>
    <w:p>
      <w:pPr>
        <w:spacing w:after="0" w:line="87"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Section 12.4. RIGHTS AS A LENDER. The Agent and its Affiliates may (without having to account therefor to any Lender) accept deposits from, lend money to and generally engage in any kind of banking, trust or other business with the Borrower Affiliated Companies or their Affiliates, as if it were not acting as the Agent, and the Agent may accept fees and other consideration from the Principal Companies or their Affiliates, for services in connection with this Agreement or any of the other Loan Documents or otherwise without having to account for the same to the Lenders.</w:t>
      </w:r>
    </w:p>
    <w:p>
      <w:pPr>
        <w:spacing w:after="0" w:line="86" w:lineRule="exact"/>
        <w:rPr>
          <w:sz w:val="20"/>
          <w:szCs w:val="20"/>
          <w:color w:val="auto"/>
        </w:rPr>
      </w:pPr>
    </w:p>
    <w:p>
      <w:pPr>
        <w:ind w:right="3239" w:firstLine="525"/>
        <w:spacing w:after="0" w:line="270" w:lineRule="auto"/>
        <w:rPr>
          <w:sz w:val="20"/>
          <w:szCs w:val="20"/>
          <w:color w:val="auto"/>
        </w:rPr>
      </w:pPr>
      <w:r>
        <w:rPr>
          <w:rFonts w:ascii="Courier New" w:cs="Courier New" w:eastAsia="Courier New" w:hAnsi="Courier New"/>
          <w:sz w:val="14"/>
          <w:szCs w:val="14"/>
          <w:color w:val="auto"/>
        </w:rPr>
        <w:t>Section 12.5. INDEMNIFICATION. The Lenders shall indemnify the Agent (to the extent not reimbursed by the Principal Companies under SECTIONS 13.1 and 13.2), ratably in accordance with the aggregate principal amount of the outstanding Loans made by the Lenders (or, if no Loans are at the time outstanding, ratably in accordance with their respective Commitments), for any and all liabilities, obligations, losses, damages, penalties, actions, judgments, suits, costs, expenses or disbursements or any kind and nature whatsoever which may be imposed on, incurred by or asserted against the Agent in any way relating to or arising out of this Agreement or any of the other Loan</w:t>
      </w:r>
    </w:p>
    <w:p>
      <w:pPr>
        <w:sectPr>
          <w:pgSz w:w="11900" w:h="16838" w:orient="portrait"/>
          <w:cols w:equalWidth="0" w:num="1">
            <w:col w:w="10239"/>
          </w:cols>
          <w:pgMar w:left="220" w:top="26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118</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pacing w:after="0" w:line="140"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Documents or any other documents contemplated by or referred to herein or therein or the transactions contemplated by or referred to herein or therein or the transactions contemplated hereby and thereby (including the costs and expenses which the Principal Companies are obligated to pay under SECTIONS 13.1 and 13.2, but excluding, unless a Default has occurred and is continuing, normal administrative costs and expenses incident to the performance of its agency duties hereunder) or the enforcement of any of the terms hereof, or of any such other documents, provided that no Lender shall be liable for any of the foregoing to the extent they arise from the gross negligence or willful misconduct of the party to be indemnified.</w:t>
      </w:r>
    </w:p>
    <w:p>
      <w:pPr>
        <w:spacing w:after="0" w:line="87"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Section 12.6. NON-RELIANCE ON AGENT AND OTHER LENDERS. Each Lender agrees that it has, independently and without reliance on the Agent or any other Lender, and based on such documents and information as it has deemed appropriate, made its own credit analysis of the Principal Companies and decision to enter into this Agreement and that it will, independently and without reliance upon the Agent or any other Lender, and based on such documents and information as it shall deem appropriate at the time, continue to make its own analysis and decisions in taking or not taking action under this Agreement or the other Loan Documents. The Agent shall not be required to keep itself informed as to the performance or observance by the Principal Companies of this Agreement or the other Loan Documents or any other document referred to or provided for herein or therein or to inspect the properties or books of the Principal Companies. Except for notices, reports and other documents and information expressly required to be furnished to the Lenders by the Agent hereunder or the other Loan Documents, the Agent shall not have any duty or responsibility to provide any Lender with any credit or other information concerning the affairs, financial condition or business of the Principal Companies, which may come into the possession of the Agent or any of its Affiliates.</w:t>
      </w:r>
    </w:p>
    <w:p>
      <w:pPr>
        <w:spacing w:after="0" w:line="95" w:lineRule="exact"/>
        <w:rPr>
          <w:sz w:val="20"/>
          <w:szCs w:val="20"/>
          <w:color w:val="auto"/>
        </w:rPr>
      </w:pPr>
    </w:p>
    <w:p>
      <w:pPr>
        <w:ind w:right="3319" w:firstLine="525"/>
        <w:spacing w:after="0" w:line="287" w:lineRule="auto"/>
        <w:rPr>
          <w:sz w:val="20"/>
          <w:szCs w:val="20"/>
          <w:color w:val="auto"/>
        </w:rPr>
      </w:pPr>
      <w:r>
        <w:rPr>
          <w:rFonts w:ascii="Courier New" w:cs="Courier New" w:eastAsia="Courier New" w:hAnsi="Courier New"/>
          <w:sz w:val="14"/>
          <w:szCs w:val="14"/>
          <w:color w:val="auto"/>
        </w:rPr>
        <w:t>Section 12.7. FAILURE TO ACT. Except for action expressly required of the Agent hereunder, the Agent shall in all cases be fully justified in failing or refusing to act hereunder or thereunder unless it shall be indemnified to its satisfaction by the Lenders against any and all liability and expense which may be incurred by it by reason of taking or continuing to take any such action.</w:t>
      </w:r>
    </w:p>
    <w:p>
      <w:pPr>
        <w:spacing w:after="0" w:line="61" w:lineRule="exact"/>
        <w:rPr>
          <w:sz w:val="20"/>
          <w:szCs w:val="20"/>
          <w:color w:val="auto"/>
        </w:rPr>
      </w:pPr>
    </w:p>
    <w:p>
      <w:pPr>
        <w:ind w:right="3239" w:firstLine="525"/>
        <w:spacing w:after="0" w:line="267" w:lineRule="auto"/>
        <w:rPr>
          <w:sz w:val="20"/>
          <w:szCs w:val="20"/>
          <w:color w:val="auto"/>
        </w:rPr>
      </w:pPr>
      <w:r>
        <w:rPr>
          <w:rFonts w:ascii="Courier New" w:cs="Courier New" w:eastAsia="Courier New" w:hAnsi="Courier New"/>
          <w:sz w:val="14"/>
          <w:szCs w:val="14"/>
          <w:color w:val="auto"/>
        </w:rPr>
        <w:t>Section 12.8. RESIGNATION OR REMOVAL OF AGENT. Subject to the appointment and acceptance of a successor Agent as provided below, the Agent may resign at any time by giving not less than thirty (30) days' prior written notice thereof to the Lenders and the Principal Companies and the Agent may be removed at any time with or without cause by the Required Lenders. Upon any such resignation or removal, the Required Lenders shall have the right to appoint a successor Agent.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after consultation with the Principal Companies, appoint a</w:t>
      </w:r>
    </w:p>
    <w:p>
      <w:pPr>
        <w:sectPr>
          <w:pgSz w:w="11900" w:h="16838" w:orient="portrait"/>
          <w:cols w:equalWidth="0" w:num="1">
            <w:col w:w="10239"/>
          </w:cols>
          <w:pgMar w:left="220" w:top="26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119</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111</w:t>
      </w:r>
    </w:p>
    <w:p>
      <w:pPr>
        <w:spacing w:after="0" w:line="140"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4"/>
          <w:szCs w:val="14"/>
          <w:color w:val="auto"/>
        </w:rPr>
        <w:t>successor Agent which shall be one of the Lenders. Upon the acceptance of any appointment as Agent hereunder by a successor Agent, such successor Agent shall thereupon succeed to and become vested with all the rights, powers, privileges and duties of the retiring Agent, and the retiring Agent shall be discharged from its duties and obligations hereunder. After any retiring Agent's resignation or removal hereunder as Agent, the provisions of this ARTICLE XII shall continue in effect for its benefit in respect of any actions taken or omitted to be taken by it while it was acting as the Agent.</w:t>
      </w:r>
    </w:p>
    <w:p>
      <w:pPr>
        <w:spacing w:after="0" w:line="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12.9. SHARING OF COLLATERAL AND PAYMENTS.</w:t>
      </w:r>
    </w:p>
    <w:p>
      <w:pPr>
        <w:spacing w:after="0" w:line="166" w:lineRule="exact"/>
        <w:rPr>
          <w:sz w:val="20"/>
          <w:szCs w:val="20"/>
          <w:color w:val="auto"/>
        </w:rPr>
      </w:pPr>
    </w:p>
    <w:p>
      <w:pPr>
        <w:ind w:left="1060" w:hanging="526"/>
        <w:spacing w:after="0"/>
        <w:tabs>
          <w:tab w:leader="none" w:pos="106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acceleration of the Obligations:</w:t>
      </w:r>
    </w:p>
    <w:p>
      <w:pPr>
        <w:spacing w:after="0" w:line="166" w:lineRule="exact"/>
        <w:rPr>
          <w:rFonts w:ascii="Courier New" w:cs="Courier New" w:eastAsia="Courier New" w:hAnsi="Courier New"/>
          <w:sz w:val="15"/>
          <w:szCs w:val="15"/>
          <w:color w:val="auto"/>
        </w:rPr>
      </w:pPr>
    </w:p>
    <w:p>
      <w:pPr>
        <w:ind w:left="540" w:right="3239" w:firstLine="519"/>
        <w:spacing w:after="0" w:line="263" w:lineRule="auto"/>
        <w:tabs>
          <w:tab w:leader="none" w:pos="159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Lender shall obtain payment in respect of a Note or a Letter of Credit Disbursement, or interest thereon, whether voluntarily or involuntarily, and whether through the exercise of a right of banker's lien, set-off or counterclaim against any Principal Company or otherwise, in a greater proportion than any such payment obtained by any other Lender in respect of the corresponding Note held by it or the share of any Letter of Credit Disbursement owed to it, then the Lender so receiving such greater proportionate payment shall (A) purchase for cash from such other Lender or Lenders such portion of each such other Lender's or Lenders' Loan corresponding to such Note or (B) reimburse for cash to such other Lender or Lenders such portion of each such Lender's or Lenders' share of the Letter of Credit Disbursement, as shall be necessary to cause such Lender receiving the proportionate overpayment to share the excess payment with each such other Lender holding corresponding Notes or Letter of Credit Disbursements; and</w:t>
      </w:r>
    </w:p>
    <w:p>
      <w:pPr>
        <w:spacing w:after="0" w:line="84" w:lineRule="exact"/>
        <w:rPr>
          <w:rFonts w:ascii="Courier New" w:cs="Courier New" w:eastAsia="Courier New" w:hAnsi="Courier New"/>
          <w:sz w:val="14"/>
          <w:szCs w:val="14"/>
          <w:color w:val="auto"/>
        </w:rPr>
      </w:pPr>
    </w:p>
    <w:p>
      <w:pPr>
        <w:ind w:left="540" w:right="3239" w:firstLine="519"/>
        <w:spacing w:after="0" w:line="255" w:lineRule="auto"/>
        <w:tabs>
          <w:tab w:leader="none" w:pos="159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Lender shall obtain payment in respect of any Interest Rate Contract to which such Lender is a party, whether voluntarily or involuntarily, and whether through the exercise of a right of banker's lien, set-off or counterclaim against any Principal Company or otherwise, such Lender shall be permitted to retain the full amount of such payment and shall not be required to share such payment with any other Lender.</w:t>
      </w:r>
    </w:p>
    <w:p>
      <w:pPr>
        <w:spacing w:after="0" w:line="81" w:lineRule="exact"/>
        <w:rPr>
          <w:rFonts w:ascii="Courier New" w:cs="Courier New" w:eastAsia="Courier New" w:hAnsi="Courier New"/>
          <w:sz w:val="15"/>
          <w:szCs w:val="15"/>
          <w:color w:val="auto"/>
        </w:rPr>
      </w:pPr>
    </w:p>
    <w:p>
      <w:pPr>
        <w:ind w:right="3239" w:firstLine="534"/>
        <w:spacing w:after="0" w:line="269" w:lineRule="auto"/>
        <w:tabs>
          <w:tab w:leader="none" w:pos="104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or following any acceleration of the Obligations, in the event that any Lender shall obtain payment in respect of a Note or Letter of Credit Disbursement, or interest thereon, or in respect of an Interest Rate Contract to which such Lender is a party, or receive any Collateral or proceeds thereof with respect to any Note, Letter of Credit Disbursement or any Interest Rate Contract to which it is a party, whether voluntarily or involuntarily, and whether from the Agent or the Collateral Trustee or through the exercise of a right or banker's lien, set-off or counterclaim, or otherwise, against any of the Principal Companies, in a greater proportion than any such payment obtained by any other Lender in respect of the aggregate amount of the corresponding</w:t>
      </w:r>
    </w:p>
    <w:p>
      <w:pPr>
        <w:sectPr>
          <w:pgSz w:w="11900" w:h="16838" w:orient="portrait"/>
          <w:cols w:equalWidth="0" w:num="1">
            <w:col w:w="10239"/>
          </w:cols>
          <w:pgMar w:left="220" w:top="26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120</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112</w:t>
      </w:r>
    </w:p>
    <w:p>
      <w:pPr>
        <w:spacing w:after="0" w:line="140"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4"/>
          <w:szCs w:val="14"/>
          <w:color w:val="auto"/>
        </w:rPr>
        <w:t>Note held by such Lender, the share of any Letter of Credit Disbursement owed to it or Interest Rate Contract to which such Lender is a party, then the Lender so receiving such greater proportionate payment or such greater proportionate amount of Collateral, shall purchase for cash from the other Lender or Lenders such portion or each such other Lender's or Lenders' Loan, or shall reimburse for cash to each Lender or Lenders such portion of each such Lender's or Lenders' share of the Letter of Credit Disbursement, or shall provide the other Lenders with the benefits of any such Collateral as shall be necessary to cause such Lender receiving the proportionate overpayment to share the excess payment or benefits of such Collateral ratably with each Lender. For the purposes of this SUBSECTION 12.9(b), payments in respect of Notes or Letter of Credit Disbursements received by each Lender and receipt of Collateral by each Lender shall be in the same proportion as the proportion of: (A) the sum of: (x) the Obligations owing to such Lender in respect of the Notes held by such Lender, plus (y) the Obligations owing to such Lender in respect of Interest Rate Contracts to which such Lender is party, if any, plus (z) the Obligations owing to such Lender in respect of its share of any Letter of Credit Disbursement, if any, to (B) the sum of: (x) the Obligations owing to all of the Lenders in respect of all of the Notes, plus (y) the Obligations owing to all of the Lenders in respect of all Interest Rate Contracts to which any Lender is a party, plus (z) the Obligations owing to all of the Lenders in respect of all Letters of Credit Disbursements outstanding; PROVIDED, HOWEVER, that, with respect to SUBSECTIONS 12.9(a)(i) and (b) above, if all or any portion of such excess payment or benefits is thereafter recovered from the Lender which received the proportionate overpayment, such purchase of Loans, reimbursement of Letter of Credit Disbursements or payment of benefits, as the case may be, shall be rescinded, and the purchase price, reimbursements and benefits returned, to the extent of such recovery, but without interest.</w:t>
      </w:r>
    </w:p>
    <w:p>
      <w:pPr>
        <w:spacing w:after="0" w:line="2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66"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Section 13.1. FEES AND EXPENSES; INDEMNITY. The Principal Companies will promptly pay all reasonable costs of the Agent and the Arranger (except for fees of the Agent's Special Counsel incurred by Agent through the Effective Date) in structuring and syndicating the Facilities and in preparing, reviewing, negotiating, executing and delivering the Loan Documents and all reasonable costs and expenses of the issue of the Notes and all reasonable costs and expenses in reviewing the Ancillary Documents and of the Borrower's and the other Principal Companies' performance of and compliance with all agreements and conditions contained herein on its part to be performed or complied with (including all costs of filing or recording any assignments, mortgages, financing statements and other documents), and the reasonable fees and expenses and disbursements of counsel to the Agent in connection with the administration, interpretation and enforcement of this Agreement, the other Loan Documents and all other agreements, instruments and documents relating to this</w:t>
      </w:r>
    </w:p>
    <w:p>
      <w:pPr>
        <w:sectPr>
          <w:pgSz w:w="11900" w:h="16838" w:orient="portrait"/>
          <w:cols w:equalWidth="0" w:num="1">
            <w:col w:w="10239"/>
          </w:cols>
          <w:pgMar w:left="220" w:top="26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121</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pacing w:after="0" w:line="140" w:lineRule="exact"/>
        <w:rPr>
          <w:sz w:val="20"/>
          <w:szCs w:val="20"/>
          <w:color w:val="auto"/>
        </w:rPr>
      </w:pPr>
    </w:p>
    <w:p>
      <w:pPr>
        <w:ind w:right="3239"/>
        <w:spacing w:after="0" w:line="257" w:lineRule="auto"/>
        <w:rPr>
          <w:sz w:val="20"/>
          <w:szCs w:val="20"/>
          <w:color w:val="auto"/>
        </w:rPr>
      </w:pPr>
      <w:r>
        <w:rPr>
          <w:rFonts w:ascii="Courier New" w:cs="Courier New" w:eastAsia="Courier New" w:hAnsi="Courier New"/>
          <w:sz w:val="14"/>
          <w:szCs w:val="14"/>
          <w:color w:val="auto"/>
        </w:rPr>
        <w:t>transaction, the consummation of the transactions contemplated by all such documents, the preservation of all rights of the Lenders and the Agent, the negotiation, preparation, execution and delivery of any amendment, modification or supplement of or to, or any consent or waiver under, any such document (or any such instrument which is proposed but not executed and delivered) and with any claim or action threatened, made or brought against any of the Lenders or the Agent arising out of or relating to any extent to this Agreement, the other Loan Documents or the transactions contemplated hereby or thereby. Subject to the Special Counsel Fee Agreement, the Borrower shall promptly pay all reasonable fees and disbursements of the Agent's Special Counsel incurred by the Agent through the Effective Date in connection with the preparation, execution and delivery of the Loan Documents, the review of the Ancillary Documents and the consummation of the transactions contemplated by all such documents. In addition, the Principal Companies will promptly pay all reasonable costs and expenses (including reasonable fees and disbursements of counsel) suffered or incurred by the Agent, each Lender and the Collateral Trustee in connection with its enforcement of the payment of the Notes held by it or any other sum due to it under this Agreement or any of the other Loan Documents or any of its other rights hereunder or thereunder. In addition to the foregoing, the Principal Companies shall indemnify each Lender and the Agent and each of their respective directors, officers, employees, attorneys and agents against, and hold each of them harmless from, any loss, liabilities, damages, claims, costs and expenses (including reasonable attorneys' fees and disbursements) suffered or incurred by any of them arising out of, resulting from or in any manner connected with, the execution, delivery and performance of each of the Loan Documents, the Loans, the Letters of Credit and any and all transactions related to or consummated in connection with the Loans or the Letters of Credit. The indemnity set forth in the immediately preceding sentence shall include any losses, liabilities, damages, claims, costs and expenses suffered or incurred by any Lender or the Agent or any of their respective directors, officers, employees, attorneys or agents arising out of or related to any Environmental Matter, Environmental Liability or Environmental Proceeding, or in investigating, preparing for, defending against, or providing evidence, producing documents or taking any other action in respect of any commenced or threatened litigation, administrative proceeding or investigation under any federal securities law or any other statute of any jurisdiction, or any regulation, or at common law or otherwise, which is alleged to arise out of or is based upon: (i) any untrue statement or alleged untrue statement of any material fact of any Principal Company and any of its affiliates in any document or schedule filed with the Securities and Exchange Commission or any other governmental body; (ii) any omission or alleged omission to state any material fact required to be stated in such document or schedule, or necessary to make the statements made therein, in light of the circumstances under which made, not misleading; (iii) any acts, practices or omission or alleged acts, practices or omissions of any Principal Company or any of its agents related to the making of any acquisition, purchase of shares or assets pursuant thereto, financing of such purchases or the consummation of any</w:t>
      </w:r>
    </w:p>
    <w:p>
      <w:pPr>
        <w:sectPr>
          <w:pgSz w:w="11900" w:h="16838" w:orient="portrait"/>
          <w:cols w:equalWidth="0" w:num="1">
            <w:col w:w="10239"/>
          </w:cols>
          <w:pgMar w:left="220" w:top="26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122</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114</w:t>
      </w:r>
    </w:p>
    <w:p>
      <w:pPr>
        <w:spacing w:after="0" w:line="140"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other transactions contemplated by any such acquisitions which are alleged to be in violation of any federal securities law or of any other statute, regulation or other law of any jurisdiction applicable to the making of any such acquisition, the purchase of shares or assets pursuant thereto, the financing of such purchases or the consummation of the other transactions contemplated by any such acquisition; or (iv) any withdrawals, termination or cancellation of any such proposed acquisition for any reason whatsoever. The indemnity set forth herein shall be in addition to any other obligations or liabilities of the Principal Companies to the Agent and the Lenders hereunder or at common law or otherwise. The provisions of this Section 13.1 shall survive the payment of the Notes and the termination of this Agreement.</w:t>
      </w:r>
    </w:p>
    <w:p>
      <w:pPr>
        <w:spacing w:after="0" w:line="87" w:lineRule="exact"/>
        <w:rPr>
          <w:sz w:val="20"/>
          <w:szCs w:val="20"/>
          <w:color w:val="auto"/>
        </w:rPr>
      </w:pPr>
    </w:p>
    <w:p>
      <w:pPr>
        <w:ind w:right="3239" w:firstLine="525"/>
        <w:spacing w:after="0" w:line="243" w:lineRule="auto"/>
        <w:rPr>
          <w:sz w:val="20"/>
          <w:szCs w:val="20"/>
          <w:color w:val="auto"/>
        </w:rPr>
      </w:pPr>
      <w:r>
        <w:rPr>
          <w:rFonts w:ascii="Courier New" w:cs="Courier New" w:eastAsia="Courier New" w:hAnsi="Courier New"/>
          <w:sz w:val="15"/>
          <w:szCs w:val="15"/>
          <w:color w:val="auto"/>
        </w:rPr>
        <w:t>Section 13.2. TAXES. If, under any law in effect on the date of the closing of any Loan hereunder, or under any retroactive provision of any law subsequently enacted, it shall be determined that any Federal, state or local tax (other than taxes based on the net income of the Lenders or the Agent) is payable in respect of the issuance of any Note, or in connection with the filing or recording of any assignments, mortgages, financing statements, or other documents (whether measured by the amount of Indebtedness secured or otherwise) as contemplated by this Agreement, then the Principal Companies will pay any such tax and all interest and penalties, if any, and will indemnify the Lenders and the Agent against and save each of them harmless from any loss or damage resulting from or arising out of the nonpayment or delay in payment of any such tax. If any such tax or taxes shall be assessed or levied against any Lender or any other holder of a Note, such Lender, or such other holder, as the case may be, may notify the Principal Companies and make immediate payment thereof, together with interest or penalties in connection therewith, and shall thereupon be entitled to and shall receive immediate reimbursement therefor from the Principal Companies. Notwithstanding any other provision contained in this Agreement, the covenants and agreements of the Principal Companies in this Section 13.2 shall survive payment of the Notes and the termination of this Agreement.</w:t>
      </w:r>
    </w:p>
    <w:p>
      <w:pPr>
        <w:spacing w:after="0" w:line="9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5"/>
          <w:szCs w:val="15"/>
          <w:color w:val="auto"/>
        </w:rPr>
        <w:t>Section 13.3. SURVIVAL OF AGREEMENTS AND REPRESENTATIONS; Construction. All agreements, representations and warranties made herein shall survive the delivery of this Agreement and the Notes. The headings used in this Agreement and the table of contents are for convenience only and shall not be deemed to constitute a part hereof. All uses herein of the masculine gender or of singular or plural terms shall be deemed to include uses of the feminine or neuter gender, or plural or singular terms, as the context may require.</w:t>
      </w:r>
    </w:p>
    <w:p>
      <w:pPr>
        <w:spacing w:after="0" w:line="82"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5"/>
          <w:szCs w:val="15"/>
          <w:color w:val="auto"/>
        </w:rPr>
        <w:t>Section 13.4. MODIFICATIONS, CONSENTS AND WAIVERS; ENTIRE AGREEMENT. No modification or amendment of any provision of this Agreement or any of the other Loan Documents shall be effective unless it shall be in writing and signed by the Principal Companies party to the relevant Loan Document. No modification, amendment or waiver of or with respect to any provision of this Agreement or any of the other Loan</w:t>
      </w:r>
    </w:p>
    <w:p>
      <w:pPr>
        <w:sectPr>
          <w:pgSz w:w="11900" w:h="16838" w:orient="portrait"/>
          <w:cols w:equalWidth="0" w:num="1">
            <w:col w:w="10239"/>
          </w:cols>
          <w:pgMar w:left="220" w:top="26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123</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115</w:t>
      </w:r>
    </w:p>
    <w:p>
      <w:pPr>
        <w:spacing w:after="0" w:line="140"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Documents nor consent to any departure by any Principal Company from any of the terms or conditions thereof, shall in any event be effective unless it shall be in writing and signed or consented to in writing by the Required Lenders. Notwithstanding the foregoing,</w:t>
      </w:r>
    </w:p>
    <w:p>
      <w:pPr>
        <w:spacing w:after="0" w:line="68" w:lineRule="exact"/>
        <w:rPr>
          <w:sz w:val="20"/>
          <w:szCs w:val="20"/>
          <w:color w:val="auto"/>
        </w:rPr>
      </w:pPr>
    </w:p>
    <w:p>
      <w:pPr>
        <w:ind w:right="3319" w:firstLine="10"/>
        <w:spacing w:after="0" w:line="290" w:lineRule="auto"/>
        <w:tabs>
          <w:tab w:leader="none" w:pos="35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modification, amendment, waiver or consent shall, without the consent of each Lender (with Obligations of the respective types being directly affected thereby):</w:t>
      </w:r>
    </w:p>
    <w:p>
      <w:pPr>
        <w:spacing w:after="0" w:line="56" w:lineRule="exact"/>
        <w:rPr>
          <w:rFonts w:ascii="Courier New" w:cs="Courier New" w:eastAsia="Courier New" w:hAnsi="Courier New"/>
          <w:sz w:val="15"/>
          <w:szCs w:val="15"/>
          <w:color w:val="auto"/>
        </w:rPr>
      </w:pPr>
    </w:p>
    <w:p>
      <w:pPr>
        <w:ind w:right="3399" w:firstLine="534"/>
        <w:spacing w:after="0" w:line="290" w:lineRule="auto"/>
        <w:tabs>
          <w:tab w:leader="none" w:pos="87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contract rate of interest on (other than the reduction of the Default Rate to the rate that would otherwise be applicable), any Note;</w:t>
      </w:r>
    </w:p>
    <w:p>
      <w:pPr>
        <w:spacing w:after="0" w:line="56" w:lineRule="exact"/>
        <w:rPr>
          <w:rFonts w:ascii="Courier New" w:cs="Courier New" w:eastAsia="Courier New" w:hAnsi="Courier New"/>
          <w:sz w:val="15"/>
          <w:szCs w:val="15"/>
          <w:color w:val="auto"/>
        </w:rPr>
      </w:pPr>
    </w:p>
    <w:p>
      <w:pPr>
        <w:ind w:right="3239" w:firstLine="534"/>
        <w:spacing w:after="0" w:line="273" w:lineRule="auto"/>
        <w:tabs>
          <w:tab w:leader="none" w:pos="87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postpone the date fixed for any payment of principal (other than Excess Cash Flow Payments and Net Proceeds Payments) of or interest on any Note or for any payment of Fees scheduled to be made hereunder for the account of any Lender;</w:t>
      </w:r>
    </w:p>
    <w:p>
      <w:pPr>
        <w:spacing w:after="0" w:line="67" w:lineRule="exact"/>
        <w:rPr>
          <w:rFonts w:ascii="Courier New" w:cs="Courier New" w:eastAsia="Courier New" w:hAnsi="Courier New"/>
          <w:sz w:val="15"/>
          <w:szCs w:val="15"/>
          <w:color w:val="auto"/>
        </w:rPr>
      </w:pPr>
    </w:p>
    <w:p>
      <w:pPr>
        <w:ind w:right="3499" w:firstLine="534"/>
        <w:spacing w:after="0" w:line="320" w:lineRule="auto"/>
        <w:tabs>
          <w:tab w:leader="none" w:pos="875"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amount of any payment of principal of (other than Excess Cash Flow Payments and Net Proceeds Payments) or interest on any Note or any payment of Fees scheduled to be made hereunder for the account of any Lender;</w:t>
      </w:r>
    </w:p>
    <w:p>
      <w:pPr>
        <w:spacing w:after="0" w:line="38" w:lineRule="exact"/>
        <w:rPr>
          <w:rFonts w:ascii="Courier New" w:cs="Courier New" w:eastAsia="Courier New" w:hAnsi="Courier New"/>
          <w:sz w:val="14"/>
          <w:szCs w:val="14"/>
          <w:color w:val="auto"/>
        </w:rPr>
      </w:pPr>
    </w:p>
    <w:p>
      <w:pPr>
        <w:ind w:left="880" w:hanging="346"/>
        <w:spacing w:after="0"/>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any Commitment;</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definition of "Required Lenders";</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any Collateral, UNLESS either:</w:t>
      </w:r>
    </w:p>
    <w:p>
      <w:pPr>
        <w:spacing w:after="0" w:line="166" w:lineRule="exact"/>
        <w:rPr>
          <w:rFonts w:ascii="Courier New" w:cs="Courier New" w:eastAsia="Courier New" w:hAnsi="Courier New"/>
          <w:sz w:val="15"/>
          <w:szCs w:val="15"/>
          <w:color w:val="auto"/>
        </w:rPr>
      </w:pPr>
    </w:p>
    <w:p>
      <w:pPr>
        <w:ind w:left="540" w:right="3239" w:firstLine="519"/>
        <w:spacing w:after="0" w:line="290" w:lineRule="auto"/>
        <w:tabs>
          <w:tab w:leader="none" w:pos="1590"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release is in connection with the Sale of such Collateral and either such Sale is permitted by this Agreement or is consented to by the Required Lenders, or</w:t>
      </w:r>
    </w:p>
    <w:p>
      <w:pPr>
        <w:spacing w:after="0" w:line="56" w:lineRule="exact"/>
        <w:rPr>
          <w:rFonts w:ascii="Courier New" w:cs="Courier New" w:eastAsia="Courier New" w:hAnsi="Courier New"/>
          <w:sz w:val="15"/>
          <w:szCs w:val="15"/>
          <w:color w:val="auto"/>
        </w:rPr>
      </w:pPr>
    </w:p>
    <w:p>
      <w:pPr>
        <w:ind w:left="540" w:right="3239" w:firstLine="519"/>
        <w:spacing w:after="0" w:line="264" w:lineRule="auto"/>
        <w:tabs>
          <w:tab w:leader="none" w:pos="1590"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release is not in connection with the Sale of such Collateral and the fair market value of the Collateral to be released, when added to the aggregate fair market value of all Collateral previously released by the Collateral Trustee (other than in connection with a Sale of such Collateral, is less than $5,000,000);</w:t>
      </w:r>
    </w:p>
    <w:p>
      <w:pPr>
        <w:spacing w:after="0" w:line="74" w:lineRule="exact"/>
        <w:rPr>
          <w:rFonts w:ascii="Courier New" w:cs="Courier New" w:eastAsia="Courier New" w:hAnsi="Courier New"/>
          <w:sz w:val="15"/>
          <w:szCs w:val="15"/>
          <w:color w:val="auto"/>
        </w:rPr>
      </w:pPr>
    </w:p>
    <w:p>
      <w:pPr>
        <w:ind w:right="3399" w:firstLine="534"/>
        <w:spacing w:after="0" w:line="264" w:lineRule="auto"/>
        <w:tabs>
          <w:tab w:leader="none" w:pos="87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any Guarantor (unless such release is in connection with the Sale of all of the capital stock of such Guarantor and either such Sale is permitted by this Agreement or substantially all of the Net Proceeds from such Sale are used to pay the Obligations or pledged to the Agent as Cash Collateral);</w:t>
      </w:r>
    </w:p>
    <w:p>
      <w:pPr>
        <w:spacing w:after="0" w:line="74" w:lineRule="exact"/>
        <w:rPr>
          <w:rFonts w:ascii="Courier New" w:cs="Courier New" w:eastAsia="Courier New" w:hAnsi="Courier New"/>
          <w:sz w:val="15"/>
          <w:szCs w:val="15"/>
          <w:color w:val="auto"/>
        </w:rPr>
      </w:pPr>
    </w:p>
    <w:p>
      <w:pPr>
        <w:ind w:right="3319" w:firstLine="534"/>
        <w:spacing w:after="0" w:line="344" w:lineRule="auto"/>
        <w:tabs>
          <w:tab w:leader="none" w:pos="87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 the assignment or delegation of the rights and obligations of the Principal Companies under this Agreement; or</w:t>
      </w:r>
    </w:p>
    <w:p>
      <w:pPr>
        <w:sectPr>
          <w:pgSz w:w="11900" w:h="16838" w:orient="portrait"/>
          <w:cols w:equalWidth="0" w:num="1">
            <w:col w:w="10239"/>
          </w:cols>
          <w:pgMar w:left="220" w:top="261"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124</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pacing w:after="0" w:line="140" w:lineRule="exact"/>
        <w:rPr>
          <w:sz w:val="20"/>
          <w:szCs w:val="20"/>
          <w:color w:val="auto"/>
        </w:rPr>
      </w:pPr>
    </w:p>
    <w:p>
      <w:pPr>
        <w:ind w:left="880" w:hanging="346"/>
        <w:spacing w:after="0"/>
        <w:tabs>
          <w:tab w:leader="none" w:pos="880"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this Section 13.4; and</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modification, amendment, waiver or consent shall:</w:t>
      </w:r>
    </w:p>
    <w:p>
      <w:pPr>
        <w:spacing w:after="0" w:line="166" w:lineRule="exact"/>
        <w:rPr>
          <w:rFonts w:ascii="Courier New" w:cs="Courier New" w:eastAsia="Courier New" w:hAnsi="Courier New"/>
          <w:sz w:val="15"/>
          <w:szCs w:val="15"/>
          <w:color w:val="auto"/>
        </w:rPr>
      </w:pPr>
    </w:p>
    <w:p>
      <w:pPr>
        <w:ind w:right="3239" w:firstLine="534"/>
        <w:spacing w:after="0" w:line="264" w:lineRule="auto"/>
        <w:tabs>
          <w:tab w:leader="none" w:pos="875"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Commitments of any Lender of any Tranche of Loans over the amount thereof then in effect (it being understood that a waiver of any conditions precedent, covenants, Defaults or Events of Default or of a mandatory prepayment shall not constitute an increase of the Commitment of any Lender without the consent of such Lender);</w:t>
      </w:r>
    </w:p>
    <w:p>
      <w:pPr>
        <w:spacing w:after="0" w:line="74" w:lineRule="exact"/>
        <w:rPr>
          <w:rFonts w:ascii="Courier New" w:cs="Courier New" w:eastAsia="Courier New" w:hAnsi="Courier New"/>
          <w:sz w:val="15"/>
          <w:szCs w:val="15"/>
          <w:color w:val="auto"/>
        </w:rPr>
      </w:pPr>
    </w:p>
    <w:p>
      <w:pPr>
        <w:ind w:right="3499" w:firstLine="534"/>
        <w:spacing w:after="0" w:line="290" w:lineRule="auto"/>
        <w:tabs>
          <w:tab w:leader="none" w:pos="875"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consent of the Issuing Bank, amend, modify or waive any provision of ARTICLE III or alter its rights or obligations with respect to Letters of Credit;</w:t>
      </w:r>
    </w:p>
    <w:p>
      <w:pPr>
        <w:spacing w:after="0" w:line="56" w:lineRule="exact"/>
        <w:rPr>
          <w:rFonts w:ascii="Courier New" w:cs="Courier New" w:eastAsia="Courier New" w:hAnsi="Courier New"/>
          <w:sz w:val="15"/>
          <w:szCs w:val="15"/>
          <w:color w:val="auto"/>
        </w:rPr>
      </w:pPr>
    </w:p>
    <w:p>
      <w:pPr>
        <w:ind w:right="3239" w:firstLine="534"/>
        <w:spacing w:after="0" w:line="290" w:lineRule="auto"/>
        <w:tabs>
          <w:tab w:leader="none" w:pos="875"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consent of the Agent, amend, modify or waive any provision of ARTICLE XII or any other provision relating to the rights or obligations of the Agent;</w:t>
      </w:r>
    </w:p>
    <w:p>
      <w:pPr>
        <w:spacing w:after="0" w:line="56" w:lineRule="exact"/>
        <w:rPr>
          <w:rFonts w:ascii="Courier New" w:cs="Courier New" w:eastAsia="Courier New" w:hAnsi="Courier New"/>
          <w:sz w:val="15"/>
          <w:szCs w:val="15"/>
          <w:color w:val="auto"/>
        </w:rPr>
      </w:pPr>
    </w:p>
    <w:p>
      <w:pPr>
        <w:ind w:right="3499" w:firstLine="534"/>
        <w:spacing w:after="0" w:line="287" w:lineRule="auto"/>
        <w:tabs>
          <w:tab w:leader="none" w:pos="875"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consent of the Required Term Loan Lenders (i) alter the allocation or application of prepayments or repayments as among Term Loans, Acquisition Loans and Incremental Facility Loans in a manner adverse to Term Loan Lenders, or (ii) amend, modify or waive any of the terms contained in SECTION 2.5(B) in a manner adverse to Term Loan Lenders;</w:t>
      </w:r>
    </w:p>
    <w:p>
      <w:pPr>
        <w:spacing w:after="0" w:line="60" w:lineRule="exact"/>
        <w:rPr>
          <w:rFonts w:ascii="Courier New" w:cs="Courier New" w:eastAsia="Courier New" w:hAnsi="Courier New"/>
          <w:sz w:val="14"/>
          <w:szCs w:val="14"/>
          <w:color w:val="auto"/>
        </w:rPr>
      </w:pPr>
    </w:p>
    <w:p>
      <w:pPr>
        <w:ind w:right="3239" w:firstLine="534"/>
        <w:spacing w:after="0" w:line="280" w:lineRule="auto"/>
        <w:tabs>
          <w:tab w:leader="none" w:pos="875"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consent of the Required Acquisition Loan Lenders (i) alter the allocation or application of prepayments or repayments as among Term Loans, Acquisition Loans and Incremental Facility Loans in a manner adverse to Acquisition Loan Lenders, (ii) amend, modify or waive any of the terms contained in SECTION 2.5(c) in a manner adverse to Acquisition Loan Lenders, or (iii) amend the definition of Acquisition Loan Commitment Period; or</w:t>
      </w:r>
    </w:p>
    <w:p>
      <w:pPr>
        <w:spacing w:after="0" w:line="67" w:lineRule="exact"/>
        <w:rPr>
          <w:rFonts w:ascii="Courier New" w:cs="Courier New" w:eastAsia="Courier New" w:hAnsi="Courier New"/>
          <w:sz w:val="14"/>
          <w:szCs w:val="14"/>
          <w:color w:val="auto"/>
        </w:rPr>
      </w:pPr>
    </w:p>
    <w:p>
      <w:pPr>
        <w:ind w:right="3239" w:firstLine="534"/>
        <w:spacing w:after="0" w:line="276" w:lineRule="auto"/>
        <w:tabs>
          <w:tab w:leader="none" w:pos="875"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consent of the Required Incremental Facility Loan Lenders of any Series (i) alter the allocation or application of prepayments or repayments as among Term Loans, Acquisition Loans and Incremental Facility Loans of such Series in a manner adverse to Incremental Facility Loan Lenders of such Series, (ii) amend or waive any of the terms contained in Section 2.5(d) in a manner adverse to Incremental Facility Loan Lenders of such Series, or (iii) amend the definition of Incremental Facility Commitment Period.</w:t>
      </w:r>
    </w:p>
    <w:p>
      <w:pPr>
        <w:spacing w:after="0" w:line="69"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Any such modification, amendment, waiver or consent shall be effective only in the specific instance and for the purpose for which given. No consent to or demand on any of the Principal Companies in any case shall, of itself, entitle it to any other or further notice or demand in similar or other circumstances. This Agreement and the other Loan Documents embody the entire agreement and understanding among the Lenders, the Agent and the Principal Companies and supersede all prior agreements and understandings relating to the subject matter hereof. Notwithstanding the foregoing, SCHEDULES 4.1, 4.13, 8.2 and 9.3 to the Credit Agreement,</w:t>
      </w:r>
    </w:p>
    <w:p>
      <w:pPr>
        <w:sectPr>
          <w:pgSz w:w="11900" w:h="16838" w:orient="portrait"/>
          <w:cols w:equalWidth="0" w:num="1">
            <w:col w:w="10239"/>
          </w:cols>
          <w:pgMar w:left="220" w:top="26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125</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117</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III to the Collateral Trust Agreement, SCHEDULES 3.01 (a)(ii),</w:t>
      </w:r>
    </w:p>
    <w:p>
      <w:pPr>
        <w:spacing w:after="0" w:line="24"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3.01(a)(iii), 3.01(b)(iii), 3.01(b)(iv), 3.01(c) and 3.04(a) to the Borrower Security Agreement, Schedules 3.01(a)(ii), 3.01(a)(iii), 3.01(b)(iii),</w:t>
      </w:r>
    </w:p>
    <w:p>
      <w:pPr>
        <w:spacing w:after="0" w:line="1"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3.01(b)(iv), 3.01(c) and 3.04(a) to the Borrower Subsidiary Security Agreement and SCHEDULE I to the Borrower Stock Pledge Agreement may be supplemented or amended and restated by the Borrower in connection with any Permitted Acquisition, to the extent that such supplement or amendment and restatement reflects changes that are permitted by the Credit Agreement and the other Loan Documents. Such supplement or amendment and restatement shall become effective upon the Borrower's delivery of the same to the Agent, together with a certificate of an authorized officer of the Borrower that such supplement or amendment and restatement reflects changes that are permitted by the Credit Agreement and the other Loan Documents. The Agent shall promptly distribute to each Lender a copy of any such supplement or amendment and restatement, together with the certificate of the authorized officer of the Borrower referred to above.</w:t>
      </w:r>
    </w:p>
    <w:p>
      <w:pPr>
        <w:spacing w:after="0" w:line="92" w:lineRule="exact"/>
        <w:rPr>
          <w:sz w:val="20"/>
          <w:szCs w:val="20"/>
          <w:color w:val="auto"/>
        </w:rPr>
      </w:pPr>
    </w:p>
    <w:p>
      <w:pPr>
        <w:ind w:right="3239" w:firstLine="525"/>
        <w:spacing w:after="0" w:line="263" w:lineRule="auto"/>
        <w:rPr>
          <w:sz w:val="20"/>
          <w:szCs w:val="20"/>
          <w:color w:val="auto"/>
        </w:rPr>
      </w:pPr>
      <w:r>
        <w:rPr>
          <w:rFonts w:ascii="Courier New" w:cs="Courier New" w:eastAsia="Courier New" w:hAnsi="Courier New"/>
          <w:sz w:val="14"/>
          <w:szCs w:val="14"/>
          <w:color w:val="auto"/>
        </w:rPr>
        <w:t>Section 13.5. REMEDIES CUMULATIVE. Each and every right granted to the Agent, the Issuing Bank and the Lenders hereunder or under any other document delivered hereunder or in connection herewith, or allowed it by law or equity, shall be cumulative and may be exercised from time to time. No failure on the part of the Agent, the Issuing Bank or any Lender or the holder of any Note to exercise, and no delay in exercising, any right shall operate as a waiver thereof, nor shall any single or partial exercise of any right preclude any other or future exercise thereof or the exercise of any other right. The due payment and performance of the Obligations shall be without regard to any counterclaim, right of offset and any other claim whatsoever which any of the Principal Companies may have against any Lender, the Issuing Bank or the Agent and without regard to any other obligation of any nature whatsoever which any Lender, the Issuing Bank or the Agent may have against any Principal Company, and no such counterclaim or offset shall be asserted by any Principal Company in any action, suit or proceeding instituted by any Lender, the Issuing Bank or the Agent for payment or performance of the Obligations.</w:t>
      </w:r>
    </w:p>
    <w:p>
      <w:pPr>
        <w:spacing w:after="0" w:line="79" w:lineRule="exact"/>
        <w:rPr>
          <w:sz w:val="20"/>
          <w:szCs w:val="20"/>
          <w:color w:val="auto"/>
        </w:rPr>
      </w:pPr>
    </w:p>
    <w:p>
      <w:pPr>
        <w:ind w:right="3319" w:firstLine="525"/>
        <w:spacing w:after="0" w:line="247" w:lineRule="auto"/>
        <w:rPr>
          <w:sz w:val="20"/>
          <w:szCs w:val="20"/>
          <w:color w:val="auto"/>
        </w:rPr>
      </w:pPr>
      <w:r>
        <w:rPr>
          <w:rFonts w:ascii="Courier New" w:cs="Courier New" w:eastAsia="Courier New" w:hAnsi="Courier New"/>
          <w:sz w:val="15"/>
          <w:szCs w:val="15"/>
          <w:color w:val="auto"/>
        </w:rPr>
        <w:t>Section 13.6. FURTHER ASSURANCES. At any time and from time to time, upon the request of the Agent, the Principal Companies shall execute, deliver and acknowledge or cause to be executed, delivered and acknowledged, such further documents and instruments and do such other acts and things as the Agent may reasonably request in order to fully effect the purposes of this Agreement, the other Loan Documents and any other agreements, instruments and documents delivered pursuant hereto or in connection with the Loans, including the execution and delivery to the Agent of Mortgages in form and substance satisfactory to the Agent covering all Material Real Property or interests therein acquired by the Borrower, and all leases of Material Real Property entered into by the Borrower as tenant or lessee, after the date of this Agreement, as provided in SUBSECTION 8.15(b).</w:t>
      </w:r>
    </w:p>
    <w:p>
      <w:pPr>
        <w:sectPr>
          <w:pgSz w:w="11900" w:h="16838" w:orient="portrait"/>
          <w:cols w:equalWidth="0" w:num="1">
            <w:col w:w="10239"/>
          </w:cols>
          <w:pgMar w:left="220" w:top="26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126</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pacing w:after="0" w:line="140"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Section 13.7. NOTICES. All notices, requests, reports and other communications pursuant to this Agreement shall be in writing, either by letter (delivered by hand or commercial messenger service or sent by certified mail, return receipt requested, except for routine reports delivered in compliance with Article 5 hereof which may be sent by ordinary first-class mail) or telegram or telecopy, addressed as follows:</w:t>
      </w:r>
    </w:p>
    <w:p>
      <w:pPr>
        <w:spacing w:after="0" w:line="81" w:lineRule="exact"/>
        <w:rPr>
          <w:sz w:val="20"/>
          <w:szCs w:val="20"/>
          <w:color w:val="auto"/>
        </w:rPr>
      </w:pPr>
    </w:p>
    <w:p>
      <w:pPr>
        <w:ind w:left="1320" w:hanging="348"/>
        <w:spacing w:after="0"/>
        <w:tabs>
          <w:tab w:leader="none" w:pos="13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Principal Companies:</w:t>
      </w:r>
    </w:p>
    <w:p>
      <w:pPr>
        <w:spacing w:after="0" w:line="166"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 Saga Communications, Inc.</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73 Kercheval Avenue</w:t>
      </w:r>
    </w:p>
    <w:p>
      <w:pPr>
        <w:ind w:left="1320" w:right="5859"/>
        <w:spacing w:after="0" w:line="34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Grosse Pointe Farms, Michigan 48236 Attention: Mr. Edward K. Christian Telecopier No.: (313) 886-7150 with a copy to:</w:t>
      </w:r>
    </w:p>
    <w:p>
      <w:pPr>
        <w:spacing w:after="0" w:line="20" w:lineRule="exact"/>
        <w:rPr>
          <w:rFonts w:ascii="Courier New" w:cs="Courier New" w:eastAsia="Courier New" w:hAnsi="Courier New"/>
          <w:sz w:val="15"/>
          <w:szCs w:val="15"/>
          <w:color w:val="auto"/>
        </w:rPr>
      </w:pPr>
    </w:p>
    <w:p>
      <w:pPr>
        <w:ind w:left="1320" w:right="603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Samuel D. Bush at the address set forth above; and</w:t>
      </w:r>
    </w:p>
    <w:p>
      <w:pPr>
        <w:spacing w:after="0" w:line="17"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copy to:</w:t>
      </w:r>
    </w:p>
    <w:p>
      <w:pPr>
        <w:spacing w:after="0" w:line="166" w:lineRule="exact"/>
        <w:rPr>
          <w:rFonts w:ascii="Courier New" w:cs="Courier New" w:eastAsia="Courier New" w:hAnsi="Courier New"/>
          <w:sz w:val="15"/>
          <w:szCs w:val="15"/>
          <w:color w:val="auto"/>
        </w:rPr>
      </w:pPr>
    </w:p>
    <w:p>
      <w:pPr>
        <w:ind w:left="1320" w:right="655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Edwards &amp; Angell, LLP 101 Federal Street Boston, Massachusetts 02110</w:t>
      </w:r>
    </w:p>
    <w:p>
      <w:pPr>
        <w:spacing w:after="0" w:line="56"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Stephen O. Meredith, Esq.</w:t>
      </w:r>
    </w:p>
    <w:p>
      <w:pPr>
        <w:spacing w:after="0" w:line="24"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No.: (617) 439-4170</w:t>
      </w:r>
    </w:p>
    <w:p>
      <w:pPr>
        <w:spacing w:after="0" w:line="140" w:lineRule="exact"/>
        <w:rPr>
          <w:rFonts w:ascii="Courier New" w:cs="Courier New" w:eastAsia="Courier New" w:hAnsi="Courier New"/>
          <w:sz w:val="15"/>
          <w:szCs w:val="15"/>
          <w:color w:val="auto"/>
        </w:rPr>
      </w:pPr>
    </w:p>
    <w:p>
      <w:pPr>
        <w:ind w:left="1320" w:hanging="348"/>
        <w:spacing w:after="0"/>
        <w:tabs>
          <w:tab w:leader="none" w:pos="13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Lender:</w:t>
      </w:r>
    </w:p>
    <w:p>
      <w:pPr>
        <w:spacing w:after="0" w:line="166" w:lineRule="exact"/>
        <w:rPr>
          <w:rFonts w:ascii="Courier New" w:cs="Courier New" w:eastAsia="Courier New" w:hAnsi="Courier New"/>
          <w:sz w:val="15"/>
          <w:szCs w:val="15"/>
          <w:color w:val="auto"/>
        </w:rPr>
      </w:pPr>
    </w:p>
    <w:p>
      <w:pPr>
        <w:ind w:left="1580" w:right="3399" w:hanging="262"/>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its address set forth below its name on the signature pages hereof, with a copy to the Agent; and</w:t>
      </w:r>
    </w:p>
    <w:p>
      <w:pPr>
        <w:spacing w:after="0" w:line="17" w:lineRule="exact"/>
        <w:rPr>
          <w:rFonts w:ascii="Courier New" w:cs="Courier New" w:eastAsia="Courier New" w:hAnsi="Courier New"/>
          <w:sz w:val="15"/>
          <w:szCs w:val="15"/>
          <w:color w:val="auto"/>
        </w:rPr>
      </w:pPr>
    </w:p>
    <w:p>
      <w:pPr>
        <w:ind w:left="1320" w:hanging="348"/>
        <w:spacing w:after="0"/>
        <w:tabs>
          <w:tab w:leader="none" w:pos="13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Agent:</w:t>
      </w:r>
    </w:p>
    <w:p>
      <w:pPr>
        <w:spacing w:after="0" w:line="166"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BankBoston, N.A.</w:t>
      </w:r>
    </w:p>
    <w:p>
      <w:pPr>
        <w:spacing w:after="0" w:line="24"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 Federal Street</w:t>
      </w:r>
    </w:p>
    <w:p>
      <w:pPr>
        <w:spacing w:after="0" w:line="140" w:lineRule="exact"/>
        <w:rPr>
          <w:rFonts w:ascii="Courier New" w:cs="Courier New" w:eastAsia="Courier New" w:hAnsi="Courier New"/>
          <w:sz w:val="15"/>
          <w:szCs w:val="15"/>
          <w:color w:val="auto"/>
        </w:rPr>
      </w:pPr>
    </w:p>
    <w:p>
      <w:pPr>
        <w:ind w:left="1320" w:right="603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Media &amp; Communications (01-21-05) Boston, Massachusetts 02110 Attention: Ms. Lisa M. Pellow Telecopier No.: (617) 434-6193</w:t>
      </w:r>
    </w:p>
    <w:p>
      <w:pPr>
        <w:spacing w:after="0" w:line="67" w:lineRule="exact"/>
        <w:rPr>
          <w:rFonts w:ascii="Courier New" w:cs="Courier New" w:eastAsia="Courier New" w:hAnsi="Courier New"/>
          <w:sz w:val="15"/>
          <w:szCs w:val="15"/>
          <w:color w:val="auto"/>
        </w:rPr>
      </w:pPr>
    </w:p>
    <w:p>
      <w:pPr>
        <w:ind w:left="1580" w:right="3679" w:hanging="262"/>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(other than in the case of Borrowing Notices and Reports and other documents delivered in compliance with ARTICLE V hereof) to:</w:t>
      </w:r>
    </w:p>
    <w:p>
      <w:pPr>
        <w:sectPr>
          <w:pgSz w:w="11900" w:h="16838" w:orient="portrait"/>
          <w:cols w:equalWidth="0" w:num="1">
            <w:col w:w="10239"/>
          </w:cols>
          <w:pgMar w:left="220" w:top="26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127</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119</w:t>
      </w:r>
    </w:p>
    <w:p>
      <w:pPr>
        <w:spacing w:after="0" w:line="14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Bingham Dana LLP</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399 Park Avenue</w:t>
      </w:r>
    </w:p>
    <w:p>
      <w:pPr>
        <w:ind w:left="1320"/>
        <w:spacing w:after="0" w:line="237" w:lineRule="auto"/>
        <w:rPr>
          <w:sz w:val="20"/>
          <w:szCs w:val="20"/>
          <w:color w:val="auto"/>
        </w:rPr>
      </w:pPr>
      <w:r>
        <w:rPr>
          <w:rFonts w:ascii="Courier New" w:cs="Courier New" w:eastAsia="Courier New" w:hAnsi="Courier New"/>
          <w:sz w:val="15"/>
          <w:szCs w:val="15"/>
          <w:color w:val="auto"/>
        </w:rPr>
        <w:t>New York, New York 10022</w:t>
      </w:r>
    </w:p>
    <w:p>
      <w:pPr>
        <w:ind w:left="1320"/>
        <w:spacing w:after="0" w:line="238" w:lineRule="auto"/>
        <w:rPr>
          <w:sz w:val="20"/>
          <w:szCs w:val="20"/>
          <w:color w:val="auto"/>
        </w:rPr>
      </w:pPr>
      <w:r>
        <w:rPr>
          <w:rFonts w:ascii="Courier New" w:cs="Courier New" w:eastAsia="Courier New" w:hAnsi="Courier New"/>
          <w:sz w:val="15"/>
          <w:szCs w:val="15"/>
          <w:color w:val="auto"/>
        </w:rPr>
        <w:t>Attention: Frederick F. Eisenbiegler, Esq.</w:t>
      </w:r>
    </w:p>
    <w:p>
      <w:pPr>
        <w:ind w:left="1320"/>
        <w:spacing w:after="0"/>
        <w:rPr>
          <w:sz w:val="20"/>
          <w:szCs w:val="20"/>
          <w:color w:val="auto"/>
        </w:rPr>
      </w:pPr>
      <w:r>
        <w:rPr>
          <w:rFonts w:ascii="Courier New" w:cs="Courier New" w:eastAsia="Courier New" w:hAnsi="Courier New"/>
          <w:sz w:val="15"/>
          <w:szCs w:val="15"/>
          <w:color w:val="auto"/>
        </w:rPr>
        <w:t>Telecopier No.: (212) 318-7745</w:t>
      </w:r>
    </w:p>
    <w:p>
      <w:pPr>
        <w:spacing w:after="0" w:line="140"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Any notice, request or communication hereunder shall be deemed to have been given on the day on which it is telecopied to such party at the telecopier number specified above or delivered by hand or such commercial messenger service to such party at its address specified above, or, if sent by mail, on the third Business Day after the day deposited in the mail, postage prepaid, or in the case of telegraphic notice, when delivered to the telegraph company, addressed as aforesaid. Any party may change the person, address or telecopier number to whom or which notices are to be given hereunder, by notice duly given hereunder; provided, however, that any such notice shall be deemed to have been given hereunder only when actually received by the party to which it is addressed.</w:t>
      </w:r>
    </w:p>
    <w:p>
      <w:pPr>
        <w:spacing w:after="0" w:line="73" w:lineRule="exact"/>
        <w:rPr>
          <w:sz w:val="20"/>
          <w:szCs w:val="20"/>
          <w:color w:val="auto"/>
        </w:rPr>
      </w:pPr>
    </w:p>
    <w:p>
      <w:pPr>
        <w:jc w:val="both"/>
        <w:ind w:right="3319" w:firstLine="525"/>
        <w:spacing w:after="0" w:line="290" w:lineRule="auto"/>
        <w:rPr>
          <w:sz w:val="20"/>
          <w:szCs w:val="20"/>
          <w:color w:val="auto"/>
        </w:rPr>
      </w:pPr>
      <w:r>
        <w:rPr>
          <w:rFonts w:ascii="Courier New" w:cs="Courier New" w:eastAsia="Courier New" w:hAnsi="Courier New"/>
          <w:sz w:val="15"/>
          <w:szCs w:val="15"/>
          <w:color w:val="auto"/>
        </w:rPr>
        <w:t>Section 13.8. COUNTERPARTS. This Agreement may be signed in any number of counterparts with the same effect as if the signatures thereto and hereto were upon the same instrument.</w:t>
      </w:r>
    </w:p>
    <w:p>
      <w:pPr>
        <w:spacing w:after="0" w:line="57" w:lineRule="exact"/>
        <w:rPr>
          <w:sz w:val="20"/>
          <w:szCs w:val="20"/>
          <w:color w:val="auto"/>
        </w:rPr>
      </w:pPr>
    </w:p>
    <w:p>
      <w:pPr>
        <w:ind w:right="3239" w:firstLine="525"/>
        <w:spacing w:after="0" w:line="264" w:lineRule="auto"/>
        <w:rPr>
          <w:sz w:val="20"/>
          <w:szCs w:val="20"/>
          <w:color w:val="auto"/>
        </w:rPr>
      </w:pPr>
      <w:r>
        <w:rPr>
          <w:rFonts w:ascii="Courier New" w:cs="Courier New" w:eastAsia="Courier New" w:hAnsi="Courier New"/>
          <w:sz w:val="14"/>
          <w:szCs w:val="14"/>
          <w:color w:val="auto"/>
        </w:rPr>
        <w:t>Section 13.9. SEVERABILITY. The provisions of this Agreement are severable, and if any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in this Agreement in any jurisdiction. Each of the covenants, agreements and conditions contained in this Agreement is independent, and compliance by the Principal Companies with any of them shall not excuse noncompliance by the Principal Companies with any other. All covenants hereunder shall be given independent effect so that if a particular action or condition is not permitted by any such covenants, the fact that it would be permitted by an exception to, or be otherwise within the limitations of, another covenant shall not avoid the occurrence of a Default or an Event of Default if such action is taken or condition exists.</w:t>
      </w:r>
    </w:p>
    <w:p>
      <w:pPr>
        <w:spacing w:after="0" w:line="81" w:lineRule="exact"/>
        <w:rPr>
          <w:sz w:val="20"/>
          <w:szCs w:val="20"/>
          <w:color w:val="auto"/>
        </w:rPr>
      </w:pPr>
    </w:p>
    <w:p>
      <w:pPr>
        <w:ind w:right="3399" w:firstLine="525"/>
        <w:spacing w:after="0" w:line="276" w:lineRule="auto"/>
        <w:rPr>
          <w:sz w:val="20"/>
          <w:szCs w:val="20"/>
          <w:color w:val="auto"/>
        </w:rPr>
      </w:pPr>
      <w:r>
        <w:rPr>
          <w:rFonts w:ascii="Courier New" w:cs="Courier New" w:eastAsia="Courier New" w:hAnsi="Courier New"/>
          <w:sz w:val="14"/>
          <w:szCs w:val="14"/>
          <w:color w:val="auto"/>
        </w:rPr>
        <w:t>Section 13.10. BINDING EFFECT; NO ASSIGNMENT OR DELEGATION BY Borrower. This Agreement shall be binding upon and inure to the benefit of the Principal Companies and their successors and to the benefit of the Lenders and the Agent and their respective successors and assigns. The rights and obligations of the Principal Companies under this Agreement shall not be assigned or delegated without the prior written consent of the Agent and the Lenders, and any purported assignment or delegation without such consent shall be void.</w:t>
      </w:r>
    </w:p>
    <w:p>
      <w:pPr>
        <w:sectPr>
          <w:pgSz w:w="11900" w:h="16838" w:orient="portrait"/>
          <w:cols w:equalWidth="0" w:num="1">
            <w:col w:w="10239"/>
          </w:cols>
          <w:pgMar w:left="220" w:top="261"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5"/>
          <w:szCs w:val="15"/>
          <w:color w:val="auto"/>
        </w:rPr>
        <w:t>128</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120</w:t>
      </w:r>
    </w:p>
    <w:p>
      <w:pPr>
        <w:spacing w:after="0" w:line="14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Section 13.11. ASSIGNMENTS AND PARTICIPATIONS BY LENDERS.</w:t>
      </w:r>
    </w:p>
    <w:p>
      <w:pPr>
        <w:spacing w:after="0" w:line="166" w:lineRule="exact"/>
        <w:rPr>
          <w:sz w:val="20"/>
          <w:szCs w:val="20"/>
          <w:color w:val="auto"/>
        </w:rPr>
      </w:pPr>
    </w:p>
    <w:p>
      <w:pPr>
        <w:ind w:left="-280" w:right="3239" w:firstLine="534"/>
        <w:spacing w:after="0" w:line="257" w:lineRule="auto"/>
        <w:tabs>
          <w:tab w:leader="none" w:pos="59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the ordinary course of its business and in accordance with applicable law, at any time sell to one or more banks or other entities ("PARTICIPANTS") participating interests in any Loan owing to such Lender, any Note held by such Lender, any Commitment of such Lender, or any other interest of such Lender hereunder and under the other Loan Documents; PROVIDED, HOWEVER, that the sum of the principal amount of Obligations and the aggregate amount of available Commitments being sold shall in no event be less than $5,000,000 and shall be an integral multiple of $1,000,000 in excess thereof. In the event of any such sale by a Lender of participating interests to a Participant, such Lender's obligations under this Agreement to the other parties to this Agreement shall remain unchanged, such Lender shall remain solely responsible for the performance thereof, such Lender shall remain the holder of any such Note for all purposes under this Agreement and the other Loan Documents, the Borrower and the Agent shall continue to deal solely and directly with such Lender in connection with such Lender's rights and obligations under this Agreement and the other Loan Documents and such Lender shall retain the sole right to enforce the Obligations of the Principal Companies to such Lender and to approve any amendment, modification or waiver of any provision of this Agreement. It is understood that nothing in the prior sentence or elsewhere in this SECTION 13.11 shall prohibit a Lender from agreeing with any Participant that such Lender will not take any action which would require approval of all of the Lenders under Section 13.4 without the consent of such Participant and each Lender hereby agrees that it will not agree with any Participant that it will not take any action without such Participant's consent except such actions as would require approval of all Lenders under SECTION 13.4. The Borrower agrees that if amounts outstanding under this Agreement or the Notes are due or unpaid, or shall have been declared or shall have become due and payable upon the occurrence of an Event of Default, each Participant shall be deemed to have the right of setoff in respect of its participating interest in amounts owing under this Agreement or any Note to the same extent as if the amount of its participating interest were owing directly to it as a Lender under this Agreement or any Note, PROVIDED that such Participant shall only be entitled to such right of setoff if it shall have agreed in the agreement pursuant to which it shall have acquired its participating interest to purchase at par from the other Lenders participations in the Credit Extensions held by the other Lenders in such amounts, and make such other adjustments from time to time as shall be equitable, to the end that all the Lenders shall share the benefit of such payment PRO RATA in accordance with the unpaid principal and interest on the Credit Extensions held by each of them as provided in Section 2.18. The Borrower also agrees that each Participant shall be entitled to the benefits of SECTIONS 2.20, 2.24, and 13.2 with respect to its participation in the Commitments and the Credit Extensions outstanding from time to time and all amounts to which any Participant is entitled thereunder shall be paid by the Borrower directly to the Lender; PROVIDED, that no Participant shall be entitled to receive any greater amount pursuant to such Sections than the transferor</w:t>
      </w:r>
    </w:p>
    <w:p>
      <w:pPr>
        <w:sectPr>
          <w:pgSz w:w="11900" w:h="16838" w:orient="portrait"/>
          <w:cols w:equalWidth="0" w:num="1">
            <w:col w:w="9959"/>
          </w:cols>
          <w:pgMar w:left="500" w:top="26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129</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121</w:t>
      </w:r>
    </w:p>
    <w:p>
      <w:pPr>
        <w:spacing w:after="0" w:line="140"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Lender would have been entitled to receive in respect of the amount of the participation transferred by such transferor Lender to such Participant had no such transfer occurred.</w:t>
      </w:r>
    </w:p>
    <w:p>
      <w:pPr>
        <w:spacing w:after="0" w:line="57" w:lineRule="exact"/>
        <w:rPr>
          <w:sz w:val="20"/>
          <w:szCs w:val="20"/>
          <w:color w:val="auto"/>
        </w:rPr>
      </w:pPr>
    </w:p>
    <w:p>
      <w:pPr>
        <w:ind w:right="3239" w:firstLine="534"/>
        <w:spacing w:after="0" w:line="256" w:lineRule="auto"/>
        <w:tabs>
          <w:tab w:leader="none" w:pos="875"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(any such Lender being referred to herein as an "ASSIGNING LENDER") may, in the ordinary course of its business and in accordance with applicable law, at any time sell to any other Lender or any Affiliate of such Assigning Lender and, with the consent of the Borrower (except during the continuance of an Event of Default) and the Agent (neither of which consents shall be unreasonably withheld), to one or more additional banks or other financial institutions (a "PURCHASING LENDER") all or any part of its rights and obligations under this Agreement and the Notes. Any such assignment (an "ASSIGNMENT") shall be made pursuant to an Assignment and Acceptance Agreement, substantially in the form of EXHIBIT E attached hereto (an "ASSIGNMENT AND ACCEPTANCE AGREEMENT"), executed by such Purchasing Lender, such Assigning Lender (and, in the case of a Purchasing Lender that is not then a Lender or an Affiliate of the Assigning Lender, by the Borrower and the Agent) and delivered to the Agent for its acceptance and recording in the Register; PROVIDED, HOWEVER, that (i) the sum of such Assigning Lender's available Credit Extensions and Commitments being assigned pursuant to such Assignment (determined as of the date of the Assignment with respect to such Assignment) shall in no event be less than $5,000,000 and shall be an integral multiple of $1,000,000 (or, if less, the entire remaining amount of the Assigning Lender's Commitments and Obligations), (ii) each such Assignment shall be of a constant, and not a varying, percentage of all of the Assigning Lender's rights and obligations under this Agreement. From and after the effective date specified in each Assignment and Acceptance Agreement, which effective date must be at least five</w:t>
      </w:r>
    </w:p>
    <w:p>
      <w:pPr>
        <w:spacing w:after="0" w:line="3" w:lineRule="exact"/>
        <w:rPr>
          <w:rFonts w:ascii="Courier New" w:cs="Courier New" w:eastAsia="Courier New" w:hAnsi="Courier New"/>
          <w:sz w:val="14"/>
          <w:szCs w:val="14"/>
          <w:color w:val="auto"/>
        </w:rPr>
      </w:pPr>
    </w:p>
    <w:p>
      <w:pPr>
        <w:ind w:right="3239" w:firstLine="10"/>
        <w:spacing w:after="0" w:line="241" w:lineRule="auto"/>
        <w:tabs>
          <w:tab w:leader="none" w:pos="35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execution and delivery of such Assignment and Acceptance Agreement to the Agent and (if required) the acceptance of such Assignment and Acceptance Agreement by the Borrower and the Agent (the "TRANSFER EFFECTIVE DATE"): (x) the Purchasing Lender thereunder shall be a party hereto and, to the extent provided in such Assignment and Acceptance Agreement, have the rights and obligations of a Lender hereunder with respect to the Commitments and Credit Extensions as set forth therein, and (y) the Assigning Lender thereunder shall, to the extent provided in such Assignment and Acceptance Agreement, be released from its obligations under this Agreement to the extent that such obligations have been assumed by the Purchasing Lender (and, in the case of an Assignment and Acceptance Agreement covering all or the remaining portion of an Assigning Lender's Commitments and Credit Extensions, such Assigning Lender shall cease to be a party hereto). Each Assignment and Acceptance Agreement duly executed and delivered in accordance with the foregoing provisions of this paragraph (b) shall be deemed to amend this Agreement to the extent, and only to the extent, necessary to reflect the addition of such Purchasing Lender as a Lender hereunder and the resulting adjustment of Commitment percentages and amounts of affected Commitments arising from the purchase by such Purchasing Lender of all or a portion of the rights and obligations of such Assigning Lender under this Agreement and the Notes. Within five (5)</w:t>
      </w:r>
    </w:p>
    <w:p>
      <w:pPr>
        <w:sectPr>
          <w:pgSz w:w="11900" w:h="16838" w:orient="portrait"/>
          <w:cols w:equalWidth="0" w:num="1">
            <w:col w:w="10239"/>
          </w:cols>
          <w:pgMar w:left="220" w:top="26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130</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122</w:t>
      </w:r>
    </w:p>
    <w:p>
      <w:pPr>
        <w:spacing w:after="0" w:line="140"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Business Days after the Transfer Effective Date determined pursuant to such Assignment and Acceptance Agreement and this paragraph (b), the Borrower, at its own expense, shall execute and deliver to the Agent in exchange for the surrender of the Note or Notes of the Assigning Lender to the Agent a new Note or Notes to the order of such Purchasing Lender in an amount equal to the applicable Commitments or Obligations assumed or acquired by the Purchasing Lender pursuant to such Assignment and Acceptance Agreement and, if the Assigning Lender has retained Commitments or outstanding Loans hereunder, a new Note or Notes to the order of the Assigning Lender in an amount equal to the applicable Commitments or Obligations retained by it hereunder. Such new Notes shall be dated the Transfer Effective Date (or such other date as may be agreed to by the Borrower, the Agent, the Assigning Lender and the Purchasing Lender) and shall otherwise be in the form of the Notes replaced thereby. The Notes surrendered by the Assigning Lender shall be returned by the Agent to the Borrower marked "canceled."</w:t>
      </w:r>
    </w:p>
    <w:p>
      <w:pPr>
        <w:spacing w:after="0" w:line="89" w:lineRule="exact"/>
        <w:rPr>
          <w:sz w:val="20"/>
          <w:szCs w:val="20"/>
          <w:color w:val="auto"/>
        </w:rPr>
      </w:pPr>
    </w:p>
    <w:p>
      <w:pPr>
        <w:ind w:right="3239" w:firstLine="534"/>
        <w:spacing w:after="0" w:line="249" w:lineRule="auto"/>
        <w:tabs>
          <w:tab w:leader="none" w:pos="87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maintain at its address a copy of each Assignment and Acceptance Agreement delivered to it and a register (the "REGISTER") for the recordation of the names and addresses of the Lenders and the Commitments of, and principal amount of the Loans owing to, each Lender from time to time. The entries in the Register shall be conclusive, in the absence of manifest error, and the Borrower, the Agent and the Lenders may treat each Person whose name is recorded in the Register as the owner of the Commitments and Loans recorded therein for all purposes of this Agreement. The Register shall be available for inspection by the Borrower or any Lender at any reasonable time and from time to time upon reasonable prior notice.</w:t>
      </w:r>
    </w:p>
    <w:p>
      <w:pPr>
        <w:spacing w:after="0" w:line="87" w:lineRule="exact"/>
        <w:rPr>
          <w:rFonts w:ascii="Courier New" w:cs="Courier New" w:eastAsia="Courier New" w:hAnsi="Courier New"/>
          <w:sz w:val="15"/>
          <w:szCs w:val="15"/>
          <w:color w:val="auto"/>
        </w:rPr>
      </w:pPr>
    </w:p>
    <w:p>
      <w:pPr>
        <w:ind w:right="3239" w:firstLine="534"/>
        <w:spacing w:after="0" w:line="249" w:lineRule="auto"/>
        <w:tabs>
          <w:tab w:leader="none" w:pos="87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an Assignment and Acceptance Agreement executed by an Assigning Lender and Purchasing Lender (and, in the case of a Purchasing Lender that is not then a Lender or an Affiliate of the Assigning Lender, by the Borrower and the Agent) together with payment by the Purchasing Lender to the Agent for the account of the Agent of a registration and processing fee of $2,500, the Agent shall (i) promptly accept such Assignment and Acceptance Agreement, (ii) on the Transfer Effective Date determined pursuant thereto and paragraph (b) of this SECTION 13.11, record the information contained therein in the Register and (iii) give notice of such acceptance and recordation to each of the Lenders and the Borrower.</w:t>
      </w:r>
    </w:p>
    <w:p>
      <w:pPr>
        <w:spacing w:after="0" w:line="87" w:lineRule="exact"/>
        <w:rPr>
          <w:rFonts w:ascii="Courier New" w:cs="Courier New" w:eastAsia="Courier New" w:hAnsi="Courier New"/>
          <w:sz w:val="15"/>
          <w:szCs w:val="15"/>
          <w:color w:val="auto"/>
        </w:rPr>
      </w:pPr>
    </w:p>
    <w:p>
      <w:pPr>
        <w:ind w:right="3239" w:firstLine="534"/>
        <w:spacing w:after="0" w:line="249" w:lineRule="auto"/>
        <w:tabs>
          <w:tab w:leader="none" w:pos="87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Agreement, the Assigning Lender thereunder and the Purchasing Lender thereunder confirm to and agree with each other and the other parties hereto as follows: (i) other than as provided in such Assignment and Acceptance Agreement, such Assigning Lender makes no representation or warranty and assumes no responsibility with respect to any statements, warranties or representations made in or in connection with this Agreement or any of the other Loan Documents or the execution, legality, validity, enforceability, genuineness, sufficiency or value of this Agreement, any of the other Loan Documents or any other instrument or document furnished pursuant hereto or</w:t>
      </w:r>
    </w:p>
    <w:p>
      <w:pPr>
        <w:sectPr>
          <w:pgSz w:w="11900" w:h="16838" w:orient="portrait"/>
          <w:cols w:equalWidth="0" w:num="1">
            <w:col w:w="10239"/>
          </w:cols>
          <w:pgMar w:left="220" w:top="26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131</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123</w:t>
      </w:r>
    </w:p>
    <w:p>
      <w:pPr>
        <w:spacing w:after="0" w:line="14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thereto; (ii) such Assigning Lender makes no representation or warranty and assumes no responsibility with respect to the financial condition of any of the Principal Companies or the performance or observance by any of the Principal Companies of any of their obligations under this Agreement, any of the other Loan Documents or any other instrument or document furnished pursuant hereto or thereto; (iii) such Purchasing Lender confirms that it has received a copy of this Agreement, together with copies of such financial statements and such other documents and information as it has deemed appropriate to make its own credit analysis and decision to enter into such Assignment and Acceptance Agreement;</w:t>
      </w:r>
    </w:p>
    <w:p>
      <w:pPr>
        <w:spacing w:after="0" w:line="5" w:lineRule="exact"/>
        <w:rPr>
          <w:sz w:val="20"/>
          <w:szCs w:val="20"/>
          <w:color w:val="auto"/>
        </w:rPr>
      </w:pPr>
    </w:p>
    <w:p>
      <w:pPr>
        <w:ind w:right="3239" w:firstLine="10"/>
        <w:spacing w:after="0" w:line="241" w:lineRule="auto"/>
        <w:tabs>
          <w:tab w:leader="none" w:pos="43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Purchasing Lender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Purchasing Lender appoints and authorizes the Agent to take such action as agent on its behalf and to exercise such powers under this Agreement or any of the other Loan Documents as are delegated to the Agent by the terms hereof, together with such powers as are reasonably incidental thereto; (vi) such Purchasing Lender agrees that it will perform in accordance with their terms all of the obligations which by the terms of this Agreement or any of the other Loan Documents are required to be performed by it as a Lender; and (vii) such Purchasing Lender (A) consents in all respects to the provisions of the Collateral Trust Agreement, (B) agrees to be bound by the terms of the Collateral Trust Agreement and (C) authorizes the Collateral Trustee as Collateral Trustee to act on its behalf under the Collateral Trust Agreement and to exercise such powers under the Collateral Trust Agreement as are delegated to the Collateral Trustee by the terms thereof, together with such powers as are reasonably incidental thereto.</w:t>
      </w:r>
    </w:p>
    <w:p>
      <w:pPr>
        <w:spacing w:after="0" w:line="98" w:lineRule="exact"/>
        <w:rPr>
          <w:rFonts w:ascii="Courier New" w:cs="Courier New" w:eastAsia="Courier New" w:hAnsi="Courier New"/>
          <w:sz w:val="15"/>
          <w:szCs w:val="15"/>
          <w:color w:val="auto"/>
        </w:rPr>
      </w:pPr>
    </w:p>
    <w:p>
      <w:pPr>
        <w:ind w:right="3239" w:firstLine="534"/>
        <w:spacing w:after="0" w:line="248" w:lineRule="auto"/>
        <w:tabs>
          <w:tab w:leader="none" w:pos="875"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Companies authorize each Lender to disclose to any Participant or Purchasing Lender (each, a "TRANSFEREE") and any prospective Transferee any and all information in such Lender's possession concerning the Principal Companies which has been delivered to such Lender by or on behalf of the Principal Companies or the Agent pursuant to this Agreement or the other Loan Documents or which has been delivered to such Lender by or on behalf of the Principal Companies or the Agent in connection with such Lender's credit evaluation of the Principal Companies and its Affiliates prior to becoming a party to this Agreement; PROVIDED, THAT, prior to any such disclosure, the Transferee or prospective Transferee shall agree to be bound by the provisions of Section 13.14.</w:t>
      </w:r>
    </w:p>
    <w:p>
      <w:pPr>
        <w:spacing w:after="0" w:line="86" w:lineRule="exact"/>
        <w:rPr>
          <w:rFonts w:ascii="Courier New" w:cs="Courier New" w:eastAsia="Courier New" w:hAnsi="Courier New"/>
          <w:sz w:val="15"/>
          <w:szCs w:val="15"/>
          <w:color w:val="auto"/>
        </w:rPr>
      </w:pPr>
    </w:p>
    <w:p>
      <w:pPr>
        <w:ind w:right="3319" w:firstLine="534"/>
        <w:spacing w:after="0" w:line="273" w:lineRule="auto"/>
        <w:tabs>
          <w:tab w:leader="none" w:pos="875"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in this Agreement or any Note is transferred to any Transferee which is organized under the laws of any jurisdiction other than the United States or any state thereof, the Assigning Lender shall cause such Transferee, concurrently with the effectiveness of such transfer, (i) to represent to the Assigning Lender (for the benefit of the Assigning Lender, the Agent and the Borrower) that under applicable law and treaties no taxes will be required to be withheld by the Agent, the Borrower or the Assigning Lender with respect to any payments to be made to such Transferee in respect of the Credit</w:t>
      </w:r>
    </w:p>
    <w:p>
      <w:pPr>
        <w:sectPr>
          <w:pgSz w:w="11900" w:h="16838" w:orient="portrait"/>
          <w:cols w:equalWidth="0" w:num="1">
            <w:col w:w="10239"/>
          </w:cols>
          <w:pgMar w:left="220" w:top="26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132</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124</w:t>
      </w:r>
    </w:p>
    <w:p>
      <w:pPr>
        <w:spacing w:after="0" w:line="140"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Extensions, (ii) to furnish to the Assigning Lender (and, in the case of any Purchasing Lender registered in the Register, the Agent and the Borrower) either U.S. Internal Revenue Service Form 4224 or U.S. Internal Revenue Service Form 1001 or U.S. Internal Revenue Service Form W-8 (wherein such Transferee claims entitlement to complete exemption from U.S. federal withholding tax on all interest payments hereunder) and (iii) to agree (for the benefit of the Assigning Lender, the Agent and the Borrower) to provide the Assigning Lender (and, in the case of any Purchasing Lender registered in the Register, the Agent and the Borrower) a new Form 4224 or Form 1001 upon the expiration or obsolescence of any previously delivered form and comparable statements in accordance with applicable U.S. laws and regulations and amendments duly executed and completed by such Transferee, and to comply from time to time with all applicable U.S. laws and regulations with regard to such withholding tax exemption.</w:t>
      </w:r>
    </w:p>
    <w:p>
      <w:pPr>
        <w:spacing w:after="0" w:line="95" w:lineRule="exact"/>
        <w:rPr>
          <w:sz w:val="20"/>
          <w:szCs w:val="20"/>
          <w:color w:val="auto"/>
        </w:rPr>
      </w:pPr>
    </w:p>
    <w:p>
      <w:pPr>
        <w:ind w:right="3499" w:firstLine="534"/>
        <w:spacing w:after="0" w:line="381" w:lineRule="auto"/>
        <w:tabs>
          <w:tab w:leader="none" w:pos="87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prohibit any Lender from pledging or assigning any Note to any Federal Reserve Bank in accordance with applicable law.</w:t>
      </w:r>
    </w:p>
    <w:p>
      <w:pPr>
        <w:spacing w:after="0" w:line="1" w:lineRule="exact"/>
        <w:rPr>
          <w:rFonts w:ascii="Courier New" w:cs="Courier New" w:eastAsia="Courier New" w:hAnsi="Courier New"/>
          <w:sz w:val="14"/>
          <w:szCs w:val="14"/>
          <w:color w:val="auto"/>
        </w:rPr>
      </w:pPr>
    </w:p>
    <w:p>
      <w:pPr>
        <w:ind w:right="3239" w:firstLine="534"/>
        <w:spacing w:after="0" w:line="264" w:lineRule="auto"/>
        <w:tabs>
          <w:tab w:leader="none" w:pos="87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Section 13.11 or elsewhere in this Agreement to the contrary, no Principal Company shall be obligated to reimburse any Lender, any Purchasing Lender, any Participant or the Agent for any costs or expenses incurred by any of them in connection with any Lender's sale of any participating interest or any Assignment hereunder.</w:t>
      </w:r>
    </w:p>
    <w:p>
      <w:pPr>
        <w:spacing w:after="0" w:line="75"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Section 13.12. FCC APPROVAL. Notwithstanding anything to the contrary contained in this Agreement or in the other Loan Documents, neither the Agent nor any of the Lenders will take any action pursuant to this Agreement or any of the other Loan Documents, which would constitute or result in a change in control of, or assignment of any FCC License of, any Principal Company requiring the prior approval of the FCC without first obtaining such prior approval of the FCC. After the occurrence of an Event of Default, each Principal Company shall take or cause to be taken any action which the Agent or the Collateral Trustee may reasonably request in order to obtain from the FCC such approval as may be necessary to enable the Agent or the Collateral Trustee to exercise and enjoy the full rights and benefits granted by this Agreement or any of the other Loan Documents, including, at the Principal Companies' cost and expense, the use of the Principal Companies' best efforts to assist in obtaining such approval for any action or transaction contemplated by this Agreement or any of the other Loan Documents for which such approval is required by law, including specifically, without limitation, upon request, to prepare, sign and file with the FCC the assignor's or transferor's portion of any application or applications for the consent to the assignment or transfer of control necessary or appropriate under the FCC's rules and approval of any of the transactions contemplated by this Agreement or any of the other Loan Documents.</w:t>
      </w:r>
    </w:p>
    <w:p>
      <w:pPr>
        <w:sectPr>
          <w:pgSz w:w="11900" w:h="16838" w:orient="portrait"/>
          <w:cols w:equalWidth="0" w:num="1">
            <w:col w:w="10239"/>
          </w:cols>
          <w:pgMar w:left="220" w:top="26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133</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125</w:t>
      </w:r>
    </w:p>
    <w:p>
      <w:pPr>
        <w:spacing w:after="0" w:line="140" w:lineRule="exact"/>
        <w:rPr>
          <w:sz w:val="20"/>
          <w:szCs w:val="20"/>
          <w:color w:val="auto"/>
        </w:rPr>
      </w:pPr>
    </w:p>
    <w:p>
      <w:pPr>
        <w:ind w:right="3239" w:firstLine="525"/>
        <w:spacing w:after="0" w:line="259" w:lineRule="auto"/>
        <w:rPr>
          <w:sz w:val="20"/>
          <w:szCs w:val="20"/>
          <w:color w:val="auto"/>
        </w:rPr>
      </w:pPr>
      <w:r>
        <w:rPr>
          <w:rFonts w:ascii="Courier New" w:cs="Courier New" w:eastAsia="Courier New" w:hAnsi="Courier New"/>
          <w:sz w:val="14"/>
          <w:szCs w:val="14"/>
          <w:color w:val="auto"/>
        </w:rPr>
        <w:t>Section 13.13. USURY PROVISION. It is not the intention of any parties to this Agreement to make an agreement in violation of the laws of any applicable jurisdiction relating to usury. Regardless of any provision of this Agreement, the Lenders shall never be entitled to receive, collect or apply, as interest on the Loans, any amount in excess of the maximum amount permitted by applicable law. If the Lenders ever receive, collect or apply, as interest, any such excess, such amount which would be excessive interest shall be deemed a partial repayment of principal and treated hereunder as such; and if principal is paid in full, any remaining excess shall be paid to the Borrower. In determining whether or not the interest paid or payable under any specific contingency exceeds the maximum amount permitted by applicable law, the Lenders shall, to the extent permitted under applicable laws, and solely for purposes of making such determination, (i) characterize any non-principal payment as an expense, fee or premium rather than as interest, (ii) exclude voluntary prepayments and the effect thereof, and (iii) amortize, prorate, allocate and spread in equal parts the total amount of interest throughout the entire contemplated term of this Agreement so that the interest rate is uniform throughout the entire term of this Agreement; PROVIDED, HOWEVER, that if the Loans are paid and performed in full prior to the end of the full contemplated term thereof, and if the interest received for the actual period of existence thereof exceeds the maximum amount permitted by applicable law, the Lenders shall refund to the Borrower the amount of such excess or credit the amount of such excess against the total principal amount of the Loans owing, and, in such event, the Lenders shall not be subject to any penalties provided by any laws for contracting for, charging or receiving interest in excess of the maximum amount permitted by applicable law. This Section 13.13 shall control every other provision of all agreements pertaining to the transactions contemplated by or contained in this Agreement.</w:t>
      </w:r>
    </w:p>
    <w:p>
      <w:pPr>
        <w:spacing w:after="0" w:line="88"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4"/>
          <w:szCs w:val="14"/>
          <w:color w:val="auto"/>
        </w:rPr>
        <w:t>Section 13.14. CERTAIN LIEN RELEASES. Upon the occurrence of any Permitted Sale or any other sale of Assets by the Borrower or any Restricted Subsidiary permitted by Section 9.3(a)(iii) or consented to by the Required Lenders, the Collateral Trustee's Liens on the Assets sold shall be automatically released. Notwithstanding the foregoing, the Collateral Trustee's Liens on the proceeds of any Assets sold shall continue in full force and effect. The Lenders hereby authorize the Collateral Trustee to execute and deliver such documents and to take such actions as may be appropriate to give effect to the foregoing.</w:t>
      </w:r>
    </w:p>
    <w:p>
      <w:pPr>
        <w:spacing w:after="0" w:line="7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Section 13.15. CONFIDENTIALITY. The Agent and each Lender shall hold all</w:t>
      </w:r>
    </w:p>
    <w:p>
      <w:pPr>
        <w:spacing w:after="0" w:line="36" w:lineRule="exact"/>
        <w:rPr>
          <w:sz w:val="20"/>
          <w:szCs w:val="20"/>
          <w:color w:val="auto"/>
        </w:rPr>
      </w:pPr>
    </w:p>
    <w:p>
      <w:pPr>
        <w:ind w:right="3239" w:firstLine="10"/>
        <w:spacing w:after="0" w:line="267" w:lineRule="auto"/>
        <w:tabs>
          <w:tab w:leader="none" w:pos="35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projections and financial statements which have not been delivered to the public, and (ii) all other non-public information which the Agent or such Lender has been informed is non-public or the Agent or such Lender believes is confidential and has been obtained pursuant to this Agreement, in accordance with the Agent's or such Lender's customary procedures for handling confidential information of such nature and in accordance with safe and sound banking practices, provided that in any event it is understood and agreed that the Agent and each Lender may make disclosure to its examiners, affiliates,</w:t>
      </w:r>
    </w:p>
    <w:p>
      <w:pPr>
        <w:sectPr>
          <w:pgSz w:w="11900" w:h="16838" w:orient="portrait"/>
          <w:cols w:equalWidth="0" w:num="1">
            <w:col w:w="10239"/>
          </w:cols>
          <w:pgMar w:left="220" w:top="26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134</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126</w:t>
      </w:r>
    </w:p>
    <w:p>
      <w:pPr>
        <w:spacing w:after="0" w:line="140"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outside auditors, counsel, and other professional advisors in connection with this Agreement or any other Loan Documents or as reasonably required by any BONA FIDE prospective Transferee or actual Transferee in connection with the contemplated transfer of any Commitment, Loan, Letter of Credit or Note or any participation therein (provided that such Transferee agrees to keep such information confidential) or as required or requested by any Governmental Authority or representative thereof or pursuant to legal process; provided, further, that in no event shall any Lender be obligated or required to return any materials furnished by the Borrower.</w:t>
      </w:r>
    </w:p>
    <w:p>
      <w:pPr>
        <w:spacing w:after="0" w:line="89"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Section 13.16. GOVERNING LAW; CONSENT TO JURISDICTION; WAIVER OF TRIAL BY</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JURY.</w:t>
      </w:r>
    </w:p>
    <w:p>
      <w:pPr>
        <w:spacing w:after="0" w:line="140" w:lineRule="exact"/>
        <w:rPr>
          <w:sz w:val="20"/>
          <w:szCs w:val="20"/>
          <w:color w:val="auto"/>
        </w:rPr>
      </w:pPr>
    </w:p>
    <w:p>
      <w:pPr>
        <w:ind w:right="3399" w:firstLine="534"/>
        <w:spacing w:after="0" w:line="264" w:lineRule="auto"/>
        <w:tabs>
          <w:tab w:leader="none" w:pos="875"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THE OTHER LOAN DOCUMENTS AND ALL OTHER DOCUMENTS AND INSTRUMENTS EXECUTED AND DELIVERED IN CONNECTION HEREWITH AND THEREWITH, SHALL BE GOVERNED BY, AND CONSTRUED AND INTERPRETED IN ACCORDANCE WITH, THE LAWS OF THE COMMONWEALTH OF MASSACHUSETTS (WITHOUT REFERENCE TO CONFLICTS OR CHOICE OF LAW).</w:t>
      </w:r>
    </w:p>
    <w:p>
      <w:pPr>
        <w:spacing w:after="0" w:line="74" w:lineRule="exact"/>
        <w:rPr>
          <w:rFonts w:ascii="Courier New" w:cs="Courier New" w:eastAsia="Courier New" w:hAnsi="Courier New"/>
          <w:sz w:val="15"/>
          <w:szCs w:val="15"/>
          <w:color w:val="auto"/>
        </w:rPr>
      </w:pPr>
    </w:p>
    <w:p>
      <w:pPr>
        <w:ind w:right="3239" w:firstLine="534"/>
        <w:spacing w:after="0" w:line="242" w:lineRule="auto"/>
        <w:tabs>
          <w:tab w:leader="none" w:pos="875"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COMPANIES IRREVOCABLY CONSENT THAT ANY LEGAL ACTION OR PROCEEDING AGAINST ANY OF THEM UNDER, ARISING OUT OF OR IN ANY MANNER RELATING TO THIS AGREEMENT, AND EACH OTHER LOAN DOCUMENT MAY BE BROUGHT IN ANY COURT OF THE COMMONWEALTH OF MASSACHUSETTS OR IN THE UNITED SATES DISTRICT COURT FOR MASSACHUSETTS. THE PRINCIPAL COMPANIES, BY THE EXECUTION AND DELIVERY OF THIS AGREEMENT, EXPRESSLY AND IRREVOCABLY ASSENT AND SUBMIT TO THE PERSONAL JURISDICTION OF ANY OF SUCH COURTS IN ANY SUCH ACTION OR PROCEEDING. THE PRINCIPAL COMPANIES FURTHER IRREVOCABLY CONSENT TO THE SERVICE OF ANY COMPLAINT, SUMMONS, NOTICE OR OTHER PROCESS RELATING TO ANY SUCH ACTION OR PROCEEDING BY DELIVERY THEREOF TO IT BY HAND OR BY MAIL IN THE MANNER PROVIDED FOR IN SECTION 13.7. THE PRINCIPAL COMPANIES HEREBY EXPRESSLY AND IRREVOCABLY WAIVE ANY CLAIM OR DEFENSE IN ANY SUCH ACTION OR PROCEEDING BASED ON ANY ALLEGED LACK OF PERSONAL JURISDICTION, IMPROPER VENUE OR FORUM NON CONVENIENS OR ANY SIMILAR BASIS. THE PRINCIPAL COMPANIES SHALL NOT BE ENTITLED IN ANY SUCH ACTION OR PROCEEDING TO ASSERT ANY DEFENSE GIVEN OR ALLOWED UNDER THE LAWS OF ANY STATE OTHER THAN THE COMMONWEALTH OF MASSACHUSETTS UNLESS SUCH DEFENSE IS ALSO GIVEN OR ALLOWED BY THE LAWS OF THE COMMONWEALTH OF MASSACHUSETTS. NOTHING IN THIS SECTION 13.15 SHALL AFFECT OR IMPAIR IN ANY MANNER OR TO ANY EXTENT THE RIGHT OF ANY LENDER TO COMMENCE LEGAL PROCEEDINGS OR OTHERWISE PROCEED AGAINST THE PRINCIPAL COMPANIES IN ANY JURISDICTION OR TO SERVE PROCESS IN ANY MANNER PERMITTED BY LAW.</w:t>
      </w:r>
    </w:p>
    <w:p>
      <w:pPr>
        <w:sectPr>
          <w:pgSz w:w="11900" w:h="16838" w:orient="portrait"/>
          <w:cols w:equalWidth="0" w:num="1">
            <w:col w:w="10239"/>
          </w:cols>
          <w:pgMar w:left="220" w:top="26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135</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127</w:t>
      </w:r>
    </w:p>
    <w:p>
      <w:pPr>
        <w:spacing w:after="0" w:line="166" w:lineRule="exact"/>
        <w:rPr>
          <w:sz w:val="20"/>
          <w:szCs w:val="20"/>
          <w:color w:val="auto"/>
        </w:rPr>
      </w:pPr>
    </w:p>
    <w:p>
      <w:pPr>
        <w:ind w:right="3239" w:firstLine="534"/>
        <w:spacing w:after="0" w:line="264" w:lineRule="auto"/>
        <w:tabs>
          <w:tab w:leader="none" w:pos="87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PRINCIPAL COMPANIES WAIVES TRIAL BY JURY IN ANY LITIGATION IN ANY COURT WITH RESPECT TO, IN CONNECTION WITH, OR ARISING OUT OF, THIS AGREEMENT, ANY OF THE OTHER LOAN DOCUMENTS, OR ANY INSTRUMENT OR DOCUMENT DELIVERED PURSUANT TO THIS AGREEMENT, OR THE VALIDITY, PROTECTION, INTERPRETATION, COLLECTION OR ENFORCEMENT THEREOF.</w:t>
      </w:r>
    </w:p>
    <w:p>
      <w:pPr>
        <w:spacing w:after="0" w:line="75" w:lineRule="exact"/>
        <w:rPr>
          <w:sz w:val="20"/>
          <w:szCs w:val="20"/>
          <w:color w:val="auto"/>
        </w:rPr>
      </w:pPr>
    </w:p>
    <w:p>
      <w:pPr>
        <w:jc w:val="both"/>
        <w:ind w:right="3579" w:firstLine="525"/>
        <w:spacing w:after="0" w:line="320" w:lineRule="auto"/>
        <w:rPr>
          <w:sz w:val="20"/>
          <w:szCs w:val="20"/>
          <w:color w:val="auto"/>
        </w:rPr>
      </w:pPr>
      <w:r>
        <w:rPr>
          <w:rFonts w:ascii="Courier New" w:cs="Courier New" w:eastAsia="Courier New" w:hAnsi="Courier New"/>
          <w:sz w:val="14"/>
          <w:szCs w:val="14"/>
          <w:color w:val="auto"/>
        </w:rPr>
        <w:t>Section 13.17. INTEGRATION OF SCHEDULES AND EXHIBITS. Annexed to this Agreement are the SCHEDULES and EXHIBITS. Such SCHEDULES and EXHIBITS are an integral part of this Agreement and are hereby incorporated by reference.</w:t>
      </w:r>
    </w:p>
    <w:p>
      <w:pPr>
        <w:sectPr>
          <w:pgSz w:w="11900" w:h="16838" w:orient="portrait"/>
          <w:cols w:equalWidth="0" w:num="1">
            <w:col w:w="10239"/>
          </w:cols>
          <w:pgMar w:left="220" w:top="26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136</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128</w:t>
      </w:r>
    </w:p>
    <w:p>
      <w:pPr>
        <w:spacing w:after="0" w:line="309" w:lineRule="exact"/>
        <w:rPr>
          <w:sz w:val="20"/>
          <w:szCs w:val="20"/>
          <w:color w:val="auto"/>
        </w:rPr>
      </w:pPr>
    </w:p>
    <w:p>
      <w:pPr>
        <w:ind w:right="3499" w:firstLine="525"/>
        <w:spacing w:after="0" w:line="344"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on the date first above written.</w:t>
      </w:r>
    </w:p>
    <w:p>
      <w:pPr>
        <w:spacing w:after="0" w:line="1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PRINCIPAL COMPANIES:</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SAGA COMMUNICATIONS, INC.</w:t>
      </w:r>
    </w:p>
    <w:p>
      <w:pPr>
        <w:spacing w:after="0" w:line="2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SAGA BROADCASTING CORP.</w:t>
      </w:r>
    </w:p>
    <w:p>
      <w:pPr>
        <w:ind w:left="2100"/>
        <w:spacing w:after="0" w:line="237" w:lineRule="auto"/>
        <w:rPr>
          <w:sz w:val="20"/>
          <w:szCs w:val="20"/>
          <w:color w:val="auto"/>
        </w:rPr>
      </w:pPr>
      <w:r>
        <w:rPr>
          <w:rFonts w:ascii="Courier New" w:cs="Courier New" w:eastAsia="Courier New" w:hAnsi="Courier New"/>
          <w:sz w:val="15"/>
          <w:szCs w:val="15"/>
          <w:color w:val="auto"/>
        </w:rPr>
        <w:t>FRANKLIN COMMUNICATIONS, INC.</w:t>
      </w:r>
    </w:p>
    <w:p>
      <w:pPr>
        <w:ind w:left="2100"/>
        <w:spacing w:after="0" w:line="238" w:lineRule="auto"/>
        <w:rPr>
          <w:sz w:val="20"/>
          <w:szCs w:val="20"/>
          <w:color w:val="auto"/>
        </w:rPr>
      </w:pPr>
      <w:r>
        <w:rPr>
          <w:rFonts w:ascii="Courier New" w:cs="Courier New" w:eastAsia="Courier New" w:hAnsi="Courier New"/>
          <w:sz w:val="15"/>
          <w:szCs w:val="15"/>
          <w:color w:val="auto"/>
        </w:rPr>
        <w:t>LAKEFRONT COMMUNICATIONS, INC.</w:t>
      </w:r>
    </w:p>
    <w:p>
      <w:pPr>
        <w:ind w:left="2100"/>
        <w:spacing w:after="0" w:line="237" w:lineRule="auto"/>
        <w:rPr>
          <w:sz w:val="20"/>
          <w:szCs w:val="20"/>
          <w:color w:val="auto"/>
        </w:rPr>
      </w:pPr>
      <w:r>
        <w:rPr>
          <w:rFonts w:ascii="Courier New" w:cs="Courier New" w:eastAsia="Courier New" w:hAnsi="Courier New"/>
          <w:sz w:val="15"/>
          <w:szCs w:val="15"/>
          <w:color w:val="auto"/>
        </w:rPr>
        <w:t>SAGA COMMUNICATIONS OF</w:t>
      </w:r>
    </w:p>
    <w:p>
      <w:pPr>
        <w:ind w:left="2380"/>
        <w:spacing w:after="0" w:line="238" w:lineRule="auto"/>
        <w:rPr>
          <w:sz w:val="20"/>
          <w:szCs w:val="20"/>
          <w:color w:val="auto"/>
        </w:rPr>
      </w:pPr>
      <w:r>
        <w:rPr>
          <w:rFonts w:ascii="Courier New" w:cs="Courier New" w:eastAsia="Courier New" w:hAnsi="Courier New"/>
          <w:sz w:val="15"/>
          <w:szCs w:val="15"/>
          <w:color w:val="auto"/>
        </w:rPr>
        <w:t>ILLINOIS, INC.</w:t>
      </w:r>
    </w:p>
    <w:p>
      <w:pPr>
        <w:ind w:left="2100"/>
        <w:spacing w:after="0" w:line="237" w:lineRule="auto"/>
        <w:rPr>
          <w:sz w:val="20"/>
          <w:szCs w:val="20"/>
          <w:color w:val="auto"/>
        </w:rPr>
      </w:pPr>
      <w:r>
        <w:rPr>
          <w:rFonts w:ascii="Courier New" w:cs="Courier New" w:eastAsia="Courier New" w:hAnsi="Courier New"/>
          <w:sz w:val="15"/>
          <w:szCs w:val="15"/>
          <w:color w:val="auto"/>
        </w:rPr>
        <w:t>SAGA COMMUNICATIONS OF IOWA, INC.</w:t>
      </w:r>
    </w:p>
    <w:p>
      <w:pPr>
        <w:ind w:left="2100"/>
        <w:spacing w:after="0" w:line="238" w:lineRule="auto"/>
        <w:rPr>
          <w:sz w:val="20"/>
          <w:szCs w:val="20"/>
          <w:color w:val="auto"/>
        </w:rPr>
      </w:pPr>
      <w:r>
        <w:rPr>
          <w:rFonts w:ascii="Courier New" w:cs="Courier New" w:eastAsia="Courier New" w:hAnsi="Courier New"/>
          <w:sz w:val="15"/>
          <w:szCs w:val="15"/>
          <w:color w:val="auto"/>
        </w:rPr>
        <w:t>SAGA COMMUNICATIONS OF IOWA REAL</w:t>
      </w:r>
    </w:p>
    <w:p>
      <w:pPr>
        <w:ind w:left="2380"/>
        <w:spacing w:after="0" w:line="237" w:lineRule="auto"/>
        <w:rPr>
          <w:sz w:val="20"/>
          <w:szCs w:val="20"/>
          <w:color w:val="auto"/>
        </w:rPr>
      </w:pPr>
      <w:r>
        <w:rPr>
          <w:rFonts w:ascii="Courier New" w:cs="Courier New" w:eastAsia="Courier New" w:hAnsi="Courier New"/>
          <w:sz w:val="15"/>
          <w:szCs w:val="15"/>
          <w:color w:val="auto"/>
        </w:rPr>
        <w:t>ESTATE, INC.</w:t>
      </w:r>
    </w:p>
    <w:p>
      <w:pPr>
        <w:ind w:left="2100"/>
        <w:spacing w:after="0" w:line="238" w:lineRule="auto"/>
        <w:rPr>
          <w:sz w:val="20"/>
          <w:szCs w:val="20"/>
          <w:color w:val="auto"/>
        </w:rPr>
      </w:pPr>
      <w:r>
        <w:rPr>
          <w:rFonts w:ascii="Courier New" w:cs="Courier New" w:eastAsia="Courier New" w:hAnsi="Courier New"/>
          <w:sz w:val="15"/>
          <w:szCs w:val="15"/>
          <w:color w:val="auto"/>
        </w:rPr>
        <w:t>TIDEWATER COMMUNICATIONS, INC.</w:t>
      </w:r>
    </w:p>
    <w:p>
      <w:pPr>
        <w:ind w:left="2100"/>
        <w:spacing w:after="0" w:line="238" w:lineRule="auto"/>
        <w:rPr>
          <w:sz w:val="20"/>
          <w:szCs w:val="20"/>
          <w:color w:val="auto"/>
        </w:rPr>
      </w:pPr>
      <w:r>
        <w:rPr>
          <w:rFonts w:ascii="Courier New" w:cs="Courier New" w:eastAsia="Courier New" w:hAnsi="Courier New"/>
          <w:sz w:val="15"/>
          <w:szCs w:val="15"/>
          <w:color w:val="auto"/>
        </w:rPr>
        <w:t>SAGA COMMUNICATIONS OF NEW</w:t>
      </w:r>
    </w:p>
    <w:p>
      <w:pPr>
        <w:ind w:left="2380"/>
        <w:spacing w:after="0" w:line="237" w:lineRule="auto"/>
        <w:tabs>
          <w:tab w:leader="none" w:pos="3220" w:val="left"/>
        </w:tabs>
        <w:rPr>
          <w:sz w:val="20"/>
          <w:szCs w:val="20"/>
          <w:color w:val="auto"/>
        </w:rPr>
      </w:pPr>
      <w:r>
        <w:rPr>
          <w:rFonts w:ascii="Courier New" w:cs="Courier New" w:eastAsia="Courier New" w:hAnsi="Courier New"/>
          <w:sz w:val="15"/>
          <w:szCs w:val="15"/>
          <w:color w:val="auto"/>
        </w:rPr>
        <w:t>ENGLAND,</w:t>
        <w:tab/>
        <w:t>INC.</w:t>
      </w:r>
    </w:p>
    <w:p>
      <w:pPr>
        <w:ind w:left="2100"/>
        <w:spacing w:after="0" w:line="238" w:lineRule="auto"/>
        <w:rPr>
          <w:sz w:val="20"/>
          <w:szCs w:val="20"/>
          <w:color w:val="auto"/>
        </w:rPr>
      </w:pPr>
      <w:r>
        <w:rPr>
          <w:rFonts w:ascii="Courier New" w:cs="Courier New" w:eastAsia="Courier New" w:hAnsi="Courier New"/>
          <w:sz w:val="15"/>
          <w:szCs w:val="15"/>
          <w:color w:val="auto"/>
        </w:rPr>
        <w:t>SAGA QUAD STATES COMMUNICATIONS,</w:t>
      </w:r>
    </w:p>
    <w:p>
      <w:pPr>
        <w:ind w:left="2380"/>
        <w:spacing w:after="0" w:line="237" w:lineRule="auto"/>
        <w:rPr>
          <w:sz w:val="20"/>
          <w:szCs w:val="20"/>
          <w:color w:val="auto"/>
        </w:rPr>
      </w:pPr>
      <w:r>
        <w:rPr>
          <w:rFonts w:ascii="Courier New" w:cs="Courier New" w:eastAsia="Courier New" w:hAnsi="Courier New"/>
          <w:sz w:val="15"/>
          <w:szCs w:val="15"/>
          <w:color w:val="auto"/>
        </w:rPr>
        <w:t>INC.</w:t>
      </w:r>
    </w:p>
    <w:p>
      <w:pPr>
        <w:ind w:left="2100"/>
        <w:spacing w:after="0" w:line="238" w:lineRule="auto"/>
        <w:rPr>
          <w:sz w:val="20"/>
          <w:szCs w:val="20"/>
          <w:color w:val="auto"/>
        </w:rPr>
      </w:pPr>
      <w:r>
        <w:rPr>
          <w:rFonts w:ascii="Courier New" w:cs="Courier New" w:eastAsia="Courier New" w:hAnsi="Courier New"/>
          <w:sz w:val="15"/>
          <w:szCs w:val="15"/>
          <w:color w:val="auto"/>
        </w:rPr>
        <w:t>SAGA COMMUNICATIONS OF MICHIGAN,</w:t>
      </w:r>
    </w:p>
    <w:p>
      <w:pPr>
        <w:ind w:left="2380"/>
        <w:spacing w:after="0" w:line="237" w:lineRule="auto"/>
        <w:rPr>
          <w:sz w:val="20"/>
          <w:szCs w:val="20"/>
          <w:color w:val="auto"/>
        </w:rPr>
      </w:pPr>
      <w:r>
        <w:rPr>
          <w:rFonts w:ascii="Courier New" w:cs="Courier New" w:eastAsia="Courier New" w:hAnsi="Courier New"/>
          <w:sz w:val="15"/>
          <w:szCs w:val="15"/>
          <w:color w:val="auto"/>
        </w:rPr>
        <w:t>INC.</w:t>
      </w:r>
    </w:p>
    <w:p>
      <w:pPr>
        <w:spacing w:after="0" w:line="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HARBISH CORP.</w:t>
      </w:r>
    </w:p>
    <w:p>
      <w:pPr>
        <w:spacing w:after="0" w:line="1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w:t>
      </w:r>
    </w:p>
    <w:p>
      <w:pPr>
        <w:spacing w:after="0" w:line="2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640"/>
        <w:spacing w:after="0" w:line="237" w:lineRule="auto"/>
        <w:rPr>
          <w:sz w:val="20"/>
          <w:szCs w:val="20"/>
          <w:color w:val="auto"/>
        </w:rPr>
      </w:pPr>
      <w:r>
        <w:rPr>
          <w:rFonts w:ascii="Courier New" w:cs="Courier New" w:eastAsia="Courier New" w:hAnsi="Courier New"/>
          <w:sz w:val="15"/>
          <w:szCs w:val="15"/>
          <w:color w:val="auto"/>
        </w:rPr>
        <w:t>Name:</w:t>
      </w:r>
    </w:p>
    <w:p>
      <w:pPr>
        <w:ind w:left="26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61" w:right="1440" w:bottom="1440" w:gutter="0" w:footer="0" w:header="0"/>
        </w:sectPr>
      </w:pPr>
    </w:p>
    <w:bookmarkStart w:id="196" w:name="page197"/>
    <w:bookmarkEnd w:id="196"/>
    <w:p>
      <w:pPr>
        <w:spacing w:after="0"/>
        <w:rPr>
          <w:sz w:val="20"/>
          <w:szCs w:val="20"/>
          <w:color w:val="auto"/>
        </w:rPr>
      </w:pPr>
      <w:r>
        <w:rPr>
          <w:rFonts w:ascii="Courier New" w:cs="Courier New" w:eastAsia="Courier New" w:hAnsi="Courier New"/>
          <w:sz w:val="15"/>
          <w:szCs w:val="15"/>
          <w:color w:val="auto"/>
        </w:rPr>
        <w:t>137</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AGENT:</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BANKBOSTON, N.A.</w:t>
      </w:r>
    </w:p>
    <w:p>
      <w:pPr>
        <w:spacing w:after="0" w:line="16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Lisa M. Pellow, Director</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BankBoston, N.A.</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100 Federal Street</w:t>
      </w:r>
    </w:p>
    <w:p>
      <w:pPr>
        <w:ind w:left="1820"/>
        <w:spacing w:after="0"/>
        <w:tabs>
          <w:tab w:leader="none" w:pos="286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02110</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BankBoston, N.A.</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100 Federal Street</w:t>
      </w:r>
    </w:p>
    <w:p>
      <w:pPr>
        <w:ind w:left="1820"/>
        <w:spacing w:after="0" w:line="237" w:lineRule="auto"/>
        <w:rPr>
          <w:sz w:val="20"/>
          <w:szCs w:val="20"/>
          <w:color w:val="auto"/>
        </w:rPr>
      </w:pPr>
      <w:r>
        <w:rPr>
          <w:rFonts w:ascii="Courier New" w:cs="Courier New" w:eastAsia="Courier New" w:hAnsi="Courier New"/>
          <w:sz w:val="15"/>
          <w:szCs w:val="15"/>
          <w:color w:val="auto"/>
        </w:rPr>
        <w:t>Media &amp; Communications (01-08-08)</w:t>
      </w:r>
    </w:p>
    <w:p>
      <w:pPr>
        <w:ind w:left="1820"/>
        <w:spacing w:after="0" w:line="238" w:lineRule="auto"/>
        <w:rPr>
          <w:sz w:val="20"/>
          <w:szCs w:val="20"/>
          <w:color w:val="auto"/>
        </w:rPr>
      </w:pPr>
      <w:r>
        <w:rPr>
          <w:rFonts w:ascii="Courier New" w:cs="Courier New" w:eastAsia="Courier New" w:hAnsi="Courier New"/>
          <w:sz w:val="15"/>
          <w:szCs w:val="15"/>
          <w:color w:val="auto"/>
        </w:rPr>
        <w:t>Boston, Massachusetts 02110</w:t>
      </w:r>
    </w:p>
    <w:p>
      <w:pPr>
        <w:ind w:left="1820"/>
        <w:spacing w:after="0" w:line="237" w:lineRule="auto"/>
        <w:rPr>
          <w:sz w:val="20"/>
          <w:szCs w:val="20"/>
          <w:color w:val="auto"/>
        </w:rPr>
      </w:pPr>
      <w:r>
        <w:rPr>
          <w:rFonts w:ascii="Courier New" w:cs="Courier New" w:eastAsia="Courier New" w:hAnsi="Courier New"/>
          <w:sz w:val="15"/>
          <w:szCs w:val="15"/>
          <w:color w:val="auto"/>
        </w:rPr>
        <w:t>Attention: Ms. Lisa M. Pellow</w:t>
      </w:r>
    </w:p>
    <w:p>
      <w:pPr>
        <w:spacing w:after="0" w:line="1"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Telecopier: (617) 434-3401</w:t>
      </w:r>
    </w:p>
    <w:p>
      <w:pPr>
        <w:sectPr>
          <w:pgSz w:w="11900" w:h="16838" w:orient="portrait"/>
          <w:cols w:equalWidth="0" w:num="1">
            <w:col w:w="9959"/>
          </w:cols>
          <w:pgMar w:left="500" w:top="261"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5"/>
          <w:szCs w:val="15"/>
          <w:color w:val="auto"/>
        </w:rPr>
        <w:t>138</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130</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CO-AGENTS:</w:t>
      </w: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New York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One Wall Street, 16th Floor</w:t>
      </w:r>
    </w:p>
    <w:p>
      <w:pPr>
        <w:ind w:left="1820"/>
        <w:spacing w:after="0"/>
        <w:tabs>
          <w:tab w:leader="none" w:pos="304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10286</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New York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One Wall Street, 16th Floor</w:t>
      </w:r>
    </w:p>
    <w:p>
      <w:pPr>
        <w:ind w:left="1820"/>
        <w:spacing w:after="0" w:line="237" w:lineRule="auto"/>
        <w:rPr>
          <w:sz w:val="20"/>
          <w:szCs w:val="20"/>
          <w:color w:val="auto"/>
        </w:rPr>
      </w:pPr>
      <w:r>
        <w:rPr>
          <w:rFonts w:ascii="Courier New" w:cs="Courier New" w:eastAsia="Courier New" w:hAnsi="Courier New"/>
          <w:sz w:val="15"/>
          <w:szCs w:val="15"/>
          <w:color w:val="auto"/>
        </w:rPr>
        <w:t>New York, NY 10286</w:t>
      </w:r>
    </w:p>
    <w:p>
      <w:pPr>
        <w:ind w:left="1820"/>
        <w:spacing w:after="0" w:line="238" w:lineRule="auto"/>
        <w:rPr>
          <w:sz w:val="20"/>
          <w:szCs w:val="20"/>
          <w:color w:val="auto"/>
        </w:rPr>
      </w:pPr>
      <w:r>
        <w:rPr>
          <w:rFonts w:ascii="Courier New" w:cs="Courier New" w:eastAsia="Courier New" w:hAnsi="Courier New"/>
          <w:sz w:val="15"/>
          <w:szCs w:val="15"/>
          <w:color w:val="auto"/>
        </w:rPr>
        <w:t>Attention: Mr. Vince Pacilio</w:t>
      </w:r>
    </w:p>
    <w:p>
      <w:pPr>
        <w:ind w:left="1820"/>
        <w:spacing w:after="0"/>
        <w:rPr>
          <w:sz w:val="20"/>
          <w:szCs w:val="20"/>
          <w:color w:val="auto"/>
        </w:rPr>
      </w:pPr>
      <w:r>
        <w:rPr>
          <w:rFonts w:ascii="Courier New" w:cs="Courier New" w:eastAsia="Courier New" w:hAnsi="Courier New"/>
          <w:sz w:val="15"/>
          <w:szCs w:val="15"/>
          <w:color w:val="auto"/>
        </w:rPr>
        <w:t>Telecopier: 212-635-8593</w:t>
      </w:r>
    </w:p>
    <w:p>
      <w:pPr>
        <w:sectPr>
          <w:pgSz w:w="11900" w:h="16838" w:orient="portrait"/>
          <w:cols w:equalWidth="0" w:num="1">
            <w:col w:w="9959"/>
          </w:cols>
          <w:pgMar w:left="500" w:top="261"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5"/>
          <w:szCs w:val="15"/>
          <w:color w:val="auto"/>
        </w:rPr>
        <w:t>139</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131</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FLEET BANK, N.A.</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Fleet Bank</w:t>
      </w:r>
    </w:p>
    <w:p>
      <w:pPr>
        <w:spacing w:after="0" w:line="166"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1185 Avenue of the Americas, 16th Floor</w:t>
      </w:r>
    </w:p>
    <w:p>
      <w:pPr>
        <w:spacing w:after="0" w:line="3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 York, NY 10036</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Fleet Bank</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1185 Avenue of the Americas, 16th Floor</w:t>
      </w:r>
    </w:p>
    <w:p>
      <w:pPr>
        <w:spacing w:after="0" w:line="8" w:lineRule="exact"/>
        <w:rPr>
          <w:sz w:val="20"/>
          <w:szCs w:val="20"/>
          <w:color w:val="auto"/>
        </w:rPr>
      </w:pPr>
    </w:p>
    <w:p>
      <w:pPr>
        <w:ind w:left="1820"/>
        <w:spacing w:after="0"/>
        <w:tabs>
          <w:tab w:leader="none" w:pos="304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10036</w:t>
      </w:r>
    </w:p>
    <w:p>
      <w:pPr>
        <w:ind w:left="1820"/>
        <w:spacing w:after="0" w:line="237" w:lineRule="auto"/>
        <w:rPr>
          <w:sz w:val="20"/>
          <w:szCs w:val="20"/>
          <w:color w:val="auto"/>
        </w:rPr>
      </w:pPr>
      <w:r>
        <w:rPr>
          <w:rFonts w:ascii="Courier New" w:cs="Courier New" w:eastAsia="Courier New" w:hAnsi="Courier New"/>
          <w:sz w:val="15"/>
          <w:szCs w:val="15"/>
          <w:color w:val="auto"/>
        </w:rPr>
        <w:t>Attention: Mr. Russ Lopinto</w:t>
      </w:r>
    </w:p>
    <w:p>
      <w:pPr>
        <w:ind w:left="1820"/>
        <w:spacing w:after="0"/>
        <w:rPr>
          <w:sz w:val="20"/>
          <w:szCs w:val="20"/>
          <w:color w:val="auto"/>
        </w:rPr>
      </w:pPr>
      <w:r>
        <w:rPr>
          <w:rFonts w:ascii="Courier New" w:cs="Courier New" w:eastAsia="Courier New" w:hAnsi="Courier New"/>
          <w:sz w:val="15"/>
          <w:szCs w:val="15"/>
          <w:color w:val="auto"/>
        </w:rPr>
        <w:t>Telecopier: 212-819-6202</w:t>
      </w:r>
    </w:p>
    <w:p>
      <w:pPr>
        <w:sectPr>
          <w:pgSz w:w="11900" w:h="16838" w:orient="portrait"/>
          <w:cols w:equalWidth="0" w:num="1">
            <w:col w:w="9959"/>
          </w:cols>
          <w:pgMar w:left="500" w:top="261"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5"/>
          <w:szCs w:val="15"/>
          <w:color w:val="auto"/>
        </w:rPr>
        <w:t>140</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132</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SUMMIT BANK</w:t>
      </w:r>
    </w:p>
    <w:p>
      <w:pPr>
        <w:spacing w:after="0" w:line="16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Summit Bank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301 Carnegie Center</w:t>
      </w:r>
    </w:p>
    <w:p>
      <w:pPr>
        <w:ind w:left="1820"/>
        <w:spacing w:after="0"/>
        <w:tabs>
          <w:tab w:leader="none" w:pos="3120" w:val="left"/>
        </w:tabs>
        <w:rPr>
          <w:sz w:val="20"/>
          <w:szCs w:val="20"/>
          <w:color w:val="auto"/>
        </w:rPr>
      </w:pPr>
      <w:r>
        <w:rPr>
          <w:rFonts w:ascii="Courier New" w:cs="Courier New" w:eastAsia="Courier New" w:hAnsi="Courier New"/>
          <w:sz w:val="15"/>
          <w:szCs w:val="15"/>
          <w:color w:val="auto"/>
        </w:rPr>
        <w:t>Princeton, NJ</w:t>
      </w:r>
      <w:r>
        <w:rPr>
          <w:sz w:val="20"/>
          <w:szCs w:val="20"/>
          <w:color w:val="auto"/>
        </w:rPr>
        <w:tab/>
      </w:r>
      <w:r>
        <w:rPr>
          <w:rFonts w:ascii="Courier New" w:cs="Courier New" w:eastAsia="Courier New" w:hAnsi="Courier New"/>
          <w:sz w:val="14"/>
          <w:szCs w:val="14"/>
          <w:color w:val="auto"/>
        </w:rPr>
        <w:t>08543</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Summit Bank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301 Carnegie Center</w:t>
      </w:r>
    </w:p>
    <w:p>
      <w:pPr>
        <w:ind w:left="1820"/>
        <w:spacing w:after="0"/>
        <w:tabs>
          <w:tab w:leader="none" w:pos="3120" w:val="left"/>
        </w:tabs>
        <w:rPr>
          <w:sz w:val="20"/>
          <w:szCs w:val="20"/>
          <w:color w:val="auto"/>
        </w:rPr>
      </w:pPr>
      <w:r>
        <w:rPr>
          <w:rFonts w:ascii="Courier New" w:cs="Courier New" w:eastAsia="Courier New" w:hAnsi="Courier New"/>
          <w:sz w:val="15"/>
          <w:szCs w:val="15"/>
          <w:color w:val="auto"/>
        </w:rPr>
        <w:t>Princeton, NJ</w:t>
      </w:r>
      <w:r>
        <w:rPr>
          <w:sz w:val="20"/>
          <w:szCs w:val="20"/>
          <w:color w:val="auto"/>
        </w:rPr>
        <w:tab/>
      </w:r>
      <w:r>
        <w:rPr>
          <w:rFonts w:ascii="Courier New" w:cs="Courier New" w:eastAsia="Courier New" w:hAnsi="Courier New"/>
          <w:sz w:val="14"/>
          <w:szCs w:val="14"/>
          <w:color w:val="auto"/>
        </w:rPr>
        <w:t>08543</w:t>
      </w:r>
    </w:p>
    <w:p>
      <w:pPr>
        <w:ind w:left="1820"/>
        <w:spacing w:after="0" w:line="238" w:lineRule="auto"/>
        <w:rPr>
          <w:sz w:val="20"/>
          <w:szCs w:val="20"/>
          <w:color w:val="auto"/>
        </w:rPr>
      </w:pPr>
      <w:r>
        <w:rPr>
          <w:rFonts w:ascii="Courier New" w:cs="Courier New" w:eastAsia="Courier New" w:hAnsi="Courier New"/>
          <w:sz w:val="15"/>
          <w:szCs w:val="15"/>
          <w:color w:val="auto"/>
        </w:rPr>
        <w:t>Attention: Ms. Kathy O'Brien</w:t>
      </w:r>
    </w:p>
    <w:p>
      <w:pPr>
        <w:ind w:left="1820"/>
        <w:spacing w:after="0"/>
        <w:rPr>
          <w:sz w:val="20"/>
          <w:szCs w:val="20"/>
          <w:color w:val="auto"/>
        </w:rPr>
      </w:pPr>
      <w:r>
        <w:rPr>
          <w:rFonts w:ascii="Courier New" w:cs="Courier New" w:eastAsia="Courier New" w:hAnsi="Courier New"/>
          <w:sz w:val="15"/>
          <w:szCs w:val="15"/>
          <w:color w:val="auto"/>
        </w:rPr>
        <w:t>Telecopier: 609-734-9125</w:t>
      </w:r>
    </w:p>
    <w:p>
      <w:pPr>
        <w:sectPr>
          <w:pgSz w:w="11900" w:h="16838" w:orient="portrait"/>
          <w:cols w:equalWidth="0" w:num="1">
            <w:col w:w="9959"/>
          </w:cols>
          <w:pgMar w:left="500" w:top="261" w:right="1440" w:bottom="1440" w:gutter="0" w:footer="0" w:header="0"/>
        </w:sectPr>
      </w:pPr>
    </w:p>
    <w:bookmarkStart w:id="200" w:name="page201"/>
    <w:bookmarkEnd w:id="200"/>
    <w:p>
      <w:pPr>
        <w:spacing w:after="0"/>
        <w:rPr>
          <w:sz w:val="20"/>
          <w:szCs w:val="20"/>
          <w:color w:val="auto"/>
        </w:rPr>
      </w:pPr>
      <w:r>
        <w:rPr>
          <w:rFonts w:ascii="Courier New" w:cs="Courier New" w:eastAsia="Courier New" w:hAnsi="Courier New"/>
          <w:sz w:val="15"/>
          <w:szCs w:val="15"/>
          <w:color w:val="auto"/>
        </w:rPr>
        <w:t>141</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133</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ARRANGER:</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BANCBOSTON ROBERTSON STEPHENS INC..</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BancBoston Robertson Stephens Inc.</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100 Federal Street</w:t>
      </w:r>
    </w:p>
    <w:p>
      <w:pPr>
        <w:ind w:left="1820"/>
        <w:spacing w:after="0"/>
        <w:tabs>
          <w:tab w:leader="none" w:pos="286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02110</w:t>
      </w:r>
    </w:p>
    <w:p>
      <w:pPr>
        <w:ind w:left="1820"/>
        <w:spacing w:after="0" w:line="238" w:lineRule="auto"/>
        <w:rPr>
          <w:sz w:val="20"/>
          <w:szCs w:val="20"/>
          <w:color w:val="auto"/>
        </w:rPr>
      </w:pPr>
      <w:r>
        <w:rPr>
          <w:rFonts w:ascii="Courier New" w:cs="Courier New" w:eastAsia="Courier New" w:hAnsi="Courier New"/>
          <w:sz w:val="15"/>
          <w:szCs w:val="15"/>
          <w:color w:val="auto"/>
        </w:rPr>
        <w:t>Attention: John R. Barlow, III, Director</w:t>
      </w:r>
    </w:p>
    <w:p>
      <w:pPr>
        <w:ind w:left="1820"/>
        <w:spacing w:after="0"/>
        <w:rPr>
          <w:sz w:val="20"/>
          <w:szCs w:val="20"/>
          <w:color w:val="auto"/>
        </w:rPr>
      </w:pPr>
      <w:r>
        <w:rPr>
          <w:rFonts w:ascii="Courier New" w:cs="Courier New" w:eastAsia="Courier New" w:hAnsi="Courier New"/>
          <w:sz w:val="14"/>
          <w:szCs w:val="14"/>
          <w:color w:val="auto"/>
        </w:rPr>
        <w:t>Distribution - SEC20 (01-09-02) Telecopier:</w:t>
      </w:r>
    </w:p>
    <w:p>
      <w:pPr>
        <w:spacing w:after="0" w:line="15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LENDERS: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BANKBOSTON, N.A.</w:t>
      </w:r>
    </w:p>
    <w:p>
      <w:pPr>
        <w:spacing w:after="0" w:line="16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BankBoston, N.A.</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100 Federal Street</w:t>
      </w:r>
    </w:p>
    <w:p>
      <w:pPr>
        <w:ind w:left="1820"/>
        <w:spacing w:after="0" w:line="237" w:lineRule="auto"/>
        <w:rPr>
          <w:sz w:val="20"/>
          <w:szCs w:val="20"/>
          <w:color w:val="auto"/>
        </w:rPr>
      </w:pPr>
      <w:r>
        <w:rPr>
          <w:rFonts w:ascii="Courier New" w:cs="Courier New" w:eastAsia="Courier New" w:hAnsi="Courier New"/>
          <w:sz w:val="15"/>
          <w:szCs w:val="15"/>
          <w:color w:val="auto"/>
        </w:rPr>
        <w:t>Boston, Massachusetts 02110</w:t>
      </w:r>
    </w:p>
    <w:p>
      <w:pPr>
        <w:ind w:left="1820"/>
        <w:spacing w:after="0" w:line="238" w:lineRule="auto"/>
        <w:rPr>
          <w:sz w:val="20"/>
          <w:szCs w:val="20"/>
          <w:color w:val="auto"/>
        </w:rPr>
      </w:pPr>
      <w:r>
        <w:rPr>
          <w:rFonts w:ascii="Courier New" w:cs="Courier New" w:eastAsia="Courier New" w:hAnsi="Courier New"/>
          <w:sz w:val="15"/>
          <w:szCs w:val="15"/>
          <w:color w:val="auto"/>
        </w:rPr>
        <w:t>Attention: Ms Lisa M. Pellow</w:t>
      </w:r>
    </w:p>
    <w:p>
      <w:pPr>
        <w:ind w:left="1820"/>
        <w:spacing w:after="0" w:line="237" w:lineRule="auto"/>
        <w:rPr>
          <w:sz w:val="20"/>
          <w:szCs w:val="20"/>
          <w:color w:val="auto"/>
        </w:rPr>
      </w:pPr>
      <w:r>
        <w:rPr>
          <w:rFonts w:ascii="Courier New" w:cs="Courier New" w:eastAsia="Courier New" w:hAnsi="Courier New"/>
          <w:sz w:val="15"/>
          <w:szCs w:val="15"/>
          <w:color w:val="auto"/>
        </w:rPr>
        <w:t>Media &amp; Communications (01-08-08)</w:t>
      </w:r>
    </w:p>
    <w:p>
      <w:pPr>
        <w:spacing w:after="0" w:line="1"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Telecopier: (617) 434-3401</w:t>
      </w:r>
    </w:p>
    <w:p>
      <w:pPr>
        <w:sectPr>
          <w:pgSz w:w="11900" w:h="16838" w:orient="portrait"/>
          <w:cols w:equalWidth="0" w:num="1">
            <w:col w:w="9959"/>
          </w:cols>
          <w:pgMar w:left="500" w:top="261"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5"/>
          <w:szCs w:val="15"/>
          <w:color w:val="auto"/>
        </w:rPr>
        <w:t>142</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134</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New York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One Wall Street, 16th Floor</w:t>
      </w:r>
    </w:p>
    <w:p>
      <w:pPr>
        <w:ind w:left="1820"/>
        <w:spacing w:after="0"/>
        <w:tabs>
          <w:tab w:leader="none" w:pos="304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10286</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New York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One Wall Street, 16th Floor</w:t>
      </w:r>
    </w:p>
    <w:p>
      <w:pPr>
        <w:ind w:left="1820"/>
        <w:spacing w:after="0" w:line="237" w:lineRule="auto"/>
        <w:rPr>
          <w:sz w:val="20"/>
          <w:szCs w:val="20"/>
          <w:color w:val="auto"/>
        </w:rPr>
      </w:pPr>
      <w:r>
        <w:rPr>
          <w:rFonts w:ascii="Courier New" w:cs="Courier New" w:eastAsia="Courier New" w:hAnsi="Courier New"/>
          <w:sz w:val="15"/>
          <w:szCs w:val="15"/>
          <w:color w:val="auto"/>
        </w:rPr>
        <w:t>New York, NY 10286</w:t>
      </w:r>
    </w:p>
    <w:p>
      <w:pPr>
        <w:ind w:left="1820"/>
        <w:spacing w:after="0" w:line="238" w:lineRule="auto"/>
        <w:rPr>
          <w:sz w:val="20"/>
          <w:szCs w:val="20"/>
          <w:color w:val="auto"/>
        </w:rPr>
      </w:pPr>
      <w:r>
        <w:rPr>
          <w:rFonts w:ascii="Courier New" w:cs="Courier New" w:eastAsia="Courier New" w:hAnsi="Courier New"/>
          <w:sz w:val="15"/>
          <w:szCs w:val="15"/>
          <w:color w:val="auto"/>
        </w:rPr>
        <w:t>Attention: Mr. Vince Pacilio</w:t>
      </w:r>
    </w:p>
    <w:p>
      <w:pPr>
        <w:ind w:left="1820"/>
        <w:spacing w:after="0"/>
        <w:rPr>
          <w:sz w:val="20"/>
          <w:szCs w:val="20"/>
          <w:color w:val="auto"/>
        </w:rPr>
      </w:pPr>
      <w:r>
        <w:rPr>
          <w:rFonts w:ascii="Courier New" w:cs="Courier New" w:eastAsia="Courier New" w:hAnsi="Courier New"/>
          <w:sz w:val="15"/>
          <w:szCs w:val="15"/>
          <w:color w:val="auto"/>
        </w:rPr>
        <w:t>Telecopier: 212-635-8593</w:t>
      </w:r>
    </w:p>
    <w:p>
      <w:pPr>
        <w:sectPr>
          <w:pgSz w:w="11900" w:h="16838" w:orient="portrait"/>
          <w:cols w:equalWidth="0" w:num="1">
            <w:col w:w="9959"/>
          </w:cols>
          <w:pgMar w:left="500" w:top="261"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143</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136</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FLEET BANK, N.A.</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Fleet Bank</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1185 Avenue of the Americas, 16th Floor</w:t>
      </w:r>
    </w:p>
    <w:p>
      <w:pPr>
        <w:spacing w:after="0" w:line="1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 York, NY 10036</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Fleet Bank</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1185 Avenue of the Americas, 16th Floor</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 York, NY 10036</w:t>
      </w:r>
    </w:p>
    <w:p>
      <w:pPr>
        <w:ind w:left="1820"/>
        <w:spacing w:after="0" w:line="237" w:lineRule="auto"/>
        <w:rPr>
          <w:sz w:val="20"/>
          <w:szCs w:val="20"/>
          <w:color w:val="auto"/>
        </w:rPr>
      </w:pPr>
      <w:r>
        <w:rPr>
          <w:rFonts w:ascii="Courier New" w:cs="Courier New" w:eastAsia="Courier New" w:hAnsi="Courier New"/>
          <w:sz w:val="15"/>
          <w:szCs w:val="15"/>
          <w:color w:val="auto"/>
        </w:rPr>
        <w:t>Attention: Mr. Russ Lopinto</w:t>
      </w:r>
    </w:p>
    <w:p>
      <w:pPr>
        <w:ind w:left="1820"/>
        <w:spacing w:after="0"/>
        <w:rPr>
          <w:sz w:val="20"/>
          <w:szCs w:val="20"/>
          <w:color w:val="auto"/>
        </w:rPr>
      </w:pPr>
      <w:r>
        <w:rPr>
          <w:rFonts w:ascii="Courier New" w:cs="Courier New" w:eastAsia="Courier New" w:hAnsi="Courier New"/>
          <w:sz w:val="15"/>
          <w:szCs w:val="15"/>
          <w:color w:val="auto"/>
        </w:rPr>
        <w:t>Telecopier: 212-819-6202</w:t>
      </w:r>
    </w:p>
    <w:p>
      <w:pPr>
        <w:sectPr>
          <w:pgSz w:w="11900" w:h="16838" w:orient="portrait"/>
          <w:cols w:equalWidth="0" w:num="1">
            <w:col w:w="9959"/>
          </w:cols>
          <w:pgMar w:left="500" w:top="261"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5"/>
          <w:szCs w:val="15"/>
          <w:color w:val="auto"/>
        </w:rPr>
        <w:t>144</w:t>
      </w:r>
    </w:p>
    <w:p>
      <w:pPr>
        <w:spacing w:after="0" w:line="24"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136</w:t>
      </w:r>
    </w:p>
    <w:p>
      <w:pPr>
        <w:spacing w:after="0" w:line="14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UNION BANK OF CALIFORNIA, N.A.</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Union Bank of California, N.A.</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445 South Figueroa Street</w:t>
      </w:r>
    </w:p>
    <w:p>
      <w:pPr>
        <w:ind w:left="1820"/>
        <w:spacing w:after="0"/>
        <w:rPr>
          <w:sz w:val="20"/>
          <w:szCs w:val="20"/>
          <w:color w:val="auto"/>
        </w:rPr>
      </w:pPr>
      <w:r>
        <w:rPr>
          <w:rFonts w:ascii="Courier New" w:cs="Courier New" w:eastAsia="Courier New" w:hAnsi="Courier New"/>
          <w:sz w:val="15"/>
          <w:szCs w:val="15"/>
          <w:color w:val="auto"/>
        </w:rPr>
        <w:t>G 15-075 Los Angeles, CA 90071</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all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Union Bank of California, N.A.</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445 South Figueroa Street</w:t>
      </w:r>
    </w:p>
    <w:p>
      <w:pPr>
        <w:ind w:left="1820"/>
        <w:spacing w:after="0" w:line="237" w:lineRule="auto"/>
        <w:rPr>
          <w:sz w:val="20"/>
          <w:szCs w:val="20"/>
          <w:color w:val="auto"/>
        </w:rPr>
      </w:pPr>
      <w:r>
        <w:rPr>
          <w:rFonts w:ascii="Courier New" w:cs="Courier New" w:eastAsia="Courier New" w:hAnsi="Courier New"/>
          <w:sz w:val="15"/>
          <w:szCs w:val="15"/>
          <w:color w:val="auto"/>
        </w:rPr>
        <w:t>G 15-075</w:t>
      </w:r>
    </w:p>
    <w:p>
      <w:pPr>
        <w:ind w:left="1820"/>
        <w:spacing w:after="0" w:line="238" w:lineRule="auto"/>
        <w:rPr>
          <w:sz w:val="20"/>
          <w:szCs w:val="20"/>
          <w:color w:val="auto"/>
        </w:rPr>
      </w:pPr>
      <w:r>
        <w:rPr>
          <w:rFonts w:ascii="Courier New" w:cs="Courier New" w:eastAsia="Courier New" w:hAnsi="Courier New"/>
          <w:sz w:val="15"/>
          <w:szCs w:val="15"/>
          <w:color w:val="auto"/>
        </w:rPr>
        <w:t>Los Angeles, CA 90071</w:t>
      </w:r>
    </w:p>
    <w:p>
      <w:pPr>
        <w:ind w:left="1820"/>
        <w:spacing w:after="0" w:line="237" w:lineRule="auto"/>
        <w:rPr>
          <w:sz w:val="20"/>
          <w:szCs w:val="20"/>
          <w:color w:val="auto"/>
        </w:rPr>
      </w:pPr>
      <w:r>
        <w:rPr>
          <w:rFonts w:ascii="Courier New" w:cs="Courier New" w:eastAsia="Courier New" w:hAnsi="Courier New"/>
          <w:sz w:val="15"/>
          <w:szCs w:val="15"/>
          <w:color w:val="auto"/>
        </w:rPr>
        <w:t>Attention: Ms. Lena Bryant</w:t>
      </w:r>
    </w:p>
    <w:p>
      <w:pPr>
        <w:spacing w:after="0" w:line="1"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Telecopier: 213-236-5747</w:t>
      </w:r>
    </w:p>
    <w:p>
      <w:pPr>
        <w:sectPr>
          <w:pgSz w:w="11900" w:h="16838" w:orient="portrait"/>
          <w:cols w:equalWidth="0" w:num="1">
            <w:col w:w="9959"/>
          </w:cols>
          <w:pgMar w:left="500" w:top="261"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145</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137</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ONE, INDIANA, N.A.</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One, Indiana, N.A.</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111 Monument Circle</w:t>
      </w:r>
    </w:p>
    <w:p>
      <w:pPr>
        <w:ind w:left="1820"/>
        <w:spacing w:after="0"/>
        <w:rPr>
          <w:sz w:val="20"/>
          <w:szCs w:val="20"/>
          <w:color w:val="auto"/>
        </w:rPr>
      </w:pPr>
      <w:r>
        <w:rPr>
          <w:rFonts w:ascii="Courier New" w:cs="Courier New" w:eastAsia="Courier New" w:hAnsi="Courier New"/>
          <w:sz w:val="15"/>
          <w:szCs w:val="15"/>
          <w:color w:val="auto"/>
        </w:rPr>
        <w:t>Indianapolis, IN 46277</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One, Indiana, N.A.</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111 Monument Circle</w:t>
      </w:r>
    </w:p>
    <w:p>
      <w:pPr>
        <w:ind w:left="1820"/>
        <w:spacing w:after="0" w:line="237" w:lineRule="auto"/>
        <w:rPr>
          <w:sz w:val="20"/>
          <w:szCs w:val="20"/>
          <w:color w:val="auto"/>
        </w:rPr>
      </w:pPr>
      <w:r>
        <w:rPr>
          <w:rFonts w:ascii="Courier New" w:cs="Courier New" w:eastAsia="Courier New" w:hAnsi="Courier New"/>
          <w:sz w:val="15"/>
          <w:szCs w:val="15"/>
          <w:color w:val="auto"/>
        </w:rPr>
        <w:t>Indianapolis, IN 46277</w:t>
      </w:r>
    </w:p>
    <w:p>
      <w:pPr>
        <w:ind w:left="1820"/>
        <w:spacing w:after="0" w:line="238" w:lineRule="auto"/>
        <w:rPr>
          <w:sz w:val="20"/>
          <w:szCs w:val="20"/>
          <w:color w:val="auto"/>
        </w:rPr>
      </w:pPr>
      <w:r>
        <w:rPr>
          <w:rFonts w:ascii="Courier New" w:cs="Courier New" w:eastAsia="Courier New" w:hAnsi="Courier New"/>
          <w:sz w:val="15"/>
          <w:szCs w:val="15"/>
          <w:color w:val="auto"/>
        </w:rPr>
        <w:t>Attention: Dale Arfman</w:t>
      </w:r>
    </w:p>
    <w:p>
      <w:pPr>
        <w:ind w:left="1820"/>
        <w:spacing w:after="0"/>
        <w:rPr>
          <w:sz w:val="20"/>
          <w:szCs w:val="20"/>
          <w:color w:val="auto"/>
        </w:rPr>
      </w:pPr>
      <w:r>
        <w:rPr>
          <w:rFonts w:ascii="Courier New" w:cs="Courier New" w:eastAsia="Courier New" w:hAnsi="Courier New"/>
          <w:sz w:val="15"/>
          <w:szCs w:val="15"/>
          <w:color w:val="auto"/>
        </w:rPr>
        <w:t>Telecopier: 317-321-8830</w:t>
      </w:r>
    </w:p>
    <w:p>
      <w:pPr>
        <w:sectPr>
          <w:pgSz w:w="11900" w:h="16838" w:orient="portrait"/>
          <w:cols w:equalWidth="0" w:num="1">
            <w:col w:w="9959"/>
          </w:cols>
          <w:pgMar w:left="500" w:top="261"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146</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138</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SCOTLAND</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Scotland</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565 Fifth Avenue</w:t>
      </w:r>
    </w:p>
    <w:p>
      <w:pPr>
        <w:ind w:left="1820"/>
        <w:spacing w:after="0"/>
        <w:rPr>
          <w:sz w:val="20"/>
          <w:szCs w:val="20"/>
          <w:color w:val="auto"/>
        </w:rPr>
      </w:pPr>
      <w:r>
        <w:rPr>
          <w:rFonts w:ascii="Courier New" w:cs="Courier New" w:eastAsia="Courier New" w:hAnsi="Courier New"/>
          <w:sz w:val="15"/>
          <w:szCs w:val="15"/>
          <w:color w:val="auto"/>
        </w:rPr>
        <w:t>New York NY 10017</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Scotland</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One Post Office Square</w:t>
      </w:r>
    </w:p>
    <w:p>
      <w:pPr>
        <w:ind w:left="1820"/>
        <w:spacing w:after="0" w:line="237" w:lineRule="auto"/>
        <w:rPr>
          <w:sz w:val="20"/>
          <w:szCs w:val="20"/>
          <w:color w:val="auto"/>
        </w:rPr>
      </w:pPr>
      <w:r>
        <w:rPr>
          <w:rFonts w:ascii="Courier New" w:cs="Courier New" w:eastAsia="Courier New" w:hAnsi="Courier New"/>
          <w:sz w:val="15"/>
          <w:szCs w:val="15"/>
          <w:color w:val="auto"/>
        </w:rPr>
        <w:t>Suite 3750</w:t>
      </w:r>
    </w:p>
    <w:p>
      <w:pPr>
        <w:ind w:left="1820"/>
        <w:spacing w:after="0" w:line="238" w:lineRule="auto"/>
        <w:rPr>
          <w:sz w:val="20"/>
          <w:szCs w:val="20"/>
          <w:color w:val="auto"/>
        </w:rPr>
      </w:pPr>
      <w:r>
        <w:rPr>
          <w:rFonts w:ascii="Courier New" w:cs="Courier New" w:eastAsia="Courier New" w:hAnsi="Courier New"/>
          <w:sz w:val="15"/>
          <w:szCs w:val="15"/>
          <w:color w:val="auto"/>
        </w:rPr>
        <w:t>Boston, MA 02109</w:t>
      </w:r>
    </w:p>
    <w:p>
      <w:pPr>
        <w:ind w:left="1820"/>
        <w:spacing w:after="0" w:line="237" w:lineRule="auto"/>
        <w:rPr>
          <w:sz w:val="20"/>
          <w:szCs w:val="20"/>
          <w:color w:val="auto"/>
        </w:rPr>
      </w:pPr>
      <w:r>
        <w:rPr>
          <w:rFonts w:ascii="Courier New" w:cs="Courier New" w:eastAsia="Courier New" w:hAnsi="Courier New"/>
          <w:sz w:val="15"/>
          <w:szCs w:val="15"/>
          <w:color w:val="auto"/>
        </w:rPr>
        <w:t>Attention: Mr. Steve Campbell</w:t>
      </w:r>
    </w:p>
    <w:p>
      <w:pPr>
        <w:spacing w:after="0" w:line="1"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Telecopier: 617-426-1353</w:t>
      </w:r>
    </w:p>
    <w:p>
      <w:pPr>
        <w:sectPr>
          <w:pgSz w:w="11900" w:h="16838" w:orient="portrait"/>
          <w:cols w:equalWidth="0" w:num="1">
            <w:col w:w="9959"/>
          </w:cols>
          <w:pgMar w:left="500" w:top="261"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147</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139</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SUMMIT BANK</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Summit Bank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301 Carnegie Center</w:t>
      </w:r>
    </w:p>
    <w:p>
      <w:pPr>
        <w:ind w:left="1820"/>
        <w:spacing w:after="0"/>
        <w:rPr>
          <w:sz w:val="20"/>
          <w:szCs w:val="20"/>
          <w:color w:val="auto"/>
        </w:rPr>
      </w:pPr>
      <w:r>
        <w:rPr>
          <w:rFonts w:ascii="Courier New" w:cs="Courier New" w:eastAsia="Courier New" w:hAnsi="Courier New"/>
          <w:sz w:val="15"/>
          <w:szCs w:val="15"/>
          <w:color w:val="auto"/>
        </w:rPr>
        <w:t>Princeton, NJ 08543</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Summit Bank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301 Carnegie Center</w:t>
      </w:r>
    </w:p>
    <w:p>
      <w:pPr>
        <w:ind w:left="1820"/>
        <w:spacing w:after="0" w:line="237" w:lineRule="auto"/>
        <w:rPr>
          <w:sz w:val="20"/>
          <w:szCs w:val="20"/>
          <w:color w:val="auto"/>
        </w:rPr>
      </w:pPr>
      <w:r>
        <w:rPr>
          <w:rFonts w:ascii="Courier New" w:cs="Courier New" w:eastAsia="Courier New" w:hAnsi="Courier New"/>
          <w:sz w:val="15"/>
          <w:szCs w:val="15"/>
          <w:color w:val="auto"/>
        </w:rPr>
        <w:t>Princeton, NJ 08543</w:t>
      </w:r>
    </w:p>
    <w:p>
      <w:pPr>
        <w:ind w:left="1820"/>
        <w:spacing w:after="0" w:line="238" w:lineRule="auto"/>
        <w:rPr>
          <w:sz w:val="20"/>
          <w:szCs w:val="20"/>
          <w:color w:val="auto"/>
        </w:rPr>
      </w:pPr>
      <w:r>
        <w:rPr>
          <w:rFonts w:ascii="Courier New" w:cs="Courier New" w:eastAsia="Courier New" w:hAnsi="Courier New"/>
          <w:sz w:val="15"/>
          <w:szCs w:val="15"/>
          <w:color w:val="auto"/>
        </w:rPr>
        <w:t>Attention: Ms. Catherine O'Brien</w:t>
      </w:r>
    </w:p>
    <w:p>
      <w:pPr>
        <w:ind w:left="1820"/>
        <w:spacing w:after="0"/>
        <w:rPr>
          <w:sz w:val="20"/>
          <w:szCs w:val="20"/>
          <w:color w:val="auto"/>
        </w:rPr>
      </w:pPr>
      <w:r>
        <w:rPr>
          <w:rFonts w:ascii="Courier New" w:cs="Courier New" w:eastAsia="Courier New" w:hAnsi="Courier New"/>
          <w:sz w:val="15"/>
          <w:szCs w:val="15"/>
          <w:color w:val="auto"/>
        </w:rPr>
        <w:t>Telecopier: 609-734-9125</w:t>
      </w:r>
    </w:p>
    <w:p>
      <w:pPr>
        <w:sectPr>
          <w:pgSz w:w="11900" w:h="16838" w:orient="portrait"/>
          <w:cols w:equalWidth="0" w:num="1">
            <w:col w:w="9959"/>
          </w:cols>
          <w:pgMar w:left="500" w:top="261"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5"/>
          <w:szCs w:val="15"/>
          <w:color w:val="auto"/>
        </w:rPr>
        <w:t>148</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140</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MONTREAL</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Client Services</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Montreal, Chicago</w:t>
      </w:r>
    </w:p>
    <w:p>
      <w:pPr>
        <w:ind w:left="1820"/>
        <w:spacing w:after="0" w:line="237" w:lineRule="auto"/>
        <w:rPr>
          <w:sz w:val="20"/>
          <w:szCs w:val="20"/>
          <w:color w:val="auto"/>
        </w:rPr>
      </w:pPr>
      <w:r>
        <w:rPr>
          <w:rFonts w:ascii="Courier New" w:cs="Courier New" w:eastAsia="Courier New" w:hAnsi="Courier New"/>
          <w:sz w:val="15"/>
          <w:szCs w:val="15"/>
          <w:color w:val="auto"/>
        </w:rPr>
        <w:t>115 South LaSalle Street</w:t>
      </w:r>
    </w:p>
    <w:p>
      <w:pPr>
        <w:ind w:left="1820"/>
        <w:spacing w:after="0"/>
        <w:rPr>
          <w:sz w:val="20"/>
          <w:szCs w:val="20"/>
          <w:color w:val="auto"/>
        </w:rPr>
      </w:pPr>
      <w:r>
        <w:rPr>
          <w:rFonts w:ascii="Courier New" w:cs="Courier New" w:eastAsia="Courier New" w:hAnsi="Courier New"/>
          <w:sz w:val="15"/>
          <w:szCs w:val="15"/>
          <w:color w:val="auto"/>
        </w:rPr>
        <w:t>Chicago, IL 60603</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Bank of Montreal</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430 Park Avenue</w:t>
      </w:r>
    </w:p>
    <w:p>
      <w:pPr>
        <w:ind w:left="1820"/>
        <w:spacing w:after="0" w:line="237" w:lineRule="auto"/>
        <w:rPr>
          <w:sz w:val="20"/>
          <w:szCs w:val="20"/>
          <w:color w:val="auto"/>
        </w:rPr>
      </w:pPr>
      <w:r>
        <w:rPr>
          <w:rFonts w:ascii="Courier New" w:cs="Courier New" w:eastAsia="Courier New" w:hAnsi="Courier New"/>
          <w:sz w:val="15"/>
          <w:szCs w:val="15"/>
          <w:color w:val="auto"/>
        </w:rPr>
        <w:t>New York, NY 10022</w:t>
      </w:r>
    </w:p>
    <w:p>
      <w:pPr>
        <w:ind w:left="1820"/>
        <w:spacing w:after="0" w:line="238" w:lineRule="auto"/>
        <w:rPr>
          <w:sz w:val="20"/>
          <w:szCs w:val="20"/>
          <w:color w:val="auto"/>
        </w:rPr>
      </w:pPr>
      <w:r>
        <w:rPr>
          <w:rFonts w:ascii="Courier New" w:cs="Courier New" w:eastAsia="Courier New" w:hAnsi="Courier New"/>
          <w:sz w:val="15"/>
          <w:szCs w:val="15"/>
          <w:color w:val="auto"/>
        </w:rPr>
        <w:t>Attention: Mr. Mike Andres</w:t>
      </w:r>
    </w:p>
    <w:p>
      <w:pPr>
        <w:ind w:left="1820"/>
        <w:spacing w:after="0"/>
        <w:rPr>
          <w:sz w:val="20"/>
          <w:szCs w:val="20"/>
          <w:color w:val="auto"/>
        </w:rPr>
      </w:pPr>
      <w:r>
        <w:rPr>
          <w:rFonts w:ascii="Courier New" w:cs="Courier New" w:eastAsia="Courier New" w:hAnsi="Courier New"/>
          <w:sz w:val="15"/>
          <w:szCs w:val="15"/>
          <w:color w:val="auto"/>
        </w:rPr>
        <w:t>Telecopier: 212-605-1648</w:t>
      </w:r>
    </w:p>
    <w:p>
      <w:pPr>
        <w:sectPr>
          <w:pgSz w:w="11900" w:h="16838" w:orient="portrait"/>
          <w:cols w:equalWidth="0" w:num="1">
            <w:col w:w="9959"/>
          </w:cols>
          <w:pgMar w:left="500" w:top="261"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5"/>
          <w:szCs w:val="15"/>
          <w:color w:val="auto"/>
        </w:rPr>
        <w:t>149</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141</w:t>
      </w:r>
    </w:p>
    <w:p>
      <w:pPr>
        <w:spacing w:after="0" w:line="14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FIRST NATIONAL BANK OF MARYLAND</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First National Bank of Maryland</w:t>
      </w:r>
    </w:p>
    <w:p>
      <w:pPr>
        <w:spacing w:after="0" w:line="16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25 South Charles Street, 18th Floor</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Baltimore, MD 21201</w:t>
      </w:r>
    </w:p>
    <w:p>
      <w:pPr>
        <w:spacing w:after="0" w:line="30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First National Bank of Maryland</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25 South Charles Street, 18th Floor</w:t>
      </w:r>
    </w:p>
    <w:p>
      <w:pPr>
        <w:ind w:left="1820"/>
        <w:spacing w:after="0" w:line="237" w:lineRule="auto"/>
        <w:rPr>
          <w:sz w:val="20"/>
          <w:szCs w:val="20"/>
          <w:color w:val="auto"/>
        </w:rPr>
      </w:pPr>
      <w:r>
        <w:rPr>
          <w:rFonts w:ascii="Courier New" w:cs="Courier New" w:eastAsia="Courier New" w:hAnsi="Courier New"/>
          <w:sz w:val="15"/>
          <w:szCs w:val="15"/>
          <w:color w:val="auto"/>
        </w:rPr>
        <w:t>Baltimore, MD 21201</w:t>
      </w:r>
    </w:p>
    <w:p>
      <w:pPr>
        <w:ind w:left="1820"/>
        <w:spacing w:after="0" w:line="238" w:lineRule="auto"/>
        <w:rPr>
          <w:sz w:val="20"/>
          <w:szCs w:val="20"/>
          <w:color w:val="auto"/>
        </w:rPr>
      </w:pPr>
      <w:r>
        <w:rPr>
          <w:rFonts w:ascii="Courier New" w:cs="Courier New" w:eastAsia="Courier New" w:hAnsi="Courier New"/>
          <w:sz w:val="15"/>
          <w:szCs w:val="15"/>
          <w:color w:val="auto"/>
        </w:rPr>
        <w:t>Attention: Mr. Tim Knabe</w:t>
      </w:r>
    </w:p>
    <w:p>
      <w:pPr>
        <w:ind w:left="1820"/>
        <w:spacing w:after="0"/>
        <w:rPr>
          <w:sz w:val="20"/>
          <w:szCs w:val="20"/>
          <w:color w:val="auto"/>
        </w:rPr>
      </w:pPr>
      <w:r>
        <w:rPr>
          <w:rFonts w:ascii="Courier New" w:cs="Courier New" w:eastAsia="Courier New" w:hAnsi="Courier New"/>
          <w:sz w:val="15"/>
          <w:szCs w:val="15"/>
          <w:color w:val="auto"/>
        </w:rPr>
        <w:t>Telecopier: 410-244-4920</w:t>
      </w:r>
    </w:p>
    <w:p>
      <w:pPr>
        <w:sectPr>
          <w:pgSz w:w="11900" w:h="16838" w:orient="portrait"/>
          <w:cols w:equalWidth="0" w:num="1">
            <w:col w:w="9959"/>
          </w:cols>
          <w:pgMar w:left="500" w:top="261"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5"/>
          <w:szCs w:val="15"/>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61"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5"/>
          <w:szCs w:val="15"/>
          <w:color w:val="auto"/>
        </w:rPr>
        <w:t>151</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143</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COOPERATIEVE CENTRALE</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RAIFFEISEN-BOERENLEENBANK</w:t>
      </w:r>
    </w:p>
    <w:p>
      <w:pPr>
        <w:ind w:left="1820"/>
        <w:spacing w:after="0" w:line="237" w:lineRule="auto"/>
        <w:rPr>
          <w:sz w:val="20"/>
          <w:szCs w:val="20"/>
          <w:color w:val="auto"/>
        </w:rPr>
      </w:pPr>
      <w:r>
        <w:rPr>
          <w:rFonts w:ascii="Courier New" w:cs="Courier New" w:eastAsia="Courier New" w:hAnsi="Courier New"/>
          <w:sz w:val="15"/>
          <w:szCs w:val="15"/>
          <w:color w:val="auto"/>
        </w:rPr>
        <w:t>B.A., "RABOBANK NEDERLAND",</w:t>
      </w:r>
    </w:p>
    <w:p>
      <w:pPr>
        <w:ind w:left="1820"/>
        <w:spacing w:after="0"/>
        <w:rPr>
          <w:sz w:val="20"/>
          <w:szCs w:val="20"/>
          <w:color w:val="auto"/>
        </w:rPr>
      </w:pPr>
      <w:r>
        <w:rPr>
          <w:rFonts w:ascii="Courier New" w:cs="Courier New" w:eastAsia="Courier New" w:hAnsi="Courier New"/>
          <w:sz w:val="15"/>
          <w:szCs w:val="15"/>
          <w:color w:val="auto"/>
        </w:rPr>
        <w:t>NEW YORK BRANCH</w:t>
      </w:r>
    </w:p>
    <w:p>
      <w:pPr>
        <w:spacing w:after="0" w:line="30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30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30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245 Park Avenue</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 York, New York 10167</w:t>
      </w:r>
    </w:p>
    <w:p>
      <w:pPr>
        <w:ind w:left="1820"/>
        <w:spacing w:after="0" w:line="237" w:lineRule="auto"/>
        <w:rPr>
          <w:sz w:val="20"/>
          <w:szCs w:val="20"/>
          <w:color w:val="auto"/>
        </w:rPr>
      </w:pPr>
      <w:r>
        <w:rPr>
          <w:rFonts w:ascii="Courier New" w:cs="Courier New" w:eastAsia="Courier New" w:hAnsi="Courier New"/>
          <w:sz w:val="15"/>
          <w:szCs w:val="15"/>
          <w:color w:val="auto"/>
        </w:rPr>
        <w:t>Telephone: 212-916-7800</w:t>
      </w:r>
    </w:p>
    <w:p>
      <w:pPr>
        <w:ind w:left="1820"/>
        <w:spacing w:after="0"/>
        <w:rPr>
          <w:sz w:val="20"/>
          <w:szCs w:val="20"/>
          <w:color w:val="auto"/>
        </w:rPr>
      </w:pPr>
      <w:r>
        <w:rPr>
          <w:rFonts w:ascii="Courier New" w:cs="Courier New" w:eastAsia="Courier New" w:hAnsi="Courier New"/>
          <w:sz w:val="15"/>
          <w:szCs w:val="15"/>
          <w:color w:val="auto"/>
        </w:rPr>
        <w:t>Telecopier: 212-818-0233</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245 Park Avenue</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New York, New York 10167</w:t>
      </w:r>
    </w:p>
    <w:p>
      <w:pPr>
        <w:ind w:left="1820"/>
        <w:spacing w:after="0" w:line="237" w:lineRule="auto"/>
        <w:rPr>
          <w:sz w:val="20"/>
          <w:szCs w:val="20"/>
          <w:color w:val="auto"/>
        </w:rPr>
      </w:pPr>
      <w:r>
        <w:rPr>
          <w:rFonts w:ascii="Courier New" w:cs="Courier New" w:eastAsia="Courier New" w:hAnsi="Courier New"/>
          <w:sz w:val="15"/>
          <w:szCs w:val="15"/>
          <w:color w:val="auto"/>
        </w:rPr>
        <w:t>Telephone: 212-916-7800</w:t>
      </w:r>
    </w:p>
    <w:p>
      <w:pPr>
        <w:ind w:left="1820"/>
        <w:spacing w:after="0"/>
        <w:rPr>
          <w:sz w:val="20"/>
          <w:szCs w:val="20"/>
          <w:color w:val="auto"/>
        </w:rPr>
      </w:pPr>
      <w:r>
        <w:rPr>
          <w:rFonts w:ascii="Courier New" w:cs="Courier New" w:eastAsia="Courier New" w:hAnsi="Courier New"/>
          <w:sz w:val="15"/>
          <w:szCs w:val="15"/>
          <w:color w:val="auto"/>
        </w:rPr>
        <w:t>Telecopier: 212-818-0233</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With Copies to:</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Rabo Support Services</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10 Exchange Place</w:t>
      </w:r>
    </w:p>
    <w:p>
      <w:pPr>
        <w:ind w:left="1820"/>
        <w:spacing w:after="0" w:line="237" w:lineRule="auto"/>
        <w:rPr>
          <w:sz w:val="20"/>
          <w:szCs w:val="20"/>
          <w:color w:val="auto"/>
        </w:rPr>
      </w:pPr>
      <w:r>
        <w:rPr>
          <w:rFonts w:ascii="Courier New" w:cs="Courier New" w:eastAsia="Courier New" w:hAnsi="Courier New"/>
          <w:sz w:val="15"/>
          <w:szCs w:val="15"/>
          <w:color w:val="auto"/>
        </w:rPr>
        <w:t>Jersey City, New Jersey 07302</w:t>
      </w:r>
    </w:p>
    <w:p>
      <w:pPr>
        <w:ind w:left="1820"/>
        <w:spacing w:after="0" w:line="238" w:lineRule="auto"/>
        <w:rPr>
          <w:sz w:val="20"/>
          <w:szCs w:val="20"/>
          <w:color w:val="auto"/>
        </w:rPr>
      </w:pPr>
      <w:r>
        <w:rPr>
          <w:rFonts w:ascii="Courier New" w:cs="Courier New" w:eastAsia="Courier New" w:hAnsi="Courier New"/>
          <w:sz w:val="15"/>
          <w:szCs w:val="15"/>
          <w:color w:val="auto"/>
        </w:rPr>
        <w:t>Telephone: 201-499-5267</w:t>
      </w:r>
    </w:p>
    <w:p>
      <w:pPr>
        <w:ind w:left="1820"/>
        <w:spacing w:after="0"/>
        <w:rPr>
          <w:sz w:val="20"/>
          <w:szCs w:val="20"/>
          <w:color w:val="auto"/>
        </w:rPr>
      </w:pPr>
      <w:r>
        <w:rPr>
          <w:rFonts w:ascii="Courier New" w:cs="Courier New" w:eastAsia="Courier New" w:hAnsi="Courier New"/>
          <w:sz w:val="15"/>
          <w:szCs w:val="15"/>
          <w:color w:val="auto"/>
        </w:rPr>
        <w:t>Telecopier; 201-499-5238</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Rabobank Nederland</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300 South Wacker Drive</w:t>
      </w:r>
    </w:p>
    <w:p>
      <w:pPr>
        <w:ind w:left="1820"/>
        <w:spacing w:after="0" w:line="237" w:lineRule="auto"/>
        <w:rPr>
          <w:sz w:val="20"/>
          <w:szCs w:val="20"/>
          <w:color w:val="auto"/>
        </w:rPr>
      </w:pPr>
      <w:r>
        <w:rPr>
          <w:rFonts w:ascii="Courier New" w:cs="Courier New" w:eastAsia="Courier New" w:hAnsi="Courier New"/>
          <w:sz w:val="15"/>
          <w:szCs w:val="15"/>
          <w:color w:val="auto"/>
        </w:rPr>
        <w:t>Suite 3500</w:t>
      </w:r>
    </w:p>
    <w:p>
      <w:pPr>
        <w:ind w:left="1820"/>
        <w:spacing w:after="0" w:line="238" w:lineRule="auto"/>
        <w:rPr>
          <w:sz w:val="20"/>
          <w:szCs w:val="20"/>
          <w:color w:val="auto"/>
        </w:rPr>
      </w:pPr>
      <w:r>
        <w:rPr>
          <w:rFonts w:ascii="Courier New" w:cs="Courier New" w:eastAsia="Courier New" w:hAnsi="Courier New"/>
          <w:sz w:val="15"/>
          <w:szCs w:val="15"/>
          <w:color w:val="auto"/>
        </w:rPr>
        <w:t>Chicago, IL 60606-6610</w:t>
      </w:r>
    </w:p>
    <w:p>
      <w:pPr>
        <w:ind w:left="1820"/>
        <w:spacing w:after="0"/>
        <w:rPr>
          <w:sz w:val="20"/>
          <w:szCs w:val="20"/>
          <w:color w:val="auto"/>
        </w:rPr>
      </w:pPr>
      <w:r>
        <w:rPr>
          <w:rFonts w:ascii="Courier New" w:cs="Courier New" w:eastAsia="Courier New" w:hAnsi="Courier New"/>
          <w:sz w:val="15"/>
          <w:szCs w:val="15"/>
          <w:color w:val="auto"/>
        </w:rPr>
        <w:t>Attention: Mr. Doug Zylstra</w:t>
      </w:r>
    </w:p>
    <w:p>
      <w:pPr>
        <w:sectPr>
          <w:pgSz w:w="11900" w:h="16838" w:orient="portrait"/>
          <w:cols w:equalWidth="0" w:num="1">
            <w:col w:w="9959"/>
          </w:cols>
          <w:pgMar w:left="500" w:top="261"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152</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144</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MICHIGAN NATIONAL BANK</w:t>
      </w:r>
    </w:p>
    <w:p>
      <w:pPr>
        <w:spacing w:after="0" w:line="33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Title:</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Lending Office for all Loans: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Michigan National Bank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Specialty Industries</w:t>
      </w:r>
    </w:p>
    <w:p>
      <w:pPr>
        <w:ind w:left="1820"/>
        <w:spacing w:after="0" w:line="237" w:lineRule="auto"/>
        <w:rPr>
          <w:sz w:val="20"/>
          <w:szCs w:val="20"/>
          <w:color w:val="auto"/>
        </w:rPr>
      </w:pPr>
      <w:r>
        <w:rPr>
          <w:rFonts w:ascii="Courier New" w:cs="Courier New" w:eastAsia="Courier New" w:hAnsi="Courier New"/>
          <w:sz w:val="15"/>
          <w:szCs w:val="15"/>
          <w:color w:val="auto"/>
        </w:rPr>
        <w:t>2777 Inkster Road</w:t>
      </w:r>
    </w:p>
    <w:p>
      <w:pPr>
        <w:ind w:left="1820"/>
        <w:spacing w:after="0" w:line="238" w:lineRule="auto"/>
        <w:rPr>
          <w:sz w:val="20"/>
          <w:szCs w:val="20"/>
          <w:color w:val="auto"/>
        </w:rPr>
      </w:pPr>
      <w:r>
        <w:rPr>
          <w:rFonts w:ascii="Courier New" w:cs="Courier New" w:eastAsia="Courier New" w:hAnsi="Courier New"/>
          <w:sz w:val="15"/>
          <w:szCs w:val="15"/>
          <w:color w:val="auto"/>
        </w:rPr>
        <w:t>MC 1036</w:t>
      </w:r>
    </w:p>
    <w:p>
      <w:pPr>
        <w:ind w:left="1820"/>
        <w:spacing w:after="0"/>
        <w:rPr>
          <w:sz w:val="20"/>
          <w:szCs w:val="20"/>
          <w:color w:val="auto"/>
        </w:rPr>
      </w:pPr>
      <w:r>
        <w:rPr>
          <w:rFonts w:ascii="Courier New" w:cs="Courier New" w:eastAsia="Courier New" w:hAnsi="Courier New"/>
          <w:sz w:val="15"/>
          <w:szCs w:val="15"/>
          <w:color w:val="auto"/>
        </w:rPr>
        <w:t>Farmington Hills, MI 48334</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Address for Notices:</w:t>
      </w:r>
    </w:p>
    <w:p>
      <w:pPr>
        <w:spacing w:after="0" w:line="2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Michigan National Bank</w:t>
      </w:r>
    </w:p>
    <w:p>
      <w:pPr>
        <w:spacing w:after="0" w:line="23"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Specialty Industries</w:t>
      </w:r>
    </w:p>
    <w:p>
      <w:pPr>
        <w:ind w:left="1820"/>
        <w:spacing w:after="0" w:line="237" w:lineRule="auto"/>
        <w:rPr>
          <w:sz w:val="20"/>
          <w:szCs w:val="20"/>
          <w:color w:val="auto"/>
        </w:rPr>
      </w:pPr>
      <w:r>
        <w:rPr>
          <w:rFonts w:ascii="Courier New" w:cs="Courier New" w:eastAsia="Courier New" w:hAnsi="Courier New"/>
          <w:sz w:val="15"/>
          <w:szCs w:val="15"/>
          <w:color w:val="auto"/>
        </w:rPr>
        <w:t>27777 Inkster Road</w:t>
      </w:r>
    </w:p>
    <w:p>
      <w:pPr>
        <w:ind w:left="1820"/>
        <w:spacing w:after="0" w:line="238" w:lineRule="auto"/>
        <w:rPr>
          <w:sz w:val="20"/>
          <w:szCs w:val="20"/>
          <w:color w:val="auto"/>
        </w:rPr>
      </w:pPr>
      <w:r>
        <w:rPr>
          <w:rFonts w:ascii="Courier New" w:cs="Courier New" w:eastAsia="Courier New" w:hAnsi="Courier New"/>
          <w:sz w:val="15"/>
          <w:szCs w:val="15"/>
          <w:color w:val="auto"/>
        </w:rPr>
        <w:t>MC 1036</w:t>
      </w:r>
    </w:p>
    <w:p>
      <w:pPr>
        <w:ind w:left="1820"/>
        <w:spacing w:after="0" w:line="237" w:lineRule="auto"/>
        <w:rPr>
          <w:sz w:val="20"/>
          <w:szCs w:val="20"/>
          <w:color w:val="auto"/>
        </w:rPr>
      </w:pPr>
      <w:r>
        <w:rPr>
          <w:rFonts w:ascii="Courier New" w:cs="Courier New" w:eastAsia="Courier New" w:hAnsi="Courier New"/>
          <w:sz w:val="15"/>
          <w:szCs w:val="15"/>
          <w:color w:val="auto"/>
        </w:rPr>
        <w:t>Farmington Hills, MI 48334</w:t>
      </w:r>
    </w:p>
    <w:p>
      <w:pPr>
        <w:ind w:left="1820"/>
        <w:spacing w:after="0" w:line="238" w:lineRule="auto"/>
        <w:rPr>
          <w:sz w:val="20"/>
          <w:szCs w:val="20"/>
          <w:color w:val="auto"/>
        </w:rPr>
      </w:pPr>
      <w:r>
        <w:rPr>
          <w:rFonts w:ascii="Courier New" w:cs="Courier New" w:eastAsia="Courier New" w:hAnsi="Courier New"/>
          <w:sz w:val="15"/>
          <w:szCs w:val="15"/>
          <w:color w:val="auto"/>
        </w:rPr>
        <w:t>Attention: Mr. Jeff Billig</w:t>
      </w:r>
    </w:p>
    <w:p>
      <w:pPr>
        <w:ind w:left="1820"/>
        <w:spacing w:after="0"/>
        <w:rPr>
          <w:sz w:val="20"/>
          <w:szCs w:val="20"/>
          <w:color w:val="auto"/>
        </w:rPr>
      </w:pPr>
      <w:r>
        <w:rPr>
          <w:rFonts w:ascii="Courier New" w:cs="Courier New" w:eastAsia="Courier New" w:hAnsi="Courier New"/>
          <w:sz w:val="15"/>
          <w:szCs w:val="15"/>
          <w:color w:val="auto"/>
        </w:rPr>
        <w:t>Telecopier: 248-473-4345</w:t>
      </w:r>
    </w:p>
    <w:p>
      <w:pPr>
        <w:sectPr>
          <w:pgSz w:w="11900" w:h="16838" w:orient="portrait"/>
          <w:cols w:equalWidth="0" w:num="1">
            <w:col w:w="9959"/>
          </w:cols>
          <w:pgMar w:left="500" w:top="261"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153</w:t>
      </w:r>
    </w:p>
    <w:p>
      <w:pPr>
        <w:spacing w:after="0" w:line="24"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145</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Section 13.14 only: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COLLATERAL TRUSTEE:</w:t>
      </w:r>
    </w:p>
    <w:p>
      <w:pPr>
        <w:spacing w:after="0" w:line="24" w:lineRule="exact"/>
        <w:rPr>
          <w:sz w:val="20"/>
          <w:szCs w:val="20"/>
          <w:color w:val="auto"/>
        </w:rPr>
      </w:pPr>
    </w:p>
    <w:p>
      <w:pPr>
        <w:ind w:left="180" w:hanging="170"/>
        <w:spacing w:after="0"/>
        <w:tabs>
          <w:tab w:leader="none" w:pos="1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BANKBOSTON, N.A.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5"/>
          <w:szCs w:val="15"/>
          <w:color w:val="auto"/>
        </w:rPr>
        <w:t>Lisa M. Pellow, Director</w:t>
      </w:r>
    </w:p>
    <w:p>
      <w:pPr>
        <w:sectPr>
          <w:pgSz w:w="11900" w:h="16838" w:orient="portrait"/>
          <w:cols w:equalWidth="0" w:num="1">
            <w:col w:w="10239"/>
          </w:cols>
          <w:pgMar w:left="220" w:top="26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10(a)(2)</w:t>
      </w:r>
    </w:p>
    <w:p>
      <w:pPr>
        <w:spacing w:after="0" w:line="30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AMENDMENT TO EMPLOYMENT AGREEMENT</w:t>
      </w:r>
    </w:p>
    <w:p>
      <w:pPr>
        <w:spacing w:after="0" w:line="166" w:lineRule="exact"/>
        <w:rPr>
          <w:sz w:val="20"/>
          <w:szCs w:val="20"/>
          <w:color w:val="auto"/>
        </w:rPr>
      </w:pPr>
    </w:p>
    <w:p>
      <w:pPr>
        <w:ind w:right="3399" w:firstLine="787"/>
        <w:spacing w:after="0" w:line="298" w:lineRule="auto"/>
        <w:rPr>
          <w:sz w:val="20"/>
          <w:szCs w:val="20"/>
          <w:color w:val="auto"/>
        </w:rPr>
      </w:pPr>
      <w:r>
        <w:rPr>
          <w:rFonts w:ascii="Courier New" w:cs="Courier New" w:eastAsia="Courier New" w:hAnsi="Courier New"/>
          <w:sz w:val="14"/>
          <w:szCs w:val="14"/>
          <w:color w:val="auto"/>
        </w:rPr>
        <w:t>THIS AMENDMENT is made as of the 8th day of December, 1998, between SAGA COMMUNICATIONS, INC., a Delaware corporation with its principal office at 73 Kercheval Avenue, Grosse Pointe Farms, Michigan 48236 (the "Corporation"), and Edward K. Christian of Grosse Pointe Farms, Michigan 48236 ("Christian").</w:t>
      </w:r>
    </w:p>
    <w:p>
      <w:pPr>
        <w:spacing w:after="0" w:line="5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 I T N E S S E T H T H A T:</w:t>
      </w:r>
    </w:p>
    <w:p>
      <w:pPr>
        <w:spacing w:after="0" w:line="166" w:lineRule="exact"/>
        <w:rPr>
          <w:sz w:val="20"/>
          <w:szCs w:val="20"/>
          <w:color w:val="auto"/>
        </w:rPr>
      </w:pPr>
    </w:p>
    <w:p>
      <w:pPr>
        <w:ind w:right="3759" w:firstLine="787"/>
        <w:spacing w:after="0" w:line="344" w:lineRule="auto"/>
        <w:rPr>
          <w:sz w:val="20"/>
          <w:szCs w:val="20"/>
          <w:color w:val="auto"/>
        </w:rPr>
      </w:pPr>
      <w:r>
        <w:rPr>
          <w:rFonts w:ascii="Courier New" w:cs="Courier New" w:eastAsia="Courier New" w:hAnsi="Courier New"/>
          <w:sz w:val="15"/>
          <w:szCs w:val="15"/>
          <w:color w:val="auto"/>
        </w:rPr>
        <w:t>WHEREAS, the Corporation and Christian entered into an Employment Agreement dated as of April 8, 1977 (the "Agreement"); and</w:t>
      </w:r>
    </w:p>
    <w:p>
      <w:pPr>
        <w:spacing w:after="0" w:line="17" w:lineRule="exact"/>
        <w:rPr>
          <w:sz w:val="20"/>
          <w:szCs w:val="20"/>
          <w:color w:val="auto"/>
        </w:rPr>
      </w:pPr>
    </w:p>
    <w:p>
      <w:pPr>
        <w:ind w:right="3499" w:firstLine="787"/>
        <w:spacing w:after="0" w:line="344" w:lineRule="auto"/>
        <w:rPr>
          <w:sz w:val="20"/>
          <w:szCs w:val="20"/>
          <w:color w:val="auto"/>
        </w:rPr>
      </w:pPr>
      <w:r>
        <w:rPr>
          <w:rFonts w:ascii="Courier New" w:cs="Courier New" w:eastAsia="Courier New" w:hAnsi="Courier New"/>
          <w:sz w:val="15"/>
          <w:szCs w:val="15"/>
          <w:color w:val="auto"/>
        </w:rPr>
        <w:t>WHEREAS, the Corporation and Christian desire to amend Section 13 of the Agreement;</w:t>
      </w:r>
    </w:p>
    <w:p>
      <w:pPr>
        <w:spacing w:after="0" w:line="17" w:lineRule="exact"/>
        <w:rPr>
          <w:sz w:val="20"/>
          <w:szCs w:val="20"/>
          <w:color w:val="auto"/>
        </w:rPr>
      </w:pPr>
    </w:p>
    <w:p>
      <w:pPr>
        <w:ind w:right="3579" w:firstLine="787"/>
        <w:spacing w:after="0" w:line="344" w:lineRule="auto"/>
        <w:rPr>
          <w:sz w:val="20"/>
          <w:szCs w:val="20"/>
          <w:color w:val="auto"/>
        </w:rPr>
      </w:pPr>
      <w:r>
        <w:rPr>
          <w:rFonts w:ascii="Courier New" w:cs="Courier New" w:eastAsia="Courier New" w:hAnsi="Courier New"/>
          <w:sz w:val="15"/>
          <w:szCs w:val="15"/>
          <w:color w:val="auto"/>
        </w:rPr>
        <w:t>NOW, THEREFORE, for good and valuable consideration, the receipt of which is hereby acknowledged, the parties hereto agree as follows:</w:t>
      </w:r>
    </w:p>
    <w:p>
      <w:pPr>
        <w:spacing w:after="0" w:line="17" w:lineRule="exact"/>
        <w:rPr>
          <w:sz w:val="20"/>
          <w:szCs w:val="20"/>
          <w:color w:val="auto"/>
        </w:rPr>
      </w:pPr>
    </w:p>
    <w:p>
      <w:pPr>
        <w:ind w:right="3239" w:firstLine="797"/>
        <w:spacing w:after="0" w:line="344" w:lineRule="auto"/>
        <w:tabs>
          <w:tab w:leader="none" w:pos="10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is hereby amended by replacing the existing Section 13 in its entirety with the following:</w:t>
      </w:r>
    </w:p>
    <w:p>
      <w:pPr>
        <w:spacing w:after="0" w:line="17" w:lineRule="exact"/>
        <w:rPr>
          <w:sz w:val="20"/>
          <w:szCs w:val="20"/>
          <w:color w:val="auto"/>
        </w:rPr>
      </w:pPr>
    </w:p>
    <w:p>
      <w:pPr>
        <w:ind w:right="3239" w:firstLine="787"/>
        <w:spacing w:after="0" w:line="247" w:lineRule="auto"/>
        <w:rPr>
          <w:sz w:val="20"/>
          <w:szCs w:val="20"/>
          <w:color w:val="auto"/>
        </w:rPr>
      </w:pPr>
      <w:r>
        <w:rPr>
          <w:rFonts w:ascii="Courier New" w:cs="Courier New" w:eastAsia="Courier New" w:hAnsi="Courier New"/>
          <w:sz w:val="15"/>
          <w:szCs w:val="15"/>
          <w:color w:val="auto"/>
        </w:rPr>
        <w:t>"13. In recognition of Christian's service to the Corporation for over ten years, the Corporation hereby agrees to forgive the indebtedness of Christian evidenced by the Note (including unpaid interest thereon) in five equal installments on December 18, 1998 and March 31 of 1999, 2000, 2001 and 2002. In addition, the Corporation shall pay Christian such amount as is necessary to enable Christian to pay all federal and state income tax liabilities (including, without limitation, liabilities under Internal Revenue Code Sections 280G and 4999) arising by reason of the foregoing forgiveness of indebtedness and by reason of payments received pursuant to this sentence, it being the intent of the parties that Christian be made whole with respect to the economic effect of all federal and state income taxes arising under this paragraph 13."</w:t>
      </w:r>
    </w:p>
    <w:p>
      <w:pPr>
        <w:spacing w:after="0" w:line="88" w:lineRule="exact"/>
        <w:rPr>
          <w:sz w:val="20"/>
          <w:szCs w:val="20"/>
          <w:color w:val="auto"/>
        </w:rPr>
      </w:pPr>
    </w:p>
    <w:p>
      <w:pPr>
        <w:ind w:right="3239" w:firstLine="797"/>
        <w:spacing w:after="0" w:line="344" w:lineRule="auto"/>
        <w:tabs>
          <w:tab w:leader="none" w:pos="104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modified and amended hereby, the Agreement shall remain in full force and effect and is hereby ratified and affirmed.</w:t>
      </w:r>
    </w:p>
    <w:p>
      <w:pPr>
        <w:spacing w:after="0" w:line="17" w:lineRule="exact"/>
        <w:rPr>
          <w:rFonts w:ascii="Courier New" w:cs="Courier New" w:eastAsia="Courier New" w:hAnsi="Courier New"/>
          <w:sz w:val="15"/>
          <w:szCs w:val="15"/>
          <w:color w:val="auto"/>
        </w:rPr>
      </w:pPr>
    </w:p>
    <w:p>
      <w:pPr>
        <w:ind w:right="3679" w:firstLine="797"/>
        <w:spacing w:after="0" w:line="385" w:lineRule="auto"/>
        <w:tabs>
          <w:tab w:leader="none" w:pos="1049"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Pledge Agreement dated as of December 10, 1992 of Christian securing the indebtedness evidenced by the Note is hereby terminated.</w:t>
      </w:r>
    </w:p>
    <w:p>
      <w:pPr>
        <w:sectPr>
          <w:pgSz w:w="11900" w:h="16838" w:orient="portrait"/>
          <w:cols w:equalWidth="0" w:num="1">
            <w:col w:w="10239"/>
          </w:cols>
          <w:pgMar w:left="220" w:top="115"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right="3239" w:firstLine="787"/>
        <w:spacing w:after="0" w:line="344" w:lineRule="auto"/>
        <w:rPr>
          <w:sz w:val="20"/>
          <w:szCs w:val="20"/>
          <w:color w:val="auto"/>
        </w:rPr>
      </w:pPr>
      <w:r>
        <w:rPr>
          <w:rFonts w:ascii="Courier New" w:cs="Courier New" w:eastAsia="Courier New" w:hAnsi="Courier New"/>
          <w:sz w:val="15"/>
          <w:szCs w:val="15"/>
          <w:color w:val="auto"/>
        </w:rPr>
        <w:t>IN WITNESS WHEREOF, the parties hereto have caused this Amendment to be executed as of the day and year first above written.</w:t>
      </w:r>
    </w:p>
    <w:p>
      <w:pPr>
        <w:spacing w:after="0" w:line="1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SAGA COMMUNICATIONS, INC.</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Samuel D. Bush, Vice President</w:t>
      </w:r>
    </w:p>
    <w:p>
      <w:pPr>
        <w:spacing w:after="0" w:line="309"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Edward K. Christian</w:t>
      </w: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3</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SAGA COMMUNICATIONS, INC.</w:t>
      </w:r>
    </w:p>
    <w:p>
      <w:pPr>
        <w:jc w:val="center"/>
        <w:ind w:right="3139"/>
        <w:spacing w:after="0"/>
        <w:rPr>
          <w:sz w:val="20"/>
          <w:szCs w:val="20"/>
          <w:color w:val="auto"/>
        </w:rPr>
      </w:pPr>
      <w:r>
        <w:rPr>
          <w:rFonts w:ascii="Courier New" w:cs="Courier New" w:eastAsia="Courier New" w:hAnsi="Courier New"/>
          <w:sz w:val="15"/>
          <w:szCs w:val="15"/>
          <w:color w:val="auto"/>
        </w:rPr>
        <w:t>SCHEDULE II - ALLOWANCE FOR DOUBTFUL ACCOUNTS</w:t>
      </w:r>
    </w:p>
    <w:p>
      <w:pPr>
        <w:spacing w:after="0" w:line="140" w:lineRule="exact"/>
        <w:rPr>
          <w:sz w:val="20"/>
          <w:szCs w:val="20"/>
          <w:color w:val="auto"/>
        </w:rPr>
      </w:pPr>
    </w:p>
    <w:tbl>
      <w:tblPr>
        <w:tblLayout w:type="fixed"/>
        <w:tblInd w:w="440" w:type="dxa"/>
        <w:tblCellMar>
          <w:top w:w="0" w:type="dxa"/>
          <w:left w:w="0" w:type="dxa"/>
          <w:bottom w:w="0" w:type="dxa"/>
          <w:right w:w="0" w:type="dxa"/>
        </w:tblCellMar>
      </w:tblPr>
      <w:tr>
        <w:trPr>
          <w:trHeight w:val="245"/>
        </w:trPr>
        <w:tc>
          <w:tcPr>
            <w:tcW w:w="1720" w:type="dxa"/>
            <w:vAlign w:val="bottom"/>
          </w:tcPr>
          <w:p>
            <w:pPr>
              <w:spacing w:after="0"/>
              <w:rPr>
                <w:sz w:val="21"/>
                <w:szCs w:val="21"/>
                <w:color w:val="auto"/>
              </w:rPr>
            </w:pPr>
          </w:p>
        </w:tc>
        <w:tc>
          <w:tcPr>
            <w:tcW w:w="29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(in thousands)</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4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Additions</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2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Balance at</w:t>
            </w:r>
          </w:p>
        </w:tc>
        <w:tc>
          <w:tcPr>
            <w:tcW w:w="25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040" w:type="dxa"/>
            <w:vAlign w:val="bottom"/>
            <w:vMerge w:val="restart"/>
          </w:tcPr>
          <w:p>
            <w:pPr>
              <w:jc w:val="center"/>
              <w:ind w:left="87"/>
              <w:spacing w:after="0"/>
              <w:rPr>
                <w:sz w:val="20"/>
                <w:szCs w:val="20"/>
                <w:color w:val="auto"/>
              </w:rPr>
            </w:pPr>
            <w:r>
              <w:rPr>
                <w:rFonts w:ascii="Courier New" w:cs="Courier New" w:eastAsia="Courier New" w:hAnsi="Courier New"/>
                <w:sz w:val="15"/>
                <w:szCs w:val="15"/>
                <w:color w:val="auto"/>
                <w:w w:val="97"/>
              </w:rPr>
              <w:t>Balance at</w:t>
            </w: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Charged to</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Charged to</w:t>
            </w:r>
          </w:p>
        </w:tc>
        <w:tc>
          <w:tcPr>
            <w:tcW w:w="1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2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Beginning</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Costs and</w:t>
            </w:r>
          </w:p>
        </w:tc>
        <w:tc>
          <w:tcPr>
            <w:tcW w:w="1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Deductions</w:t>
            </w:r>
          </w:p>
        </w:tc>
        <w:tc>
          <w:tcPr>
            <w:tcW w:w="10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End of</w:t>
            </w:r>
          </w:p>
        </w:tc>
        <w:tc>
          <w:tcPr>
            <w:tcW w:w="0" w:type="dxa"/>
            <w:vAlign w:val="bottom"/>
          </w:tcPr>
          <w:p>
            <w:pPr>
              <w:spacing w:after="0"/>
              <w:rPr>
                <w:sz w:val="1"/>
                <w:szCs w:val="1"/>
                <w:color w:val="auto"/>
              </w:rPr>
            </w:pPr>
          </w:p>
        </w:tc>
      </w:tr>
      <w:tr>
        <w:trPr>
          <w:trHeight w:val="194"/>
        </w:trPr>
        <w:tc>
          <w:tcPr>
            <w:tcW w:w="1720" w:type="dxa"/>
            <w:vAlign w:val="bottom"/>
            <w:vMerge w:val="continue"/>
          </w:tcPr>
          <w:p>
            <w:pPr>
              <w:spacing w:after="0"/>
              <w:rPr>
                <w:sz w:val="16"/>
                <w:szCs w:val="16"/>
                <w:color w:val="auto"/>
              </w:rPr>
            </w:pPr>
          </w:p>
        </w:tc>
        <w:tc>
          <w:tcPr>
            <w:tcW w:w="2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of Period</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Expenses</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Accounts</w:t>
            </w:r>
          </w:p>
        </w:tc>
        <w:tc>
          <w:tcPr>
            <w:tcW w:w="1280" w:type="dxa"/>
            <w:vAlign w:val="bottom"/>
            <w:vMerge w:val="continue"/>
          </w:tcPr>
          <w:p>
            <w:pPr>
              <w:spacing w:after="0"/>
              <w:rPr>
                <w:sz w:val="16"/>
                <w:szCs w:val="16"/>
                <w:color w:val="auto"/>
              </w:rPr>
            </w:pPr>
          </w:p>
        </w:tc>
        <w:tc>
          <w:tcPr>
            <w:tcW w:w="10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6"/>
              </w:rPr>
              <w:t>Period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38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$514</w:t>
            </w:r>
          </w:p>
        </w:tc>
        <w:tc>
          <w:tcPr>
            <w:tcW w:w="1900" w:type="dxa"/>
            <w:vAlign w:val="bottom"/>
            <w:vMerge w:val="restart"/>
          </w:tcPr>
          <w:p>
            <w:pPr>
              <w:jc w:val="right"/>
              <w:ind w:right="1027"/>
              <w:spacing w:after="0"/>
              <w:rPr>
                <w:sz w:val="20"/>
                <w:szCs w:val="20"/>
                <w:color w:val="auto"/>
              </w:rPr>
            </w:pPr>
            <w:r>
              <w:rPr>
                <w:rFonts w:ascii="Courier New" w:cs="Courier New" w:eastAsia="Courier New" w:hAnsi="Courier New"/>
                <w:sz w:val="15"/>
                <w:szCs w:val="15"/>
                <w:color w:val="auto"/>
              </w:rPr>
              <w:t>$441</w:t>
            </w:r>
          </w:p>
        </w:tc>
        <w:tc>
          <w:tcPr>
            <w:tcW w:w="200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$459(1)</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$496</w:t>
            </w:r>
          </w:p>
        </w:tc>
        <w:tc>
          <w:tcPr>
            <w:tcW w:w="0" w:type="dxa"/>
            <w:vAlign w:val="bottom"/>
          </w:tcPr>
          <w:p>
            <w:pPr>
              <w:spacing w:after="0"/>
              <w:rPr>
                <w:sz w:val="1"/>
                <w:szCs w:val="1"/>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38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3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38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$319</w:t>
            </w:r>
          </w:p>
        </w:tc>
        <w:tc>
          <w:tcPr>
            <w:tcW w:w="1900" w:type="dxa"/>
            <w:vAlign w:val="bottom"/>
            <w:vMerge w:val="restart"/>
          </w:tcPr>
          <w:p>
            <w:pPr>
              <w:jc w:val="right"/>
              <w:ind w:right="1027"/>
              <w:spacing w:after="0"/>
              <w:rPr>
                <w:sz w:val="20"/>
                <w:szCs w:val="20"/>
                <w:color w:val="auto"/>
              </w:rPr>
            </w:pPr>
            <w:r>
              <w:rPr>
                <w:rFonts w:ascii="Courier New" w:cs="Courier New" w:eastAsia="Courier New" w:hAnsi="Courier New"/>
                <w:sz w:val="15"/>
                <w:szCs w:val="15"/>
                <w:color w:val="auto"/>
              </w:rPr>
              <w:t>$549</w:t>
            </w:r>
          </w:p>
        </w:tc>
        <w:tc>
          <w:tcPr>
            <w:tcW w:w="200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$354(1)</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$514</w:t>
            </w:r>
          </w:p>
        </w:tc>
        <w:tc>
          <w:tcPr>
            <w:tcW w:w="0" w:type="dxa"/>
            <w:vAlign w:val="bottom"/>
          </w:tcPr>
          <w:p>
            <w:pPr>
              <w:spacing w:after="0"/>
              <w:rPr>
                <w:sz w:val="1"/>
                <w:szCs w:val="1"/>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38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3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38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$295</w:t>
            </w:r>
          </w:p>
        </w:tc>
        <w:tc>
          <w:tcPr>
            <w:tcW w:w="1900" w:type="dxa"/>
            <w:vAlign w:val="bottom"/>
            <w:vMerge w:val="restart"/>
          </w:tcPr>
          <w:p>
            <w:pPr>
              <w:jc w:val="right"/>
              <w:ind w:right="1027"/>
              <w:spacing w:after="0"/>
              <w:rPr>
                <w:sz w:val="20"/>
                <w:szCs w:val="20"/>
                <w:color w:val="auto"/>
              </w:rPr>
            </w:pPr>
            <w:r>
              <w:rPr>
                <w:rFonts w:ascii="Courier New" w:cs="Courier New" w:eastAsia="Courier New" w:hAnsi="Courier New"/>
                <w:sz w:val="15"/>
                <w:szCs w:val="15"/>
                <w:color w:val="auto"/>
              </w:rPr>
              <w:t>$365</w:t>
            </w:r>
          </w:p>
        </w:tc>
        <w:tc>
          <w:tcPr>
            <w:tcW w:w="200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$341(1)</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$319</w:t>
            </w:r>
          </w:p>
        </w:tc>
        <w:tc>
          <w:tcPr>
            <w:tcW w:w="0" w:type="dxa"/>
            <w:vAlign w:val="bottom"/>
          </w:tcPr>
          <w:p>
            <w:pPr>
              <w:spacing w:after="0"/>
              <w:rPr>
                <w:sz w:val="1"/>
                <w:szCs w:val="1"/>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38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3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138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$274</w:t>
            </w:r>
          </w:p>
        </w:tc>
        <w:tc>
          <w:tcPr>
            <w:tcW w:w="1900" w:type="dxa"/>
            <w:vAlign w:val="bottom"/>
            <w:vMerge w:val="restart"/>
          </w:tcPr>
          <w:p>
            <w:pPr>
              <w:jc w:val="right"/>
              <w:ind w:right="1027"/>
              <w:spacing w:after="0"/>
              <w:rPr>
                <w:sz w:val="20"/>
                <w:szCs w:val="20"/>
                <w:color w:val="auto"/>
              </w:rPr>
            </w:pPr>
            <w:r>
              <w:rPr>
                <w:rFonts w:ascii="Courier New" w:cs="Courier New" w:eastAsia="Courier New" w:hAnsi="Courier New"/>
                <w:sz w:val="15"/>
                <w:szCs w:val="15"/>
                <w:color w:val="auto"/>
              </w:rPr>
              <w:t>$534</w:t>
            </w:r>
          </w:p>
        </w:tc>
        <w:tc>
          <w:tcPr>
            <w:tcW w:w="200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$513(1)</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$295</w:t>
            </w:r>
          </w:p>
        </w:tc>
        <w:tc>
          <w:tcPr>
            <w:tcW w:w="0" w:type="dxa"/>
            <w:vAlign w:val="bottom"/>
          </w:tcPr>
          <w:p>
            <w:pPr>
              <w:spacing w:after="0"/>
              <w:rPr>
                <w:sz w:val="1"/>
                <w:szCs w:val="1"/>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38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3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Write-off of uncollectible accounts, net of recoveries.</w:t>
      </w:r>
    </w:p>
    <w:p>
      <w:pPr>
        <w:sectPr>
          <w:pgSz w:w="11900" w:h="16838" w:orient="portrait"/>
          <w:cols w:equalWidth="0" w:num="1">
            <w:col w:w="10239"/>
          </w:cols>
          <w:pgMar w:left="220" w:top="261"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10(e)(2)</w:t>
      </w:r>
    </w:p>
    <w:p>
      <w:pPr>
        <w:spacing w:after="0" w:line="30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SECOND AMENDMENT TO PROMISSORY NOTE</w:t>
      </w:r>
    </w:p>
    <w:p>
      <w:pPr>
        <w:spacing w:after="0" w:line="166" w:lineRule="exact"/>
        <w:rPr>
          <w:sz w:val="20"/>
          <w:szCs w:val="20"/>
          <w:color w:val="auto"/>
        </w:rPr>
      </w:pPr>
    </w:p>
    <w:p>
      <w:pPr>
        <w:ind w:right="3499" w:firstLine="612"/>
        <w:spacing w:after="0" w:line="264" w:lineRule="auto"/>
        <w:rPr>
          <w:sz w:val="20"/>
          <w:szCs w:val="20"/>
          <w:color w:val="auto"/>
        </w:rPr>
      </w:pPr>
      <w:r>
        <w:rPr>
          <w:rFonts w:ascii="Courier New" w:cs="Courier New" w:eastAsia="Courier New" w:hAnsi="Courier New"/>
          <w:sz w:val="15"/>
          <w:szCs w:val="15"/>
          <w:color w:val="auto"/>
        </w:rPr>
        <w:t>THIS SECOND AMENDMENT is made as of the 8th day of December, 1998, between SAGA COMMUNICATIONS, INC. (formerly known as Saga Acquisition Co.), a Delaware corporation with its principal office at 73 Kercheval Avenue, Grosse Pointe Farms, Michigan 48236 (the "Payee"), and Edward K. Christian (the "Payor").</w:t>
      </w:r>
    </w:p>
    <w:p>
      <w:pPr>
        <w:spacing w:after="0" w:line="75" w:lineRule="exact"/>
        <w:rPr>
          <w:sz w:val="20"/>
          <w:szCs w:val="20"/>
          <w:color w:val="auto"/>
        </w:rPr>
      </w:pPr>
    </w:p>
    <w:p>
      <w:pPr>
        <w:ind w:left="2280"/>
        <w:spacing w:after="0"/>
        <w:tabs>
          <w:tab w:leader="none" w:pos="4100" w:val="left"/>
        </w:tabs>
        <w:rPr>
          <w:sz w:val="20"/>
          <w:szCs w:val="20"/>
          <w:color w:val="auto"/>
        </w:rPr>
      </w:pPr>
      <w:r>
        <w:rPr>
          <w:rFonts w:ascii="Courier New" w:cs="Courier New" w:eastAsia="Courier New" w:hAnsi="Courier New"/>
          <w:sz w:val="15"/>
          <w:szCs w:val="15"/>
          <w:color w:val="auto"/>
        </w:rPr>
        <w:t>W I T N E S S E T H</w:t>
      </w:r>
      <w:r>
        <w:rPr>
          <w:sz w:val="20"/>
          <w:szCs w:val="20"/>
          <w:color w:val="auto"/>
        </w:rPr>
        <w:tab/>
      </w:r>
      <w:r>
        <w:rPr>
          <w:rFonts w:ascii="Courier New" w:cs="Courier New" w:eastAsia="Courier New" w:hAnsi="Courier New"/>
          <w:sz w:val="14"/>
          <w:szCs w:val="14"/>
          <w:color w:val="auto"/>
        </w:rPr>
        <w:t>T H A T:</w:t>
      </w:r>
    </w:p>
    <w:p>
      <w:pPr>
        <w:spacing w:after="0" w:line="166" w:lineRule="exact"/>
        <w:rPr>
          <w:sz w:val="20"/>
          <w:szCs w:val="20"/>
          <w:color w:val="auto"/>
        </w:rPr>
      </w:pPr>
    </w:p>
    <w:p>
      <w:pPr>
        <w:ind w:right="3399" w:firstLine="612"/>
        <w:spacing w:after="0" w:line="264" w:lineRule="auto"/>
        <w:rPr>
          <w:sz w:val="20"/>
          <w:szCs w:val="20"/>
          <w:color w:val="auto"/>
        </w:rPr>
      </w:pPr>
      <w:r>
        <w:rPr>
          <w:rFonts w:ascii="Courier New" w:cs="Courier New" w:eastAsia="Courier New" w:hAnsi="Courier New"/>
          <w:sz w:val="15"/>
          <w:szCs w:val="15"/>
          <w:color w:val="auto"/>
        </w:rPr>
        <w:t>WHEREAS, Payor has executed and delivered to Payee a certain Promissory Note dated December 10, 1992, as amended December 6, 1995, in the principal amount of Six Hundred Ninety Thousand Seven Hundred Dollars ($690,700) (the "Note") which Note is hereby incorporated by reference herein and made a part hereof; and</w:t>
      </w:r>
    </w:p>
    <w:p>
      <w:pPr>
        <w:spacing w:after="0" w:line="75" w:lineRule="exact"/>
        <w:rPr>
          <w:sz w:val="20"/>
          <w:szCs w:val="20"/>
          <w:color w:val="auto"/>
        </w:rPr>
      </w:pPr>
    </w:p>
    <w:p>
      <w:pPr>
        <w:ind w:right="3319" w:firstLine="612"/>
        <w:spacing w:after="0" w:line="344" w:lineRule="auto"/>
        <w:rPr>
          <w:sz w:val="20"/>
          <w:szCs w:val="20"/>
          <w:color w:val="auto"/>
        </w:rPr>
      </w:pPr>
      <w:r>
        <w:rPr>
          <w:rFonts w:ascii="Courier New" w:cs="Courier New" w:eastAsia="Courier New" w:hAnsi="Courier New"/>
          <w:sz w:val="15"/>
          <w:szCs w:val="15"/>
          <w:color w:val="auto"/>
        </w:rPr>
        <w:t>WHEREAS, the Payor and Payee desire to release the pledge of stock which has secured the Note;</w:t>
      </w:r>
    </w:p>
    <w:p>
      <w:pPr>
        <w:spacing w:after="0" w:line="17" w:lineRule="exact"/>
        <w:rPr>
          <w:sz w:val="20"/>
          <w:szCs w:val="20"/>
          <w:color w:val="auto"/>
        </w:rPr>
      </w:pPr>
    </w:p>
    <w:p>
      <w:pPr>
        <w:ind w:right="3239" w:firstLine="612"/>
        <w:spacing w:after="0" w:line="344" w:lineRule="auto"/>
        <w:rPr>
          <w:sz w:val="20"/>
          <w:szCs w:val="20"/>
          <w:color w:val="auto"/>
        </w:rPr>
      </w:pPr>
      <w:r>
        <w:rPr>
          <w:rFonts w:ascii="Courier New" w:cs="Courier New" w:eastAsia="Courier New" w:hAnsi="Courier New"/>
          <w:sz w:val="15"/>
          <w:szCs w:val="15"/>
          <w:color w:val="auto"/>
        </w:rPr>
        <w:t>NOW, THEREFORE, for good and valuable consideration, the receipt of which is hereby acknowledged, the parties hereto agree as follows:</w:t>
      </w:r>
    </w:p>
    <w:p>
      <w:pPr>
        <w:spacing w:after="0" w:line="17" w:lineRule="exact"/>
        <w:rPr>
          <w:sz w:val="20"/>
          <w:szCs w:val="20"/>
          <w:color w:val="auto"/>
        </w:rPr>
      </w:pPr>
    </w:p>
    <w:p>
      <w:pPr>
        <w:ind w:right="3399" w:firstLine="622"/>
        <w:spacing w:after="0" w:line="290" w:lineRule="auto"/>
        <w:tabs>
          <w:tab w:leader="none" w:pos="87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 is hereby amended by deleting the fourth paragraph of the Note (dealing with the pledge securing the indebtedness evidenced by the Note) in its entirety.</w:t>
      </w:r>
    </w:p>
    <w:p>
      <w:pPr>
        <w:spacing w:after="0" w:line="56" w:lineRule="exact"/>
        <w:rPr>
          <w:rFonts w:ascii="Courier New" w:cs="Courier New" w:eastAsia="Courier New" w:hAnsi="Courier New"/>
          <w:sz w:val="15"/>
          <w:szCs w:val="15"/>
          <w:color w:val="auto"/>
        </w:rPr>
      </w:pPr>
    </w:p>
    <w:p>
      <w:pPr>
        <w:ind w:right="3399" w:firstLine="622"/>
        <w:spacing w:after="0" w:line="344" w:lineRule="auto"/>
        <w:tabs>
          <w:tab w:leader="none" w:pos="87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modified and amended hereby, the Note shall remain in full force and effect and is hereby ratified and affirmed.</w:t>
      </w:r>
    </w:p>
    <w:p>
      <w:pPr>
        <w:spacing w:after="0" w:line="17" w:lineRule="exact"/>
        <w:rPr>
          <w:sz w:val="20"/>
          <w:szCs w:val="20"/>
          <w:color w:val="auto"/>
        </w:rPr>
      </w:pPr>
    </w:p>
    <w:p>
      <w:pPr>
        <w:ind w:right="3319" w:firstLine="612"/>
        <w:spacing w:after="0" w:line="344" w:lineRule="auto"/>
        <w:rPr>
          <w:sz w:val="20"/>
          <w:szCs w:val="20"/>
          <w:color w:val="auto"/>
        </w:rPr>
      </w:pPr>
      <w:r>
        <w:rPr>
          <w:rFonts w:ascii="Courier New" w:cs="Courier New" w:eastAsia="Courier New" w:hAnsi="Courier New"/>
          <w:sz w:val="15"/>
          <w:szCs w:val="15"/>
          <w:color w:val="auto"/>
        </w:rPr>
        <w:t>IN WITNESS WHEREOF, the parties hereto have caused this Second Amendment to be executed as of the day and year first above written.</w:t>
      </w:r>
    </w:p>
    <w:p>
      <w:pPr>
        <w:spacing w:after="0" w:line="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SAGA COMMUNICATIONS, INC.</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Samuel D. Bush, Vice President</w:t>
      </w:r>
    </w:p>
    <w:p>
      <w:pPr>
        <w:spacing w:after="0" w:line="200" w:lineRule="exact"/>
        <w:rPr>
          <w:sz w:val="20"/>
          <w:szCs w:val="20"/>
          <w:color w:val="auto"/>
        </w:rPr>
      </w:pPr>
    </w:p>
    <w:p>
      <w:pPr>
        <w:spacing w:after="0" w:line="27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Edward K. Christian</w:t>
      </w:r>
    </w:p>
    <w:p>
      <w:pPr>
        <w:sectPr>
          <w:pgSz w:w="11900" w:h="16838" w:orient="portrait"/>
          <w:cols w:equalWidth="0" w:num="1">
            <w:col w:w="10239"/>
          </w:cols>
          <w:pgMar w:left="220" w:top="115"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23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5"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effective March 12, 1993, May 25, 1994 and May 5, 1998 (Registration File Nos. 33-59424, 33-79366 and 333-51837) pertaining to the Saga Communications, Inc. 1992 Stock Option Plan, the Registration Statement (Form S-8) effective June 6, 1997 pertaining to the Saga Communications, Inc. 1997 Non-Employee Director Stock Option Plan (Registration file No. 333-28611), the Registration Statement (Form S-8) effective September 14, 1998 (Registration File No. 333-63321) pertaining to the Saga Communications, Inc. Employees 401(k) Savings and Investment Plan, and in the related Prospectuses, of our report dated February 12, 1999 with respect to the consolidated financial statements and schedule of Saga Communications, Inc. included in this Annual Report on Form 10-K 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/s/ Ernst &amp; Young LLP</w:t>
      </w:r>
    </w:p>
    <w:p>
      <w:pPr>
        <w:spacing w:after="0" w:line="2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jc w:val="center"/>
        <w:spacing w:after="0"/>
        <w:rPr>
          <w:sz w:val="20"/>
          <w:szCs w:val="20"/>
          <w:color w:val="auto"/>
        </w:rPr>
      </w:pPr>
      <w:r>
        <w:rPr>
          <w:rFonts w:ascii="Courier New" w:cs="Courier New" w:eastAsia="Courier New" w:hAnsi="Courier New"/>
          <w:sz w:val="15"/>
          <w:szCs w:val="15"/>
          <w:color w:val="auto"/>
        </w:rPr>
        <w:t>Ernst &amp; Young LLP</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1999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116" w:right="1440" w:bottom="1440" w:gutter="0" w:footer="0" w:header="0"/>
        </w:sectPr>
      </w:pPr>
    </w:p>
    <w:bookmarkStart w:id="218" w:name="page219"/>
    <w:bookmarkEnd w:id="218"/>
    <w:p>
      <w:pPr>
        <w:spacing w:after="0"/>
        <w:rPr>
          <w:sz w:val="20"/>
          <w:szCs w:val="20"/>
          <w:color w:val="auto"/>
        </w:rPr>
      </w:pPr>
      <w:r>
        <w:rPr>
          <w:rFonts w:ascii="Courier New" w:cs="Courier New" w:eastAsia="Courier New" w:hAnsi="Courier New"/>
          <w:sz w:val="15"/>
          <w:szCs w:val="15"/>
          <w:color w:val="auto"/>
        </w:rPr>
        <w:t>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rPr>
          <w:sz w:val="20"/>
          <w:szCs w:val="20"/>
          <w:color w:val="auto"/>
        </w:rPr>
      </w:pPr>
      <w:r>
        <w:rPr>
          <w:rFonts w:ascii="Courier New" w:cs="Courier New" w:eastAsia="Courier New" w:hAnsi="Courier New"/>
          <w:sz w:val="15"/>
          <w:szCs w:val="15"/>
          <w:color w:val="auto"/>
        </w:rPr>
        <w:t>U.S. DOLLARS</w:t>
      </w:r>
    </w:p>
    <w:p>
      <w:pPr>
        <w:spacing w:after="0" w:line="30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spacing w:after="0" w:line="2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DEC-31-1998</w:t>
      </w:r>
    </w:p>
    <w:p>
      <w:pPr>
        <w:ind w:left="2440"/>
        <w:spacing w:after="0" w:line="237" w:lineRule="auto"/>
        <w:rPr>
          <w:sz w:val="20"/>
          <w:szCs w:val="20"/>
          <w:color w:val="auto"/>
        </w:rPr>
      </w:pPr>
      <w:r>
        <w:rPr>
          <w:rFonts w:ascii="Courier New" w:cs="Courier New" w:eastAsia="Courier New" w:hAnsi="Courier New"/>
          <w:sz w:val="15"/>
          <w:szCs w:val="15"/>
          <w:color w:val="auto"/>
        </w:rPr>
        <w:t>JAN-01-1998</w:t>
      </w:r>
    </w:p>
    <w:p>
      <w:pPr>
        <w:ind w:left="2620"/>
        <w:spacing w:after="0" w:line="238" w:lineRule="auto"/>
        <w:rPr>
          <w:sz w:val="20"/>
          <w:szCs w:val="20"/>
          <w:color w:val="auto"/>
        </w:rPr>
      </w:pPr>
      <w:r>
        <w:rPr>
          <w:rFonts w:ascii="Courier New" w:cs="Courier New" w:eastAsia="Courier New" w:hAnsi="Courier New"/>
          <w:sz w:val="15"/>
          <w:szCs w:val="15"/>
          <w:color w:val="auto"/>
        </w:rPr>
        <w:t>DEC-31-1998</w:t>
      </w:r>
    </w:p>
    <w:p>
      <w:pPr>
        <w:ind w:left="3240"/>
        <w:spacing w:after="0" w:line="237" w:lineRule="auto"/>
        <w:rPr>
          <w:sz w:val="20"/>
          <w:szCs w:val="20"/>
          <w:color w:val="auto"/>
        </w:rPr>
      </w:pPr>
      <w:r>
        <w:rPr>
          <w:rFonts w:ascii="Courier New" w:cs="Courier New" w:eastAsia="Courier New" w:hAnsi="Courier New"/>
          <w:sz w:val="15"/>
          <w:szCs w:val="15"/>
          <w:color w:val="auto"/>
        </w:rPr>
        <w:t>1</w:t>
      </w:r>
    </w:p>
    <w:p>
      <w:pPr>
        <w:ind w:left="3680"/>
        <w:spacing w:after="0" w:line="238" w:lineRule="auto"/>
        <w:rPr>
          <w:sz w:val="20"/>
          <w:szCs w:val="20"/>
          <w:color w:val="auto"/>
        </w:rPr>
      </w:pPr>
      <w:r>
        <w:rPr>
          <w:rFonts w:ascii="Courier New" w:cs="Courier New" w:eastAsia="Courier New" w:hAnsi="Courier New"/>
          <w:sz w:val="15"/>
          <w:szCs w:val="15"/>
          <w:color w:val="auto"/>
        </w:rPr>
        <w:t>6,664</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14,445</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23,944</w:t>
      </w:r>
    </w:p>
    <w:p>
      <w:pPr>
        <w:ind w:left="3580"/>
        <w:spacing w:after="0" w:line="237" w:lineRule="auto"/>
        <w:rPr>
          <w:sz w:val="20"/>
          <w:szCs w:val="20"/>
          <w:color w:val="auto"/>
        </w:rPr>
      </w:pPr>
      <w:r>
        <w:rPr>
          <w:rFonts w:ascii="Courier New" w:cs="Courier New" w:eastAsia="Courier New" w:hAnsi="Courier New"/>
          <w:sz w:val="15"/>
          <w:szCs w:val="15"/>
          <w:color w:val="auto"/>
        </w:rPr>
        <w:t>35,564</w:t>
      </w:r>
    </w:p>
    <w:p>
      <w:pPr>
        <w:jc w:val="right"/>
        <w:ind w:right="6739"/>
        <w:spacing w:after="0" w:line="238" w:lineRule="auto"/>
        <w:rPr>
          <w:sz w:val="20"/>
          <w:szCs w:val="20"/>
          <w:color w:val="auto"/>
        </w:rPr>
      </w:pPr>
      <w:r>
        <w:rPr>
          <w:rFonts w:ascii="Courier New" w:cs="Courier New" w:eastAsia="Courier New" w:hAnsi="Courier New"/>
          <w:sz w:val="15"/>
          <w:szCs w:val="15"/>
          <w:color w:val="auto"/>
        </w:rPr>
        <w:t>0</w:t>
      </w:r>
    </w:p>
    <w:p>
      <w:pPr>
        <w:jc w:val="right"/>
        <w:ind w:right="6739"/>
        <w:spacing w:after="0" w:line="237" w:lineRule="auto"/>
        <w:rPr>
          <w:sz w:val="20"/>
          <w:szCs w:val="20"/>
          <w:color w:val="auto"/>
        </w:rPr>
      </w:pPr>
      <w:r>
        <w:rPr>
          <w:rFonts w:ascii="Courier New" w:cs="Courier New" w:eastAsia="Courier New" w:hAnsi="Courier New"/>
          <w:sz w:val="15"/>
          <w:szCs w:val="15"/>
          <w:color w:val="auto"/>
        </w:rPr>
        <w:t>130,013</w:t>
      </w:r>
    </w:p>
    <w:p>
      <w:pPr>
        <w:ind w:left="2360"/>
        <w:spacing w:after="0" w:line="238" w:lineRule="auto"/>
        <w:rPr>
          <w:sz w:val="20"/>
          <w:szCs w:val="20"/>
          <w:color w:val="auto"/>
        </w:rPr>
      </w:pPr>
      <w:r>
        <w:rPr>
          <w:rFonts w:ascii="Courier New" w:cs="Courier New" w:eastAsia="Courier New" w:hAnsi="Courier New"/>
          <w:sz w:val="15"/>
          <w:szCs w:val="15"/>
          <w:color w:val="auto"/>
        </w:rPr>
        <w:t>8,689</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128</w:t>
      </w:r>
    </w:p>
    <w:p>
      <w:pPr>
        <w:ind w:left="3240"/>
        <w:spacing w:after="0" w:line="238" w:lineRule="auto"/>
        <w:rPr>
          <w:sz w:val="20"/>
          <w:szCs w:val="20"/>
          <w:color w:val="auto"/>
        </w:rPr>
      </w:pPr>
      <w:r>
        <w:rPr>
          <w:rFonts w:ascii="Courier New" w:cs="Courier New" w:eastAsia="Courier New" w:hAnsi="Courier New"/>
          <w:sz w:val="15"/>
          <w:szCs w:val="15"/>
          <w:color w:val="auto"/>
        </w:rPr>
        <w:t>44,595</w:t>
      </w:r>
    </w:p>
    <w:p>
      <w:pPr>
        <w:ind w:left="1580"/>
        <w:spacing w:after="0" w:line="237" w:lineRule="auto"/>
        <w:rPr>
          <w:sz w:val="20"/>
          <w:szCs w:val="20"/>
          <w:color w:val="auto"/>
        </w:rPr>
      </w:pPr>
      <w:r>
        <w:rPr>
          <w:rFonts w:ascii="Courier New" w:cs="Courier New" w:eastAsia="Courier New" w:hAnsi="Courier New"/>
          <w:sz w:val="15"/>
          <w:szCs w:val="15"/>
          <w:color w:val="auto"/>
        </w:rPr>
        <w:t>130,013</w:t>
      </w:r>
    </w:p>
    <w:p>
      <w:pPr>
        <w:ind w:left="3500"/>
        <w:spacing w:after="0" w:line="238" w:lineRule="auto"/>
        <w:rPr>
          <w:sz w:val="20"/>
          <w:szCs w:val="20"/>
          <w:color w:val="auto"/>
        </w:rPr>
      </w:pPr>
      <w:r>
        <w:rPr>
          <w:rFonts w:ascii="Courier New" w:cs="Courier New" w:eastAsia="Courier New" w:hAnsi="Courier New"/>
          <w:sz w:val="15"/>
          <w:szCs w:val="15"/>
          <w:color w:val="auto"/>
        </w:rPr>
        <w:t>75,871</w:t>
      </w:r>
    </w:p>
    <w:p>
      <w:pPr>
        <w:ind w:left="2700"/>
        <w:spacing w:after="0" w:line="237" w:lineRule="auto"/>
        <w:rPr>
          <w:sz w:val="20"/>
          <w:szCs w:val="20"/>
          <w:color w:val="auto"/>
        </w:rPr>
      </w:pPr>
      <w:r>
        <w:rPr>
          <w:rFonts w:ascii="Courier New" w:cs="Courier New" w:eastAsia="Courier New" w:hAnsi="Courier New"/>
          <w:sz w:val="15"/>
          <w:szCs w:val="15"/>
          <w:color w:val="auto"/>
        </w:rPr>
        <w:t>75,871</w:t>
      </w:r>
    </w:p>
    <w:p>
      <w:pPr>
        <w:jc w:val="right"/>
        <w:ind w:right="5939"/>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48,544</w:t>
      </w:r>
    </w:p>
    <w:p>
      <w:pPr>
        <w:ind w:left="2700"/>
        <w:spacing w:after="0" w:line="237" w:lineRule="auto"/>
        <w:rPr>
          <w:sz w:val="20"/>
          <w:szCs w:val="20"/>
          <w:color w:val="auto"/>
        </w:rPr>
      </w:pPr>
      <w:r>
        <w:rPr>
          <w:rFonts w:ascii="Courier New" w:cs="Courier New" w:eastAsia="Courier New" w:hAnsi="Courier New"/>
          <w:sz w:val="15"/>
          <w:szCs w:val="15"/>
          <w:color w:val="auto"/>
        </w:rPr>
        <w:t>11,487</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line="237" w:lineRule="auto"/>
        <w:rPr>
          <w:sz w:val="20"/>
          <w:szCs w:val="20"/>
          <w:color w:val="auto"/>
        </w:rPr>
      </w:pPr>
      <w:r>
        <w:rPr>
          <w:rFonts w:ascii="Courier New" w:cs="Courier New" w:eastAsia="Courier New" w:hAnsi="Courier New"/>
          <w:sz w:val="15"/>
          <w:szCs w:val="15"/>
          <w:color w:val="auto"/>
        </w:rPr>
        <w:t>4,609</w:t>
      </w:r>
    </w:p>
    <w:p>
      <w:pPr>
        <w:ind w:left="2800"/>
        <w:spacing w:after="0" w:line="238" w:lineRule="auto"/>
        <w:rPr>
          <w:sz w:val="20"/>
          <w:szCs w:val="20"/>
          <w:color w:val="auto"/>
        </w:rPr>
      </w:pPr>
      <w:r>
        <w:rPr>
          <w:rFonts w:ascii="Courier New" w:cs="Courier New" w:eastAsia="Courier New" w:hAnsi="Courier New"/>
          <w:sz w:val="15"/>
          <w:szCs w:val="15"/>
          <w:color w:val="auto"/>
        </w:rPr>
        <w:t>11,231</w:t>
      </w:r>
    </w:p>
    <w:p>
      <w:pPr>
        <w:ind w:left="3140"/>
        <w:spacing w:after="0" w:line="237" w:lineRule="auto"/>
        <w:rPr>
          <w:sz w:val="20"/>
          <w:szCs w:val="20"/>
          <w:color w:val="auto"/>
        </w:rPr>
      </w:pPr>
      <w:r>
        <w:rPr>
          <w:rFonts w:ascii="Courier New" w:cs="Courier New" w:eastAsia="Courier New" w:hAnsi="Courier New"/>
          <w:sz w:val="15"/>
          <w:szCs w:val="15"/>
          <w:color w:val="auto"/>
        </w:rPr>
        <w:t>4,880</w:t>
      </w:r>
    </w:p>
    <w:p>
      <w:pPr>
        <w:ind w:left="2540"/>
        <w:spacing w:after="0" w:line="238" w:lineRule="auto"/>
        <w:rPr>
          <w:sz w:val="20"/>
          <w:szCs w:val="20"/>
          <w:color w:val="auto"/>
        </w:rPr>
      </w:pPr>
      <w:r>
        <w:rPr>
          <w:rFonts w:ascii="Courier New" w:cs="Courier New" w:eastAsia="Courier New" w:hAnsi="Courier New"/>
          <w:sz w:val="15"/>
          <w:szCs w:val="15"/>
          <w:color w:val="auto"/>
        </w:rPr>
        <w:t>6,351</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jc w:val="center"/>
        <w:ind w:right="3399"/>
        <w:spacing w:after="0" w:line="237" w:lineRule="auto"/>
        <w:rPr>
          <w:sz w:val="20"/>
          <w:szCs w:val="20"/>
          <w:color w:val="auto"/>
        </w:rPr>
      </w:pPr>
      <w:r>
        <w:rPr>
          <w:rFonts w:ascii="Courier New" w:cs="Courier New" w:eastAsia="Courier New" w:hAnsi="Courier New"/>
          <w:sz w:val="15"/>
          <w:szCs w:val="15"/>
          <w:color w:val="auto"/>
        </w:rPr>
        <w:t>6,351</w:t>
      </w:r>
    </w:p>
    <w:p>
      <w:pPr>
        <w:jc w:val="center"/>
        <w:ind w:right="3399"/>
        <w:spacing w:after="0" w:line="238" w:lineRule="auto"/>
        <w:rPr>
          <w:sz w:val="20"/>
          <w:szCs w:val="20"/>
          <w:color w:val="auto"/>
        </w:rPr>
      </w:pPr>
      <w:r>
        <w:rPr>
          <w:rFonts w:ascii="Courier New" w:cs="Courier New" w:eastAsia="Courier New" w:hAnsi="Courier New"/>
          <w:sz w:val="15"/>
          <w:szCs w:val="15"/>
          <w:color w:val="auto"/>
        </w:rPr>
        <w:t>.50</w:t>
      </w:r>
    </w:p>
    <w:p>
      <w:pPr>
        <w:jc w:val="center"/>
        <w:ind w:right="3399"/>
        <w:spacing w:after="0"/>
        <w:rPr>
          <w:sz w:val="20"/>
          <w:szCs w:val="20"/>
          <w:color w:val="auto"/>
        </w:rPr>
      </w:pPr>
      <w:r>
        <w:rPr>
          <w:rFonts w:ascii="Courier New" w:cs="Courier New" w:eastAsia="Courier New" w:hAnsi="Courier New"/>
          <w:sz w:val="15"/>
          <w:szCs w:val="15"/>
          <w:color w:val="auto"/>
        </w:rPr>
        <w:t>.49</w:t>
      </w:r>
    </w:p>
    <w:sectPr>
      <w:pgSz w:w="11900" w:h="16838" w:orient="portrait"/>
      <w:cols w:equalWidth="0" w:num="1">
        <w:col w:w="10139"/>
      </w:cols>
      <w:pgMar w:left="32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1]"/>
      <w:numFmt w:val="lowerRoman"/>
      <w:start w:val="10"/>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1."/>
      <w:numFmt w:val="decimal"/>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1)"/>
      <w:numFmt w:val="lowerLetter"/>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1)"/>
      <w:numFmt w:val="decimal"/>
      <w:start w:val="1"/>
    </w:lvl>
  </w:abstractNum>
  <w:abstractNum w:abstractNumId="8">
    <w:nsid w:val="5092CA79"/>
    <w:multiLevelType w:val="hybridMultilevel"/>
    <w:lvl w:ilvl="0">
      <w:lvlJc w:val="left"/>
      <w:lvlText w:val="(%1)"/>
      <w:numFmt w:val="lowerLetter"/>
      <w:start w:val="4"/>
    </w:lvl>
  </w:abstractNum>
  <w:abstractNum w:abstractNumId="9">
    <w:nsid w:val="1D545C4D"/>
    <w:multiLevelType w:val="hybridMultilevel"/>
    <w:lvl w:ilvl="0">
      <w:lvlJc w:val="left"/>
      <w:lvlText w:val="(%1)"/>
      <w:numFmt w:val="decimal"/>
      <w:start w:val="1"/>
    </w:lvl>
  </w:abstractNum>
  <w:abstractNum w:abstractNumId="10">
    <w:nsid w:val="59ADEA3D"/>
    <w:multiLevelType w:val="hybridMultilevel"/>
    <w:lvl w:ilvl="0">
      <w:lvlJc w:val="left"/>
      <w:lvlText w:val="(%1)"/>
      <w:numFmt w:val="decimal"/>
      <w:start w:val="21"/>
    </w:lvl>
  </w:abstractNum>
  <w:abstractNum w:abstractNumId="11">
    <w:nsid w:val="288F1A34"/>
    <w:multiLevelType w:val="hybridMultilevel"/>
    <w:lvl w:ilvl="0">
      <w:lvlJc w:val="left"/>
      <w:lvlText w:val="(%1)"/>
      <w:numFmt w:val="decimal"/>
      <w:start w:val="23"/>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1)"/>
      <w:numFmt w:val="lowerLetter"/>
      <w:start w:val="2"/>
    </w:lvl>
  </w:abstractNum>
  <w:abstractNum w:abstractNumId="18">
    <w:nsid w:val="415E286C"/>
    <w:multiLevelType w:val="hybridMultilevel"/>
    <w:lvl w:ilvl="0">
      <w:lvlJc w:val="left"/>
      <w:lvlText w:val="%1."/>
      <w:numFmt w:val="decimal"/>
      <w:start w:val="1"/>
    </w:lvl>
  </w:abstractNum>
  <w:abstractNum w:abstractNumId="19">
    <w:nsid w:val="7C58FD05"/>
    <w:multiLevelType w:val="hybridMultilevel"/>
    <w:lvl w:ilvl="0">
      <w:lvlJc w:val="left"/>
      <w:lvlText w:val="%1."/>
      <w:numFmt w:val="decimal"/>
      <w:start w:val="1"/>
    </w:lvl>
  </w:abstractNum>
  <w:abstractNum w:abstractNumId="20">
    <w:nsid w:val="23D86AAC"/>
    <w:multiLevelType w:val="hybridMultilevel"/>
    <w:lvl w:ilvl="0">
      <w:lvlJc w:val="left"/>
      <w:lvlText w:val="%1."/>
      <w:numFmt w:val="decimal"/>
      <w:start w:val="1"/>
    </w:lvl>
  </w:abstractNum>
  <w:abstractNum w:abstractNumId="21">
    <w:nsid w:val="45E6D486"/>
    <w:multiLevelType w:val="hybridMultilevel"/>
    <w:lvl w:ilvl="0">
      <w:lvlJc w:val="left"/>
      <w:lvlText w:val="%1."/>
      <w:numFmt w:val="decimal"/>
      <w:start w:val="1"/>
    </w:lvl>
  </w:abstractNum>
  <w:abstractNum w:abstractNumId="22">
    <w:nsid w:val="5C10FE21"/>
    <w:multiLevelType w:val="hybridMultilevel"/>
    <w:lvl w:ilvl="0">
      <w:lvlJc w:val="left"/>
      <w:lvlText w:val="%1."/>
      <w:numFmt w:val="decimal"/>
      <w:start w:val="1"/>
    </w:lvl>
  </w:abstractNum>
  <w:abstractNum w:abstractNumId="23">
    <w:nsid w:val="E7FFA2B"/>
    <w:multiLevelType w:val="hybridMultilevel"/>
    <w:lvl w:ilvl="0">
      <w:lvlJc w:val="left"/>
      <w:lvlText w:val="%1."/>
      <w:numFmt w:val="decimal"/>
      <w:start w:val="3"/>
    </w:lvl>
  </w:abstractNum>
  <w:abstractNum w:abstractNumId="24">
    <w:nsid w:val="3C5991AA"/>
    <w:multiLevelType w:val="hybridMultilevel"/>
    <w:lvl w:ilvl="0">
      <w:lvlJc w:val="left"/>
      <w:lvlText w:val="%1"/>
      <w:numFmt w:val="decimal"/>
      <w:start w:val="470"/>
    </w:lvl>
  </w:abstractNum>
  <w:abstractNum w:abstractNumId="25">
    <w:nsid w:val="4BD8591A"/>
    <w:multiLevelType w:val="hybridMultilevel"/>
    <w:lvl w:ilvl="0">
      <w:lvlJc w:val="left"/>
      <w:lvlText w:val="%1"/>
      <w:numFmt w:val="decimal"/>
      <w:start w:val="436"/>
    </w:lvl>
  </w:abstractNum>
  <w:abstractNum w:abstractNumId="26">
    <w:nsid w:val="78DF6A55"/>
    <w:multiLevelType w:val="hybridMultilevel"/>
    <w:lvl w:ilvl="0">
      <w:lvlJc w:val="left"/>
      <w:lvlText w:val="%1"/>
      <w:numFmt w:val="decimal"/>
      <w:start w:val="181"/>
    </w:lvl>
  </w:abstractNum>
  <w:abstractNum w:abstractNumId="27">
    <w:nsid w:val="39B7AAA2"/>
    <w:multiLevelType w:val="hybridMultilevel"/>
    <w:lvl w:ilvl="0">
      <w:lvlJc w:val="left"/>
      <w:lvlText w:val="%1."/>
      <w:numFmt w:val="decimal"/>
      <w:start w:val="3"/>
    </w:lvl>
  </w:abstractNum>
  <w:abstractNum w:abstractNumId="28">
    <w:nsid w:val="2B0D8DBE"/>
    <w:multiLevelType w:val="hybridMultilevel"/>
    <w:lvl w:ilvl="0">
      <w:lvlJc w:val="left"/>
      <w:lvlText w:val="(%1)"/>
      <w:numFmt w:val="lowerRoman"/>
      <w:start w:val="5"/>
    </w:lvl>
  </w:abstractNum>
  <w:abstractNum w:abstractNumId="29">
    <w:nsid w:val="6C80EC70"/>
    <w:multiLevelType w:val="hybridMultilevel"/>
    <w:lvl w:ilvl="0">
      <w:lvlJc w:val="left"/>
      <w:lvlText w:val="%1."/>
      <w:numFmt w:val="decimal"/>
      <w:start w:val="4"/>
    </w:lvl>
  </w:abstractNum>
  <w:abstractNum w:abstractNumId="30">
    <w:nsid w:val="379E21B5"/>
    <w:multiLevelType w:val="hybridMultilevel"/>
    <w:lvl w:ilvl="0">
      <w:lvlJc w:val="left"/>
      <w:lvlText w:val="%1."/>
      <w:numFmt w:val="decimal"/>
      <w:start w:val="5"/>
    </w:lvl>
  </w:abstractNum>
  <w:abstractNum w:abstractNumId="31">
    <w:nsid w:val="69E373"/>
    <w:multiLevelType w:val="hybridMultilevel"/>
    <w:lvl w:ilvl="0">
      <w:lvlJc w:val="left"/>
      <w:lvlText w:val="%1."/>
      <w:numFmt w:val="decimal"/>
      <w:start w:val="5"/>
    </w:lvl>
  </w:abstractNum>
  <w:abstractNum w:abstractNumId="32">
    <w:nsid w:val="2C27173B"/>
    <w:multiLevelType w:val="hybridMultilevel"/>
    <w:lvl w:ilvl="0">
      <w:lvlJc w:val="left"/>
      <w:lvlText w:val="%1."/>
      <w:numFmt w:val="decimal"/>
      <w:start w:val="6"/>
    </w:lvl>
  </w:abstractNum>
  <w:abstractNum w:abstractNumId="33">
    <w:nsid w:val="4C9B0904"/>
    <w:multiLevelType w:val="hybridMultilevel"/>
    <w:lvl w:ilvl="0">
      <w:lvlJc w:val="left"/>
      <w:lvlText w:val="%1."/>
      <w:numFmt w:val="decimal"/>
      <w:start w:val="6"/>
    </w:lvl>
  </w:abstractNum>
  <w:abstractNum w:abstractNumId="34">
    <w:nsid w:val="6AA7B75C"/>
    <w:multiLevelType w:val="hybridMultilevel"/>
    <w:lvl w:ilvl="0">
      <w:lvlJc w:val="left"/>
      <w:lvlText w:val="%1."/>
      <w:numFmt w:val="decimal"/>
      <w:start w:val="6"/>
    </w:lvl>
  </w:abstractNum>
  <w:abstractNum w:abstractNumId="35">
    <w:nsid w:val="1DF029D3"/>
    <w:multiLevelType w:val="hybridMultilevel"/>
    <w:lvl w:ilvl="0">
      <w:lvlJc w:val="left"/>
      <w:lvlText w:val="%1."/>
      <w:numFmt w:val="decimal"/>
      <w:start w:val="6"/>
    </w:lvl>
  </w:abstractNum>
  <w:abstractNum w:abstractNumId="36">
    <w:nsid w:val="5675FF36"/>
    <w:multiLevelType w:val="hybridMultilevel"/>
    <w:lvl w:ilvl="0">
      <w:lvlJc w:val="left"/>
      <w:lvlText w:val="%1."/>
      <w:numFmt w:val="decimal"/>
      <w:start w:val="6"/>
    </w:lvl>
  </w:abstractNum>
  <w:abstractNum w:abstractNumId="37">
    <w:nsid w:val="3DD15094"/>
    <w:multiLevelType w:val="hybridMultilevel"/>
    <w:lvl w:ilvl="0">
      <w:lvlJc w:val="left"/>
      <w:lvlText w:val="%1."/>
      <w:numFmt w:val="decimal"/>
      <w:start w:val="7"/>
    </w:lvl>
  </w:abstractNum>
  <w:abstractNum w:abstractNumId="38">
    <w:nsid w:val="3DB012B3"/>
    <w:multiLevelType w:val="hybridMultilevel"/>
    <w:lvl w:ilvl="0">
      <w:lvlJc w:val="left"/>
      <w:lvlText w:val="%1."/>
      <w:numFmt w:val="decimal"/>
      <w:start w:val="8"/>
    </w:lvl>
  </w:abstractNum>
  <w:abstractNum w:abstractNumId="39">
    <w:nsid w:val="2708C9AF"/>
    <w:multiLevelType w:val="hybridMultilevel"/>
    <w:lvl w:ilvl="0">
      <w:lvlJc w:val="left"/>
      <w:lvlText w:val="%1."/>
      <w:numFmt w:val="decimal"/>
      <w:start w:val="8"/>
    </w:lvl>
  </w:abstractNum>
  <w:abstractNum w:abstractNumId="40">
    <w:nsid w:val="5B25ACE2"/>
    <w:multiLevelType w:val="hybridMultilevel"/>
    <w:lvl w:ilvl="0">
      <w:lvlJc w:val="left"/>
      <w:lvlText w:val="%1."/>
      <w:numFmt w:val="decimal"/>
      <w:start w:val="9"/>
    </w:lvl>
  </w:abstractNum>
  <w:abstractNum w:abstractNumId="41">
    <w:nsid w:val="175DFCF0"/>
    <w:multiLevelType w:val="hybridMultilevel"/>
    <w:lvl w:ilvl="0">
      <w:lvlJc w:val="left"/>
      <w:lvlText w:val="%1."/>
      <w:numFmt w:val="decimal"/>
      <w:start w:val="10"/>
    </w:lvl>
  </w:abstractNum>
  <w:abstractNum w:abstractNumId="42">
    <w:nsid w:val="4F97E3E4"/>
    <w:multiLevelType w:val="hybridMultilevel"/>
    <w:lvl w:ilvl="0">
      <w:lvlJc w:val="left"/>
      <w:lvlText w:val="%1."/>
      <w:numFmt w:val="decimal"/>
      <w:start w:val="11"/>
    </w:lvl>
  </w:abstractNum>
  <w:abstractNum w:abstractNumId="43">
    <w:nsid w:val="53B0A9E"/>
    <w:multiLevelType w:val="hybridMultilevel"/>
    <w:lvl w:ilvl="0">
      <w:lvlJc w:val="left"/>
      <w:lvlText w:val="%1."/>
      <w:numFmt w:val="decimal"/>
      <w:start w:val="11"/>
    </w:lvl>
  </w:abstractNum>
  <w:abstractNum w:abstractNumId="44">
    <w:nsid w:val="34FD6B4F"/>
    <w:multiLevelType w:val="hybridMultilevel"/>
    <w:lvl w:ilvl="0">
      <w:lvlJc w:val="left"/>
      <w:lvlText w:val="%1."/>
      <w:numFmt w:val="decimal"/>
      <w:start w:val="12"/>
    </w:lvl>
  </w:abstractNum>
  <w:abstractNum w:abstractNumId="45">
    <w:nsid w:val="5915FF32"/>
    <w:multiLevelType w:val="hybridMultilevel"/>
    <w:lvl w:ilvl="0">
      <w:lvlJc w:val="left"/>
      <w:lvlText w:val="%1."/>
      <w:numFmt w:val="decimal"/>
      <w:start w:val="12"/>
    </w:lvl>
  </w:abstractNum>
  <w:abstractNum w:abstractNumId="46">
    <w:nsid w:val="56438D15"/>
    <w:multiLevelType w:val="hybridMultilevel"/>
    <w:lvl w:ilvl="0">
      <w:lvlJc w:val="left"/>
      <w:lvlText w:val="%1."/>
      <w:numFmt w:val="decimal"/>
      <w:start w:val="12"/>
    </w:lvl>
  </w:abstractNum>
  <w:abstractNum w:abstractNumId="47">
    <w:nsid w:val="519E3149"/>
    <w:multiLevelType w:val="hybridMultilevel"/>
    <w:lvl w:ilvl="0">
      <w:lvlJc w:val="left"/>
      <w:lvlText w:val="%1."/>
      <w:numFmt w:val="decimal"/>
      <w:start w:val="13"/>
    </w:lvl>
  </w:abstractNum>
  <w:abstractNum w:abstractNumId="48">
    <w:nsid w:val="2C6E4AFD"/>
    <w:multiLevelType w:val="hybridMultilevel"/>
    <w:lvl w:ilvl="0">
      <w:lvlJc w:val="left"/>
      <w:lvlText w:val="%1."/>
      <w:numFmt w:val="decimal"/>
      <w:start w:val="14"/>
    </w:lvl>
  </w:abstractNum>
  <w:abstractNum w:abstractNumId="49">
    <w:nsid w:val="17A1B582"/>
    <w:multiLevelType w:val="hybridMultilevel"/>
    <w:lvl w:ilvl="0">
      <w:lvlJc w:val="left"/>
      <w:lvlText w:val="1"/>
      <w:numFmt w:val="bullet"/>
      <w:start w:val="1"/>
    </w:lvl>
  </w:abstractNum>
  <w:abstractNum w:abstractNumId="50">
    <w:nsid w:val="4DF72E4E"/>
    <w:multiLevelType w:val="hybridMultilevel"/>
    <w:lvl w:ilvl="0">
      <w:lvlJc w:val="left"/>
      <w:lvlText w:val="B"/>
      <w:numFmt w:val="bullet"/>
      <w:start w:val="1"/>
    </w:lvl>
  </w:abstractNum>
  <w:abstractNum w:abstractNumId="51">
    <w:nsid w:val="5046B5A9"/>
    <w:multiLevelType w:val="hybridMultilevel"/>
    <w:lvl w:ilvl="0">
      <w:lvlJc w:val="left"/>
      <w:lvlText w:val="C"/>
      <w:numFmt w:val="bullet"/>
      <w:start w:val="1"/>
    </w:lvl>
  </w:abstractNum>
  <w:abstractNum w:abstractNumId="52">
    <w:nsid w:val="5D888A08"/>
    <w:multiLevelType w:val="hybridMultilevel"/>
    <w:lvl w:ilvl="0">
      <w:lvlJc w:val="left"/>
      <w:lvlText w:val="D"/>
      <w:numFmt w:val="bullet"/>
      <w:start w:val="1"/>
    </w:lvl>
  </w:abstractNum>
  <w:abstractNum w:abstractNumId="53">
    <w:nsid w:val="2A082C70"/>
    <w:multiLevelType w:val="hybridMultilevel"/>
    <w:lvl w:ilvl="0">
      <w:lvlJc w:val="left"/>
      <w:lvlText w:val="E"/>
      <w:numFmt w:val="bullet"/>
      <w:start w:val="1"/>
    </w:lvl>
  </w:abstractNum>
  <w:abstractNum w:abstractNumId="54">
    <w:nsid w:val="5EC6AFD4"/>
    <w:multiLevelType w:val="hybridMultilevel"/>
    <w:lvl w:ilvl="0">
      <w:lvlJc w:val="left"/>
      <w:lvlText w:val="(%1)"/>
      <w:numFmt w:val="lowerRoman"/>
      <w:start w:val="1"/>
    </w:lvl>
  </w:abstractNum>
  <w:abstractNum w:abstractNumId="55">
    <w:nsid w:val="19E21BB2"/>
    <w:multiLevelType w:val="hybridMultilevel"/>
    <w:lvl w:ilvl="0">
      <w:lvlJc w:val="left"/>
      <w:lvlText w:val="(%1)"/>
      <w:numFmt w:val="lowerRoman"/>
      <w:start w:val="2"/>
    </w:lvl>
  </w:abstractNum>
  <w:abstractNum w:abstractNumId="56">
    <w:nsid w:val="75E0858A"/>
    <w:multiLevelType w:val="hybridMultilevel"/>
    <w:lvl w:ilvl="0">
      <w:lvlJc w:val="left"/>
      <w:lvlText w:val="(%1)"/>
      <w:numFmt w:val="lowerRoman"/>
      <w:start w:val="1"/>
    </w:lvl>
  </w:abstractNum>
  <w:abstractNum w:abstractNumId="57">
    <w:nsid w:val="57A61A29"/>
    <w:multiLevelType w:val="hybridMultilevel"/>
    <w:lvl w:ilvl="0">
      <w:lvlJc w:val="left"/>
      <w:lvlText w:val="(%1)"/>
      <w:numFmt w:val="lowerRoman"/>
      <w:start w:val="3"/>
    </w:lvl>
  </w:abstractNum>
  <w:abstractNum w:abstractNumId="58">
    <w:nsid w:val="5399C654"/>
    <w:multiLevelType w:val="hybridMultilevel"/>
    <w:lvl w:ilvl="0">
      <w:lvlJc w:val="left"/>
      <w:lvlText w:val="(%1)"/>
      <w:numFmt w:val="lowerRoman"/>
      <w:start w:val="1"/>
    </w:lvl>
  </w:abstractNum>
  <w:abstractNum w:abstractNumId="59">
    <w:nsid w:val="20EE1348"/>
    <w:multiLevelType w:val="hybridMultilevel"/>
    <w:lvl w:ilvl="0">
      <w:lvlJc w:val="left"/>
      <w:lvlText w:val="(%1)"/>
      <w:numFmt w:val="lowerRoman"/>
      <w:start w:val="3"/>
    </w:lvl>
  </w:abstractNum>
  <w:abstractNum w:abstractNumId="60">
    <w:nsid w:val="4427069A"/>
    <w:multiLevelType w:val="hybridMultilevel"/>
    <w:lvl w:ilvl="0">
      <w:lvlJc w:val="left"/>
      <w:lvlText w:val="(%1)"/>
      <w:numFmt w:val="lowerRoman"/>
      <w:start w:val="1"/>
    </w:lvl>
  </w:abstractNum>
  <w:abstractNum w:abstractNumId="61">
    <w:nsid w:val="B37E80A"/>
    <w:multiLevelType w:val="hybridMultilevel"/>
    <w:lvl w:ilvl="0">
      <w:lvlJc w:val="left"/>
      <w:lvlText w:val="(%1)"/>
      <w:numFmt w:val="lowerRoman"/>
      <w:start w:val="1"/>
    </w:lvl>
  </w:abstractNum>
  <w:abstractNum w:abstractNumId="62">
    <w:nsid w:val="2157F6BC"/>
    <w:multiLevelType w:val="hybridMultilevel"/>
    <w:lvl w:ilvl="0">
      <w:lvlJc w:val="left"/>
      <w:lvlText w:val="(%1)"/>
      <w:numFmt w:val="lowerRoman"/>
      <w:start w:val="3"/>
    </w:lvl>
    <w:lvl w:ilvl="1">
      <w:lvlJc w:val="left"/>
      <w:lvlText w:val="(%2)"/>
      <w:numFmt w:val="upperLetter"/>
      <w:start w:val="1"/>
    </w:lvl>
  </w:abstractNum>
  <w:abstractNum w:abstractNumId="63">
    <w:nsid w:val="704E1DD5"/>
    <w:multiLevelType w:val="hybridMultilevel"/>
    <w:lvl w:ilvl="0">
      <w:lvlJc w:val="left"/>
      <w:lvlText w:val="(%1)"/>
      <w:numFmt w:val="lowerRoman"/>
      <w:start w:val="1"/>
    </w:lvl>
  </w:abstractNum>
  <w:abstractNum w:abstractNumId="64">
    <w:nsid w:val="57D2F10E"/>
    <w:multiLevelType w:val="hybridMultilevel"/>
    <w:lvl w:ilvl="0">
      <w:lvlJc w:val="left"/>
      <w:lvlText w:val="(%1)"/>
      <w:numFmt w:val="lowerRoman"/>
      <w:start w:val="21"/>
    </w:lvl>
  </w:abstractNum>
  <w:abstractNum w:abstractNumId="65">
    <w:nsid w:val="BFFAE18"/>
    <w:multiLevelType w:val="hybridMultilevel"/>
    <w:lvl w:ilvl="0">
      <w:lvlJc w:val="left"/>
      <w:lvlText w:val="(%1)"/>
      <w:numFmt w:val="lowerRoman"/>
      <w:start w:val="2"/>
    </w:lvl>
  </w:abstractNum>
  <w:abstractNum w:abstractNumId="66">
    <w:nsid w:val="E3E47A8"/>
    <w:multiLevelType w:val="hybridMultilevel"/>
    <w:lvl w:ilvl="0">
      <w:lvlJc w:val="left"/>
      <w:lvlText w:val="(%1)"/>
      <w:numFmt w:val="lowerLetter"/>
      <w:start w:val="1"/>
    </w:lvl>
  </w:abstractNum>
  <w:abstractNum w:abstractNumId="67">
    <w:nsid w:val="2E48F044"/>
    <w:multiLevelType w:val="hybridMultilevel"/>
    <w:lvl w:ilvl="0">
      <w:lvlJc w:val="left"/>
      <w:lvlText w:val="(%1)"/>
      <w:numFmt w:val="lowerLetter"/>
      <w:start w:val="3"/>
    </w:lvl>
  </w:abstractNum>
  <w:abstractNum w:abstractNumId="68">
    <w:nsid w:val="49D0FEAC"/>
    <w:multiLevelType w:val="hybridMultilevel"/>
    <w:lvl w:ilvl="0">
      <w:lvlJc w:val="left"/>
      <w:lvlText w:val="(%1)"/>
      <w:numFmt w:val="lowerLetter"/>
      <w:start w:val="1"/>
    </w:lvl>
  </w:abstractNum>
  <w:abstractNum w:abstractNumId="69">
    <w:nsid w:val="4BEE5A5B"/>
    <w:multiLevelType w:val="hybridMultilevel"/>
    <w:lvl w:ilvl="0">
      <w:lvlJc w:val="left"/>
      <w:lvlText w:val="(%1)"/>
      <w:numFmt w:val="upperLetter"/>
      <w:start w:val="3"/>
    </w:lvl>
    <w:lvl w:ilvl="1">
      <w:lvlJc w:val="left"/>
      <w:lvlText w:val="(%2)"/>
      <w:numFmt w:val="lowerLetter"/>
      <w:start w:val="2"/>
    </w:lvl>
  </w:abstractNum>
  <w:abstractNum w:abstractNumId="70">
    <w:nsid w:val="5551B9F3"/>
    <w:multiLevelType w:val="hybridMultilevel"/>
    <w:lvl w:ilvl="0">
      <w:lvlJc w:val="left"/>
      <w:lvlText w:val="(%1)"/>
      <w:numFmt w:val="lowerRoman"/>
      <w:start w:val="1"/>
    </w:lvl>
  </w:abstractNum>
  <w:abstractNum w:abstractNumId="71">
    <w:nsid w:val="24F6AB8E"/>
    <w:multiLevelType w:val="hybridMultilevel"/>
    <w:lvl w:ilvl="0">
      <w:lvlJc w:val="left"/>
      <w:lvlText w:val="(%1)"/>
      <w:numFmt w:val="lowerRoman"/>
      <w:start w:val="2"/>
    </w:lvl>
  </w:abstractNum>
  <w:abstractNum w:abstractNumId="72">
    <w:nsid w:val="634C574C"/>
    <w:multiLevelType w:val="hybridMultilevel"/>
    <w:lvl w:ilvl="0">
      <w:lvlJc w:val="left"/>
      <w:lvlText w:val="(%1)"/>
      <w:numFmt w:val="lowerLetter"/>
      <w:start w:val="1"/>
    </w:lvl>
    <w:lvl w:ilvl="1">
      <w:lvlJc w:val="left"/>
      <w:lvlText w:val="(%2)"/>
      <w:numFmt w:val="lowerRoman"/>
      <w:start w:val="1"/>
    </w:lvl>
  </w:abstractNum>
  <w:abstractNum w:abstractNumId="73">
    <w:nsid w:val="24E99DD7"/>
    <w:multiLevelType w:val="hybridMultilevel"/>
    <w:lvl w:ilvl="0">
      <w:lvlJc w:val="left"/>
      <w:lvlText w:val="(%1)"/>
      <w:numFmt w:val="lowerLetter"/>
      <w:start w:val="2"/>
    </w:lvl>
  </w:abstractNum>
  <w:abstractNum w:abstractNumId="74">
    <w:nsid w:val="2A31B62D"/>
    <w:multiLevelType w:val="hybridMultilevel"/>
    <w:lvl w:ilvl="0">
      <w:lvlJc w:val="left"/>
      <w:lvlText w:val="(%1)"/>
      <w:numFmt w:val="lowerLetter"/>
      <w:start w:val="1"/>
    </w:lvl>
  </w:abstractNum>
  <w:abstractNum w:abstractNumId="75">
    <w:nsid w:val="1849C29B"/>
    <w:multiLevelType w:val="hybridMultilevel"/>
    <w:lvl w:ilvl="0">
      <w:lvlJc w:val="left"/>
      <w:lvlText w:val="(%1)"/>
      <w:numFmt w:val="lowerLetter"/>
      <w:start w:val="2"/>
    </w:lvl>
  </w:abstractNum>
  <w:abstractNum w:abstractNumId="76">
    <w:nsid w:val="7DFF9D09"/>
    <w:multiLevelType w:val="hybridMultilevel"/>
    <w:lvl w:ilvl="0">
      <w:lvlJc w:val="left"/>
      <w:lvlText w:val="(%1)"/>
      <w:numFmt w:val="lowerLetter"/>
      <w:start w:val="1"/>
    </w:lvl>
  </w:abstractNum>
  <w:abstractNum w:abstractNumId="77">
    <w:nsid w:val="754342"/>
    <w:multiLevelType w:val="hybridMultilevel"/>
    <w:lvl w:ilvl="0">
      <w:lvlJc w:val="left"/>
      <w:lvlText w:val="(%1)"/>
      <w:numFmt w:val="lowerLetter"/>
      <w:start w:val="3"/>
    </w:lvl>
  </w:abstractNum>
  <w:abstractNum w:abstractNumId="78">
    <w:nsid w:val="69E7F3E5"/>
    <w:multiLevelType w:val="hybridMultilevel"/>
    <w:lvl w:ilvl="0">
      <w:lvlJc w:val="left"/>
      <w:lvlText w:val="%1"/>
      <w:numFmt w:val="lowerLetter"/>
      <w:start w:val="1"/>
    </w:lvl>
    <w:lvl w:ilvl="1">
      <w:lvlJc w:val="left"/>
      <w:lvlText w:val="(%2)"/>
      <w:numFmt w:val="lowerLetter"/>
      <w:start w:val="4"/>
    </w:lvl>
  </w:abstractNum>
  <w:abstractNum w:abstractNumId="79">
    <w:nsid w:val="2A6DE806"/>
    <w:multiLevelType w:val="hybridMultilevel"/>
    <w:lvl w:ilvl="0">
      <w:lvlJc w:val="left"/>
      <w:lvlText w:val="(%1)"/>
      <w:numFmt w:val="lowerLetter"/>
      <w:start w:val="9"/>
    </w:lvl>
    <w:lvl w:ilvl="1">
      <w:lvlJc w:val="left"/>
      <w:lvlText w:val="%2"/>
      <w:numFmt w:val="lowerLetter"/>
      <w:start w:val="1"/>
    </w:lvl>
  </w:abstractNum>
  <w:abstractNum w:abstractNumId="80">
    <w:nsid w:val="1816F8C4"/>
    <w:multiLevelType w:val="hybridMultilevel"/>
    <w:lvl w:ilvl="0">
      <w:lvlJc w:val="left"/>
      <w:lvlText w:val="(%1)"/>
      <w:numFmt w:val="lowerLetter"/>
      <w:start w:val="5"/>
    </w:lvl>
  </w:abstractNum>
  <w:abstractNum w:abstractNumId="81">
    <w:nsid w:val="37DF2233"/>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24"/>
    </w:lvl>
  </w:abstractNum>
  <w:abstractNum w:abstractNumId="82">
    <w:nsid w:val="7AB49DAF"/>
    <w:multiLevelType w:val="hybridMultilevel"/>
    <w:lvl w:ilvl="0">
      <w:lvlJc w:val="left"/>
      <w:lvlText w:val="(%1)"/>
      <w:numFmt w:val="lowerLetter"/>
      <w:start w:val="7"/>
    </w:lvl>
    <w:lvl w:ilvl="1">
      <w:lvlJc w:val="left"/>
      <w:lvlText w:val="(%2)"/>
      <w:numFmt w:val="lowerRoman"/>
      <w:start w:val="1"/>
    </w:lvl>
  </w:abstractNum>
  <w:abstractNum w:abstractNumId="83">
    <w:nsid w:val="759F82CD"/>
    <w:multiLevelType w:val="hybridMultilevel"/>
    <w:lvl w:ilvl="0">
      <w:lvlJc w:val="left"/>
      <w:lvlText w:val="(%1)"/>
      <w:numFmt w:val="lowerRoman"/>
      <w:start w:val="2"/>
    </w:lvl>
  </w:abstractNum>
  <w:abstractNum w:abstractNumId="84">
    <w:nsid w:val="61E74EA3"/>
    <w:multiLevelType w:val="hybridMultilevel"/>
    <w:lvl w:ilvl="0">
      <w:lvlJc w:val="left"/>
      <w:lvlText w:val="%1"/>
      <w:numFmt w:val="lowerLetter"/>
      <w:start w:val="1"/>
    </w:lvl>
    <w:lvl w:ilvl="1">
      <w:lvlJc w:val="left"/>
      <w:lvlText w:val="(%2)"/>
      <w:numFmt w:val="lowerLetter"/>
      <w:start w:val="1"/>
    </w:lvl>
  </w:abstractNum>
  <w:abstractNum w:abstractNumId="85">
    <w:nsid w:val="597B4D84"/>
    <w:multiLevelType w:val="hybridMultilevel"/>
    <w:lvl w:ilvl="0">
      <w:lvlJc w:val="left"/>
      <w:lvlText w:val="(%1)"/>
      <w:numFmt w:val="lowerLetter"/>
      <w:start w:val="9"/>
    </w:lvl>
    <w:lvl w:ilvl="1">
      <w:lvlJc w:val="left"/>
      <w:lvlText w:val="(%2)"/>
      <w:numFmt w:val="lowerLetter"/>
      <w:start w:val="2"/>
    </w:lvl>
  </w:abstractNum>
  <w:abstractNum w:abstractNumId="86">
    <w:nsid w:val="F819E7F"/>
    <w:multiLevelType w:val="hybridMultilevel"/>
    <w:lvl w:ilvl="0">
      <w:lvlJc w:val="left"/>
      <w:lvlText w:val="(%1)"/>
      <w:numFmt w:val="lowerRoman"/>
      <w:start w:val="2"/>
    </w:lvl>
  </w:abstractNum>
  <w:abstractNum w:abstractNumId="87">
    <w:nsid w:val="57C7D42D"/>
    <w:multiLevelType w:val="hybridMultilevel"/>
    <w:lvl w:ilvl="0">
      <w:lvlJc w:val="left"/>
      <w:lvlText w:val="(%1)"/>
      <w:numFmt w:val="lowerLetter"/>
      <w:start w:val="1"/>
    </w:lvl>
  </w:abstractNum>
  <w:abstractNum w:abstractNumId="88">
    <w:nsid w:val="312167AD"/>
    <w:multiLevelType w:val="hybridMultilevel"/>
    <w:lvl w:ilvl="0">
      <w:lvlJc w:val="left"/>
      <w:lvlText w:val="%1"/>
      <w:numFmt w:val="lowerLetter"/>
      <w:start w:val="1"/>
    </w:lvl>
    <w:lvl w:ilvl="1">
      <w:lvlJc w:val="left"/>
      <w:lvlText w:val="(%2)"/>
      <w:numFmt w:val="lowerLetter"/>
      <w:start w:val="1"/>
    </w:lvl>
  </w:abstractNum>
  <w:abstractNum w:abstractNumId="89">
    <w:nsid w:val="631B64D4"/>
    <w:multiLevelType w:val="hybridMultilevel"/>
    <w:lvl w:ilvl="0">
      <w:lvlJc w:val="left"/>
      <w:lvlText w:val="(%1)"/>
      <w:numFmt w:val="lowerLetter"/>
      <w:start w:val="9"/>
    </w:lvl>
    <w:lvl w:ilvl="1">
      <w:lvlJc w:val="left"/>
      <w:lvlText w:val="%2"/>
      <w:numFmt w:val="lowerLetter"/>
      <w:start w:val="1"/>
    </w:lvl>
  </w:abstractNum>
  <w:abstractNum w:abstractNumId="90">
    <w:nsid w:val="78B5E776"/>
    <w:multiLevelType w:val="hybridMultilevel"/>
    <w:lvl w:ilvl="0">
      <w:lvlJc w:val="left"/>
      <w:lvlText w:val="%1"/>
      <w:numFmt w:val="lowerLetter"/>
      <w:start w:val="1"/>
    </w:lvl>
    <w:lvl w:ilvl="1">
      <w:lvlJc w:val="left"/>
      <w:lvlText w:val="(%2)"/>
      <w:numFmt w:val="lowerLetter"/>
      <w:start w:val="2"/>
    </w:lvl>
  </w:abstractNum>
  <w:abstractNum w:abstractNumId="91">
    <w:nsid w:val="75486E47"/>
    <w:multiLevelType w:val="hybridMultilevel"/>
    <w:lvl w:ilvl="0">
      <w:lvlJc w:val="left"/>
      <w:lvlText w:val="(%1)"/>
      <w:numFmt w:val="lowerLetter"/>
      <w:start w:val="9"/>
    </w:lvl>
    <w:lvl w:ilvl="1">
      <w:lvlJc w:val="left"/>
      <w:lvlText w:val="%2"/>
      <w:numFmt w:val="lowerLetter"/>
      <w:start w:val="1"/>
    </w:lvl>
  </w:abstractNum>
  <w:abstractNum w:abstractNumId="92">
    <w:nsid w:val="6E534CDE"/>
    <w:multiLevelType w:val="hybridMultilevel"/>
    <w:lvl w:ilvl="0">
      <w:lvlJc w:val="left"/>
      <w:lvlText w:val="(%1)"/>
      <w:numFmt w:val="lowerLetter"/>
      <w:start w:val="3"/>
    </w:lvl>
  </w:abstractNum>
  <w:abstractNum w:abstractNumId="93">
    <w:nsid w:val="1A0DDE32"/>
    <w:multiLevelType w:val="hybridMultilevel"/>
    <w:lvl w:ilvl="0">
      <w:lvlJc w:val="left"/>
      <w:lvlText w:val="(%1)"/>
      <w:numFmt w:val="lowerLetter"/>
      <w:start w:val="1"/>
    </w:lvl>
  </w:abstractNum>
  <w:abstractNum w:abstractNumId="94">
    <w:nsid w:val="65968C1C"/>
    <w:multiLevelType w:val="hybridMultilevel"/>
    <w:lvl w:ilvl="0">
      <w:lvlJc w:val="left"/>
      <w:lvlText w:val="(%1)"/>
      <w:numFmt w:val="upperLetter"/>
      <w:start w:val="3"/>
    </w:lvl>
    <w:lvl w:ilvl="1">
      <w:lvlJc w:val="left"/>
      <w:lvlText w:val="%2"/>
      <w:numFmt w:val="lowerLetter"/>
      <w:start w:val="1"/>
    </w:lvl>
  </w:abstractNum>
  <w:abstractNum w:abstractNumId="95">
    <w:nsid w:val="46263DEC"/>
    <w:multiLevelType w:val="hybridMultilevel"/>
    <w:lvl w:ilvl="0">
      <w:lvlJc w:val="left"/>
      <w:lvlText w:val="(%1)"/>
      <w:numFmt w:val="upperLetter"/>
      <w:start w:val="1"/>
    </w:lvl>
    <w:lvl w:ilvl="1">
      <w:lvlJc w:val="left"/>
      <w:lvlText w:val="(%2)"/>
      <w:numFmt w:val="lowerLetter"/>
      <w:start w:val="2"/>
    </w:lvl>
  </w:abstractNum>
  <w:abstractNum w:abstractNumId="96">
    <w:nsid w:val="260D8C4A"/>
    <w:multiLevelType w:val="hybridMultilevel"/>
    <w:lvl w:ilvl="0">
      <w:lvlJc w:val="left"/>
      <w:lvlText w:val="(%1)"/>
      <w:numFmt w:val="lowerLetter"/>
      <w:start w:val="1"/>
    </w:lvl>
    <w:lvl w:ilvl="1">
      <w:lvlJc w:val="left"/>
      <w:lvlText w:val="(%2)"/>
      <w:numFmt w:val="lowerRoman"/>
      <w:start w:val="1"/>
    </w:lvl>
  </w:abstractNum>
  <w:abstractNum w:abstractNumId="97">
    <w:nsid w:val="73D4D3C4"/>
    <w:multiLevelType w:val="hybridMultilevel"/>
    <w:lvl w:ilvl="0">
      <w:lvlJc w:val="left"/>
      <w:lvlText w:val="%1"/>
      <w:numFmt w:val="lowerLetter"/>
      <w:start w:val="1"/>
    </w:lvl>
    <w:lvl w:ilvl="1">
      <w:lvlJc w:val="left"/>
      <w:lvlText w:val="(%2)"/>
      <w:numFmt w:val="lowerRoman"/>
      <w:start w:val="6"/>
    </w:lvl>
  </w:abstractNum>
  <w:abstractNum w:abstractNumId="98">
    <w:nsid w:val="746F2E30"/>
    <w:multiLevelType w:val="hybridMultilevel"/>
    <w:lvl w:ilvl="0">
      <w:lvlJc w:val="left"/>
      <w:lvlText w:val="(%1)"/>
      <w:numFmt w:val="lowerLetter"/>
      <w:start w:val="2"/>
    </w:lvl>
    <w:lvl w:ilvl="1">
      <w:lvlJc w:val="left"/>
      <w:lvlText w:val="%2"/>
      <w:numFmt w:val="lowerRoman"/>
      <w:start w:val="1"/>
    </w:lvl>
  </w:abstractNum>
  <w:abstractNum w:abstractNumId="99">
    <w:nsid w:val="6FDE8AF6"/>
    <w:multiLevelType w:val="hybridMultilevel"/>
    <w:lvl w:ilvl="0">
      <w:lvlJc w:val="left"/>
      <w:lvlText w:val="(%1)"/>
      <w:numFmt w:val="lowerLetter"/>
      <w:start w:val="1"/>
    </w:lvl>
  </w:abstractNum>
  <w:abstractNum w:abstractNumId="100">
    <w:nsid w:val="3FC32E20"/>
    <w:multiLevelType w:val="hybridMultilevel"/>
    <w:lvl w:ilvl="0">
      <w:lvlJc w:val="left"/>
      <w:lvlText w:val="(%1)"/>
      <w:numFmt w:val="lowerLetter"/>
      <w:start w:val="1"/>
    </w:lvl>
  </w:abstractNum>
  <w:abstractNum w:abstractNumId="101">
    <w:nsid w:val="49C0E823"/>
    <w:multiLevelType w:val="hybridMultilevel"/>
    <w:lvl w:ilvl="0">
      <w:lvlJc w:val="left"/>
      <w:lvlText w:val="%1"/>
      <w:numFmt w:val="lowerLetter"/>
      <w:start w:val="1"/>
    </w:lvl>
    <w:lvl w:ilvl="1">
      <w:lvlJc w:val="left"/>
      <w:lvlText w:val="(%2)"/>
      <w:numFmt w:val="lowerLetter"/>
      <w:start w:val="2"/>
    </w:lvl>
  </w:abstractNum>
  <w:abstractNum w:abstractNumId="102">
    <w:nsid w:val="14D53685"/>
    <w:multiLevelType w:val="hybridMultilevel"/>
    <w:lvl w:ilvl="0">
      <w:lvlJc w:val="left"/>
      <w:lvlText w:val="(%1)"/>
      <w:numFmt w:val="lowerLetter"/>
      <w:start w:val="61"/>
    </w:lvl>
    <w:lvl w:ilvl="1">
      <w:lvlJc w:val="left"/>
      <w:lvlText w:val="%2"/>
      <w:numFmt w:val="lowerLetter"/>
      <w:start w:val="1"/>
    </w:lvl>
  </w:abstractNum>
  <w:abstractNum w:abstractNumId="103">
    <w:nsid w:val="230F856C"/>
    <w:multiLevelType w:val="hybridMultilevel"/>
    <w:lvl w:ilvl="0">
      <w:lvlJc w:val="left"/>
      <w:lvlText w:val="(%1)"/>
      <w:numFmt w:val="lowerLetter"/>
      <w:start w:val="3"/>
    </w:lvl>
  </w:abstractNum>
  <w:abstractNum w:abstractNumId="104">
    <w:nsid w:val="6EAA85FB"/>
    <w:multiLevelType w:val="hybridMultilevel"/>
    <w:lvl w:ilvl="0">
      <w:lvlJc w:val="left"/>
      <w:lvlText w:val="(%1)"/>
      <w:numFmt w:val="lowerRoman"/>
      <w:start w:val="3"/>
    </w:lvl>
  </w:abstractNum>
  <w:abstractNum w:abstractNumId="105">
    <w:nsid w:val="3F06ECB2"/>
    <w:multiLevelType w:val="hybridMultilevel"/>
    <w:lvl w:ilvl="0">
      <w:lvlJc w:val="left"/>
      <w:lvlText w:val="(%1)"/>
      <w:numFmt w:val="lowerLetter"/>
      <w:start w:val="1"/>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1"/>
    </w:lvl>
  </w:abstractNum>
  <w:abstractNum w:abstractNumId="108">
    <w:nsid w:val="3F7C2FF4"/>
    <w:multiLevelType w:val="hybridMultilevel"/>
    <w:lvl w:ilvl="0">
      <w:lvlJc w:val="left"/>
      <w:lvlText w:val="(%1)"/>
      <w:numFmt w:val="lowerLetter"/>
      <w:start w:val="1"/>
    </w:lvl>
  </w:abstractNum>
  <w:abstractNum w:abstractNumId="109">
    <w:nsid w:val="25413BEC"/>
    <w:multiLevelType w:val="hybridMultilevel"/>
    <w:lvl w:ilvl="0">
      <w:lvlJc w:val="left"/>
      <w:lvlText w:val="(%1)"/>
      <w:numFmt w:val="lowerLetter"/>
      <w:start w:val="6"/>
    </w:lvl>
  </w:abstractNum>
  <w:abstractNum w:abstractNumId="110">
    <w:nsid w:val="17180B0B"/>
    <w:multiLevelType w:val="hybridMultilevel"/>
    <w:lvl w:ilvl="0">
      <w:lvlJc w:val="left"/>
      <w:lvlText w:val="(%1)"/>
      <w:numFmt w:val="lowerLetter"/>
      <w:start w:val="1"/>
    </w:lvl>
    <w:lvl w:ilvl="1">
      <w:lvlJc w:val="left"/>
      <w:lvlText w:val="(%2)"/>
      <w:numFmt w:val="lowerRoman"/>
      <w:start w:val="1"/>
    </w:lvl>
  </w:abstractNum>
  <w:abstractNum w:abstractNumId="111">
    <w:nsid w:val="579328B9"/>
    <w:multiLevelType w:val="hybridMultilevel"/>
    <w:lvl w:ilvl="0">
      <w:lvlJc w:val="left"/>
      <w:lvlText w:val="(%1)"/>
      <w:numFmt w:val="lowerRoman"/>
      <w:start w:val="5"/>
    </w:lvl>
  </w:abstractNum>
  <w:abstractNum w:abstractNumId="112">
    <w:nsid w:val="5D205E20"/>
    <w:multiLevelType w:val="hybridMultilevel"/>
    <w:lvl w:ilvl="0">
      <w:lvlJc w:val="left"/>
      <w:lvlText w:val="(%1)"/>
      <w:numFmt w:val="lowerLetter"/>
      <w:start w:val="2"/>
    </w:lvl>
  </w:abstractNum>
  <w:abstractNum w:abstractNumId="113">
    <w:nsid w:val="11CCA8BA"/>
    <w:multiLevelType w:val="hybridMultilevel"/>
    <w:lvl w:ilvl="0">
      <w:lvlJc w:val="left"/>
      <w:lvlText w:val="(%1)"/>
      <w:numFmt w:val="lowerLetter"/>
      <w:start w:val="1"/>
    </w:lvl>
  </w:abstractNum>
  <w:abstractNum w:abstractNumId="114">
    <w:nsid w:val="4D32AB86"/>
    <w:multiLevelType w:val="hybridMultilevel"/>
    <w:lvl w:ilvl="0">
      <w:lvlJc w:val="left"/>
      <w:lvlText w:val="%1"/>
      <w:numFmt w:val="lowerLetter"/>
      <w:start w:val="1"/>
    </w:lvl>
    <w:lvl w:ilvl="1">
      <w:lvlJc w:val="left"/>
      <w:lvlText w:val="(%2)"/>
      <w:numFmt w:val="lowerLetter"/>
      <w:start w:val="1"/>
    </w:lvl>
  </w:abstractNum>
  <w:abstractNum w:abstractNumId="115">
    <w:nsid w:val="3F07ACC3"/>
    <w:multiLevelType w:val="hybridMultilevel"/>
    <w:lvl w:ilvl="0">
      <w:lvlJc w:val="left"/>
      <w:lvlText w:val="(%1)"/>
      <w:numFmt w:val="lowerLetter"/>
      <w:start w:val="3"/>
    </w:lvl>
    <w:lvl w:ilvl="1">
      <w:lvlJc w:val="left"/>
      <w:lvlText w:val="(%2)"/>
      <w:numFmt w:val="lowerLetter"/>
      <w:start w:val="3"/>
    </w:lvl>
  </w:abstractNum>
  <w:abstractNum w:abstractNumId="116">
    <w:nsid w:val="6B47F63E"/>
    <w:multiLevelType w:val="hybridMultilevel"/>
    <w:lvl w:ilvl="0">
      <w:lvlJc w:val="left"/>
      <w:lvlText w:val="(%1)"/>
      <w:numFmt w:val="lowerRoman"/>
      <w:start w:val="1"/>
    </w:lvl>
  </w:abstractNum>
  <w:abstractNum w:abstractNumId="117">
    <w:nsid w:val="5CB44A05"/>
    <w:multiLevelType w:val="hybridMultilevel"/>
    <w:lvl w:ilvl="0">
      <w:lvlJc w:val="left"/>
      <w:lvlText w:val="(%1)"/>
      <w:numFmt w:val="lowerLetter"/>
      <w:start w:val="1"/>
    </w:lvl>
  </w:abstractNum>
  <w:abstractNum w:abstractNumId="118">
    <w:nsid w:val="16CF80F1"/>
    <w:multiLevelType w:val="hybridMultilevel"/>
    <w:lvl w:ilvl="0">
      <w:lvlJc w:val="left"/>
      <w:lvlText w:val="(%1)"/>
      <w:numFmt w:val="upperLetter"/>
      <w:start w:val="1"/>
    </w:lvl>
  </w:abstractNum>
  <w:abstractNum w:abstractNumId="119">
    <w:nsid w:val="1C695DEC"/>
    <w:multiLevelType w:val="hybridMultilevel"/>
    <w:lvl w:ilvl="0">
      <w:lvlJc w:val="left"/>
      <w:lvlText w:val="(%1)"/>
      <w:numFmt w:val="lowerLetter"/>
      <w:start w:val="1"/>
    </w:lvl>
  </w:abstractNum>
  <w:abstractNum w:abstractNumId="120">
    <w:nsid w:val="3FCFAED9"/>
    <w:multiLevelType w:val="hybridMultilevel"/>
    <w:lvl w:ilvl="0">
      <w:lvlJc w:val="left"/>
      <w:lvlText w:val="%1"/>
      <w:numFmt w:val="lowerLetter"/>
      <w:start w:val="1"/>
    </w:lvl>
    <w:lvl w:ilvl="1">
      <w:lvlJc w:val="left"/>
      <w:lvlText w:val="(%2)"/>
      <w:numFmt w:val="lowerLetter"/>
      <w:start w:val="2"/>
    </w:lvl>
  </w:abstractNum>
  <w:abstractNum w:abstractNumId="121">
    <w:nsid w:val="F856867"/>
    <w:multiLevelType w:val="hybridMultilevel"/>
    <w:lvl w:ilvl="0">
      <w:lvlJc w:val="left"/>
      <w:lvlText w:val="(%1)"/>
      <w:numFmt w:val="lowerLetter"/>
      <w:start w:val="35"/>
    </w:lvl>
    <w:lvl w:ilvl="1">
      <w:lvlJc w:val="left"/>
      <w:lvlText w:val="(%2)"/>
      <w:numFmt w:val="lowerLetter"/>
      <w:start w:val="3"/>
    </w:lvl>
  </w:abstractNum>
  <w:abstractNum w:abstractNumId="122">
    <w:nsid w:val="11B1CC33"/>
    <w:multiLevelType w:val="hybridMultilevel"/>
    <w:lvl w:ilvl="0">
      <w:lvlJc w:val="left"/>
      <w:lvlText w:val="(%1)"/>
      <w:numFmt w:val="lowerLetter"/>
      <w:start w:val="1"/>
    </w:lvl>
  </w:abstractNum>
  <w:abstractNum w:abstractNumId="123">
    <w:nsid w:val="2E22FBB7"/>
    <w:multiLevelType w:val="hybridMultilevel"/>
    <w:lvl w:ilvl="0">
      <w:lvlJc w:val="left"/>
      <w:lvlText w:val="(%1)"/>
      <w:numFmt w:val="lowerLetter"/>
      <w:start w:val="2"/>
    </w:lvl>
  </w:abstractNum>
  <w:abstractNum w:abstractNumId="124">
    <w:nsid w:val="29934699"/>
    <w:multiLevelType w:val="hybridMultilevel"/>
    <w:lvl w:ilvl="0">
      <w:lvlJc w:val="left"/>
      <w:lvlText w:val="(%1)"/>
      <w:numFmt w:val="lowerRoman"/>
      <w:start w:val="2"/>
    </w:lvl>
  </w:abstractNum>
  <w:abstractNum w:abstractNumId="125">
    <w:nsid w:val="77485850"/>
    <w:multiLevelType w:val="hybridMultilevel"/>
    <w:lvl w:ilvl="0">
      <w:lvlJc w:val="left"/>
      <w:lvlText w:val="(%1)"/>
      <w:numFmt w:val="lowerLetter"/>
      <w:start w:val="1"/>
    </w:lvl>
  </w:abstractNum>
  <w:abstractNum w:abstractNumId="126">
    <w:nsid w:val="744939A3"/>
    <w:multiLevelType w:val="hybridMultilevel"/>
    <w:lvl w:ilvl="0">
      <w:lvlJc w:val="left"/>
      <w:lvlText w:val="(%1)"/>
      <w:numFmt w:val="lowerLetter"/>
      <w:start w:val="2"/>
    </w:lvl>
  </w:abstractNum>
  <w:abstractNum w:abstractNumId="127">
    <w:nsid w:val="4FA0D2E3"/>
    <w:multiLevelType w:val="hybridMultilevel"/>
    <w:lvl w:ilvl="0">
      <w:lvlJc w:val="left"/>
      <w:lvlText w:val="(%1)"/>
      <w:numFmt w:val="lowerLetter"/>
      <w:start w:val="1"/>
    </w:lvl>
    <w:lvl w:ilvl="1">
      <w:lvlJc w:val="left"/>
      <w:lvlText w:val="(%2)"/>
      <w:numFmt w:val="lowerRoman"/>
      <w:start w:val="1"/>
    </w:lvl>
  </w:abstractNum>
  <w:abstractNum w:abstractNumId="128">
    <w:nsid w:val="6B1D2C14"/>
    <w:multiLevelType w:val="hybridMultilevel"/>
    <w:lvl w:ilvl="0">
      <w:lvlJc w:val="left"/>
      <w:lvlText w:val="(%1)"/>
      <w:numFmt w:val="lowerLetter"/>
      <w:start w:val="4"/>
    </w:lvl>
  </w:abstractNum>
  <w:abstractNum w:abstractNumId="129">
    <w:nsid w:val="68B867D3"/>
    <w:multiLevelType w:val="hybridMultilevel"/>
    <w:lvl w:ilvl="0">
      <w:lvlJc w:val="left"/>
      <w:lvlText w:val="(%1)"/>
      <w:numFmt w:val="lowerLetter"/>
      <w:start w:val="1"/>
    </w:lvl>
  </w:abstractNum>
  <w:abstractNum w:abstractNumId="130">
    <w:nsid w:val="3F7F5DD9"/>
    <w:multiLevelType w:val="hybridMultilevel"/>
    <w:lvl w:ilvl="0">
      <w:lvlJc w:val="left"/>
      <w:lvlText w:val="(%1)"/>
      <w:numFmt w:val="lowerRoman"/>
      <w:start w:val="2"/>
    </w:lvl>
  </w:abstractNum>
  <w:abstractNum w:abstractNumId="131">
    <w:nsid w:val="2AE05A34"/>
    <w:multiLevelType w:val="hybridMultilevel"/>
    <w:lvl w:ilvl="0">
      <w:lvlJc w:val="left"/>
      <w:lvlText w:val="(%1)"/>
      <w:numFmt w:val="lowerLetter"/>
      <w:start w:val="1"/>
    </w:lvl>
    <w:lvl w:ilvl="1">
      <w:lvlJc w:val="left"/>
      <w:lvlText w:val="(%2)"/>
      <w:numFmt w:val="lowerLetter"/>
      <w:start w:val="9"/>
    </w:lvl>
  </w:abstractNum>
  <w:abstractNum w:abstractNumId="132">
    <w:nsid w:val="32794FF7"/>
    <w:multiLevelType w:val="hybridMultilevel"/>
    <w:lvl w:ilvl="0">
      <w:lvlJc w:val="left"/>
      <w:lvlText w:val="%1"/>
      <w:numFmt w:val="lowerLetter"/>
      <w:start w:val="1"/>
    </w:lvl>
    <w:lvl w:ilvl="1">
      <w:lvlJc w:val="left"/>
      <w:lvlText w:val="(%2)"/>
      <w:numFmt w:val="lowerLetter"/>
      <w:start w:val="35"/>
    </w:lvl>
  </w:abstractNum>
  <w:abstractNum w:abstractNumId="133">
    <w:nsid w:val="5454945E"/>
    <w:multiLevelType w:val="hybridMultilevel"/>
    <w:lvl w:ilvl="0">
      <w:lvlJc w:val="left"/>
      <w:lvlText w:val="(%1)"/>
      <w:numFmt w:val="lowerLetter"/>
      <w:start w:val="2"/>
    </w:lvl>
    <w:lvl w:ilvl="1">
      <w:lvlJc w:val="left"/>
      <w:lvlText w:val="(%2)"/>
      <w:numFmt w:val="lowerLetter"/>
      <w:start w:val="9"/>
    </w:lvl>
  </w:abstractNum>
  <w:abstractNum w:abstractNumId="134">
    <w:nsid w:val="4DEFDFA0"/>
    <w:multiLevelType w:val="hybridMultilevel"/>
    <w:lvl w:ilvl="0">
      <w:lvlJc w:val="left"/>
      <w:lvlText w:val="(%1)"/>
      <w:numFmt w:val="lowerRoman"/>
      <w:start w:val="2"/>
    </w:lvl>
  </w:abstractNum>
  <w:abstractNum w:abstractNumId="135">
    <w:nsid w:val="2123D5F2"/>
    <w:multiLevelType w:val="hybridMultilevel"/>
    <w:lvl w:ilvl="0">
      <w:lvlJc w:val="left"/>
      <w:lvlText w:val="(%1)"/>
      <w:numFmt w:val="lowerLetter"/>
      <w:start w:val="3"/>
    </w:lvl>
  </w:abstractNum>
  <w:abstractNum w:abstractNumId="136">
    <w:nsid w:val="135B8110"/>
    <w:multiLevelType w:val="hybridMultilevel"/>
    <w:lvl w:ilvl="0">
      <w:lvlJc w:val="left"/>
      <w:lvlText w:val="(%1)"/>
      <w:numFmt w:val="lowerLetter"/>
      <w:start w:val="6"/>
    </w:lvl>
  </w:abstractNum>
  <w:abstractNum w:abstractNumId="137">
    <w:nsid w:val="94927A8"/>
    <w:multiLevelType w:val="hybridMultilevel"/>
    <w:lvl w:ilvl="0">
      <w:lvlJc w:val="left"/>
      <w:lvlText w:val="(%1)"/>
      <w:numFmt w:val="lowerLetter"/>
      <w:start w:val="13"/>
    </w:lvl>
  </w:abstractNum>
  <w:abstractNum w:abstractNumId="138">
    <w:nsid w:val="DCDF8F6"/>
    <w:multiLevelType w:val="hybridMultilevel"/>
    <w:lvl w:ilvl="0">
      <w:lvlJc w:val="left"/>
      <w:lvlText w:val="(%1)"/>
      <w:numFmt w:val="upperLetter"/>
      <w:start w:val="17"/>
    </w:lvl>
  </w:abstractNum>
  <w:abstractNum w:abstractNumId="139">
    <w:nsid w:val="52D7B105"/>
    <w:multiLevelType w:val="hybridMultilevel"/>
    <w:lvl w:ilvl="0">
      <w:lvlJc w:val="left"/>
      <w:lvlText w:val="(%1)"/>
      <w:numFmt w:val="lowerLetter"/>
      <w:start w:val="1"/>
    </w:lvl>
    <w:lvl w:ilvl="1">
      <w:lvlJc w:val="left"/>
      <w:lvlText w:val="(%2)"/>
      <w:numFmt w:val="lowerRoman"/>
      <w:start w:val="1"/>
    </w:lvl>
  </w:abstractNum>
  <w:abstractNum w:abstractNumId="140">
    <w:nsid w:val="2E8A6394"/>
    <w:multiLevelType w:val="hybridMultilevel"/>
    <w:lvl w:ilvl="0">
      <w:lvlJc w:val="left"/>
      <w:lvlText w:val="(%1)"/>
      <w:numFmt w:val="lowerLetter"/>
      <w:start w:val="3"/>
    </w:lvl>
  </w:abstractNum>
  <w:abstractNum w:abstractNumId="141">
    <w:nsid w:val="24E60401"/>
    <w:multiLevelType w:val="hybridMultilevel"/>
    <w:lvl w:ilvl="0">
      <w:lvlJc w:val="left"/>
      <w:lvlText w:val="(%1)"/>
      <w:numFmt w:val="lowerLetter"/>
      <w:start w:val="1"/>
    </w:lvl>
  </w:abstractNum>
  <w:abstractNum w:abstractNumId="142">
    <w:nsid w:val="2A6AD9BE"/>
    <w:multiLevelType w:val="hybridMultilevel"/>
    <w:lvl w:ilvl="0">
      <w:lvlJc w:val="left"/>
      <w:lvlText w:val="(%1)"/>
      <w:numFmt w:val="lowerLetter"/>
      <w:start w:val="5"/>
    </w:lvl>
  </w:abstractNum>
  <w:abstractNum w:abstractNumId="143">
    <w:nsid w:val="BAAC1B4"/>
    <w:multiLevelType w:val="hybridMultilevel"/>
    <w:lvl w:ilvl="0">
      <w:lvlJc w:val="left"/>
      <w:lvlText w:val="(%1)"/>
      <w:numFmt w:val="lowerLetter"/>
      <w:start w:val="1"/>
    </w:lvl>
  </w:abstractNum>
  <w:abstractNum w:abstractNumId="144">
    <w:nsid w:val="36B2ACBC"/>
    <w:multiLevelType w:val="hybridMultilevel"/>
    <w:lvl w:ilvl="0">
      <w:lvlJc w:val="left"/>
      <w:lvlText w:val="(%1)"/>
      <w:numFmt w:val="lowerLetter"/>
      <w:start w:val="2"/>
    </w:lvl>
  </w:abstractNum>
  <w:abstractNum w:abstractNumId="145">
    <w:nsid w:val="779D8544"/>
    <w:multiLevelType w:val="hybridMultilevel"/>
    <w:lvl w:ilvl="0">
      <w:lvlJc w:val="left"/>
      <w:lvlText w:val="(%1)"/>
      <w:numFmt w:val="lowerLetter"/>
      <w:start w:val="1"/>
    </w:lvl>
  </w:abstractNum>
  <w:abstractNum w:abstractNumId="146">
    <w:nsid w:val="4AB26E78"/>
    <w:multiLevelType w:val="hybridMultilevel"/>
    <w:lvl w:ilvl="0">
      <w:lvlJc w:val="left"/>
      <w:lvlText w:val="(%1)"/>
      <w:numFmt w:val="lowerRoman"/>
      <w:start w:val="3"/>
    </w:lvl>
    <w:lvl w:ilvl="1">
      <w:lvlJc w:val="left"/>
      <w:lvlText w:val="%2"/>
      <w:numFmt w:val="lowerLetter"/>
      <w:start w:val="1"/>
    </w:lvl>
  </w:abstractNum>
  <w:abstractNum w:abstractNumId="147">
    <w:nsid w:val="21FAA2FA"/>
    <w:multiLevelType w:val="hybridMultilevel"/>
    <w:lvl w:ilvl="0">
      <w:lvlJc w:val="left"/>
      <w:lvlText w:val="(%1)"/>
      <w:numFmt w:val="lowerRoman"/>
      <w:start w:val="7"/>
    </w:lvl>
    <w:lvl w:ilvl="1">
      <w:lvlJc w:val="left"/>
      <w:lvlText w:val="(%2)"/>
      <w:numFmt w:val="lowerLetter"/>
      <w:start w:val="1"/>
    </w:lvl>
  </w:abstractNum>
  <w:abstractNum w:abstractNumId="148">
    <w:nsid w:val="5451CF49"/>
    <w:multiLevelType w:val="hybridMultilevel"/>
    <w:lvl w:ilvl="0">
      <w:lvlJc w:val="left"/>
      <w:lvlText w:val="(%1)"/>
      <w:numFmt w:val="lowerLetter"/>
      <w:start w:val="3"/>
    </w:lvl>
  </w:abstractNum>
  <w:abstractNum w:abstractNumId="149">
    <w:nsid w:val="6181EF69"/>
    <w:multiLevelType w:val="hybridMultilevel"/>
    <w:lvl w:ilvl="0">
      <w:lvlJc w:val="left"/>
      <w:lvlText w:val="(%1)"/>
      <w:numFmt w:val="lowerLetter"/>
      <w:start w:val="1"/>
    </w:lvl>
  </w:abstractNum>
  <w:abstractNum w:abstractNumId="150">
    <w:nsid w:val="3E6400E6"/>
    <w:multiLevelType w:val="hybridMultilevel"/>
    <w:lvl w:ilvl="0">
      <w:lvlJc w:val="left"/>
      <w:lvlText w:val="(%1)"/>
      <w:numFmt w:val="lowerLetter"/>
      <w:start w:val="2"/>
    </w:lvl>
  </w:abstractNum>
  <w:abstractNum w:abstractNumId="151">
    <w:nsid w:val="14217E23"/>
    <w:multiLevelType w:val="hybridMultilevel"/>
    <w:lvl w:ilvl="0">
      <w:lvlJc w:val="left"/>
      <w:lvlText w:val="(%1)"/>
      <w:numFmt w:val="lowerLetter"/>
      <w:start w:val="1"/>
    </w:lvl>
  </w:abstractNum>
  <w:abstractNum w:abstractNumId="152">
    <w:nsid w:val="710757D0"/>
    <w:multiLevelType w:val="hybridMultilevel"/>
    <w:lvl w:ilvl="0">
      <w:lvlJc w:val="left"/>
      <w:lvlText w:val="(%1)"/>
      <w:numFmt w:val="lowerLetter"/>
      <w:start w:val="1"/>
    </w:lvl>
  </w:abstractNum>
  <w:abstractNum w:abstractNumId="153">
    <w:nsid w:val="5015CD1A"/>
    <w:multiLevelType w:val="hybridMultilevel"/>
    <w:lvl w:ilvl="0">
      <w:lvlJc w:val="left"/>
      <w:lvlText w:val="(%1)"/>
      <w:numFmt w:val="lowerLetter"/>
      <w:start w:val="1"/>
    </w:lvl>
  </w:abstractNum>
  <w:abstractNum w:abstractNumId="154">
    <w:nsid w:val="424479DA"/>
    <w:multiLevelType w:val="hybridMultilevel"/>
    <w:lvl w:ilvl="0">
      <w:lvlJc w:val="left"/>
      <w:lvlText w:val="(%1)"/>
      <w:numFmt w:val="lowerLetter"/>
      <w:start w:val="3"/>
    </w:lvl>
  </w:abstractNum>
  <w:abstractNum w:abstractNumId="155">
    <w:nsid w:val="1A9A9E69"/>
    <w:multiLevelType w:val="hybridMultilevel"/>
    <w:lvl w:ilvl="0">
      <w:lvlJc w:val="left"/>
      <w:lvlText w:val="(%1)"/>
      <w:numFmt w:val="lowerLetter"/>
      <w:start w:val="1"/>
    </w:lvl>
  </w:abstractNum>
  <w:abstractNum w:abstractNumId="156">
    <w:nsid w:val="475E256A"/>
    <w:multiLevelType w:val="hybridMultilevel"/>
    <w:lvl w:ilvl="0">
      <w:lvlJc w:val="left"/>
      <w:lvlText w:val="(%1)"/>
      <w:numFmt w:val="lowerLetter"/>
      <w:start w:val="1"/>
    </w:lvl>
  </w:abstractNum>
  <w:abstractNum w:abstractNumId="157">
    <w:nsid w:val="368DB37E"/>
    <w:multiLevelType w:val="hybridMultilevel"/>
    <w:lvl w:ilvl="0">
      <w:lvlJc w:val="left"/>
      <w:lvlText w:val="(%1)"/>
      <w:numFmt w:val="lowerLetter"/>
      <w:start w:val="3"/>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3"/>
    </w:lvl>
  </w:abstractNum>
  <w:abstractNum w:abstractNumId="160">
    <w:nsid w:val="1F461B51"/>
    <w:multiLevelType w:val="hybridMultilevel"/>
    <w:lvl w:ilvl="0">
      <w:lvlJc w:val="left"/>
      <w:lvlText w:val="(%1)"/>
      <w:numFmt w:val="lowerLetter"/>
      <w:start w:val="1"/>
    </w:lvl>
  </w:abstractNum>
  <w:abstractNum w:abstractNumId="161">
    <w:nsid w:val="29BACF25"/>
    <w:multiLevelType w:val="hybridMultilevel"/>
    <w:lvl w:ilvl="0">
      <w:lvlJc w:val="left"/>
      <w:lvlText w:val="%1"/>
      <w:numFmt w:val="lowerLetter"/>
      <w:start w:val="1"/>
    </w:lvl>
    <w:lvl w:ilvl="1">
      <w:lvlJc w:val="left"/>
      <w:lvlText w:val="(%2)"/>
      <w:numFmt w:val="upperLetter"/>
      <w:start w:val="1"/>
    </w:lvl>
  </w:abstractNum>
  <w:abstractNum w:abstractNumId="162">
    <w:nsid w:val="5D5BABB3"/>
    <w:multiLevelType w:val="hybridMultilevel"/>
    <w:lvl w:ilvl="0">
      <w:lvlJc w:val="left"/>
      <w:lvlText w:val="(%1)"/>
      <w:numFmt w:val="lowerLetter"/>
      <w:start w:val="5"/>
    </w:lvl>
    <w:lvl w:ilvl="1">
      <w:lvlJc w:val="left"/>
      <w:lvlText w:val="%2"/>
      <w:numFmt w:val="upperLetter"/>
      <w:start w:val="1"/>
    </w:lvl>
  </w:abstractNum>
  <w:abstractNum w:abstractNumId="163">
    <w:nsid w:val="51BF6B48"/>
    <w:multiLevelType w:val="hybridMultilevel"/>
    <w:lvl w:ilvl="0">
      <w:lvlJc w:val="left"/>
      <w:lvlText w:val="(%1)"/>
      <w:numFmt w:val="lowerLetter"/>
      <w:start w:val="1"/>
    </w:lvl>
    <w:lvl w:ilvl="1">
      <w:lvlJc w:val="left"/>
      <w:lvlText w:val="(%2)"/>
      <w:numFmt w:val="lowerLetter"/>
      <w:start w:val="9"/>
    </w:lvl>
  </w:abstractNum>
  <w:abstractNum w:abstractNumId="164">
    <w:nsid w:val="7E0F638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65">
    <w:nsid w:val="2B4B8B5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6">
    <w:nsid w:val="72E3413A"/>
    <w:multiLevelType w:val="hybridMultilevel"/>
    <w:lvl w:ilvl="0">
      <w:lvlJc w:val="left"/>
      <w:lvlText w:val="(%1)"/>
      <w:numFmt w:val="decimal"/>
      <w:start w:val="2"/>
    </w:lvl>
    <w:lvl w:ilvl="1">
      <w:lvlJc w:val="left"/>
      <w:lvlText w:val="(%2)"/>
      <w:numFmt w:val="lowerRoman"/>
      <w:start w:val="3"/>
    </w:lvl>
  </w:abstractNum>
  <w:abstractNum w:abstractNumId="167">
    <w:nsid w:val="116AE494"/>
    <w:multiLevelType w:val="hybridMultilevel"/>
    <w:lvl w:ilvl="0">
      <w:lvlJc w:val="left"/>
      <w:lvlText w:val="%1"/>
      <w:numFmt w:val="lowerLetter"/>
      <w:start w:val="1"/>
    </w:lvl>
    <w:lvl w:ilvl="1">
      <w:lvlJc w:val="left"/>
      <w:lvlText w:val="(%2)"/>
      <w:numFmt w:val="lowerLetter"/>
      <w:start w:val="3"/>
    </w:lvl>
  </w:abstractNum>
  <w:abstractNum w:abstractNumId="168">
    <w:nsid w:val="3494B2FB"/>
    <w:multiLevelType w:val="hybridMultilevel"/>
    <w:lvl w:ilvl="0">
      <w:lvlJc w:val="left"/>
      <w:lvlText w:val="(%1)"/>
      <w:numFmt w:val="lowerLetter"/>
      <w:start w:val="26"/>
    </w:lvl>
    <w:lvl w:ilvl="1">
      <w:lvlJc w:val="left"/>
      <w:lvlText w:val="%2"/>
      <w:numFmt w:val="lowerLetter"/>
      <w:start w:val="1"/>
    </w:lvl>
  </w:abstractNum>
  <w:abstractNum w:abstractNumId="169">
    <w:nsid w:val="B13A31"/>
    <w:multiLevelType w:val="hybridMultilevel"/>
    <w:lvl w:ilvl="0">
      <w:lvlJc w:val="left"/>
      <w:lvlText w:val="(%1)"/>
      <w:numFmt w:val="lowerLetter"/>
      <w:start w:val="1"/>
    </w:lvl>
    <w:lvl w:ilvl="1">
      <w:lvlJc w:val="left"/>
      <w:lvlText w:val="(%2)"/>
      <w:numFmt w:val="lowerRoman"/>
      <w:start w:val="1"/>
    </w:lvl>
  </w:abstractNum>
  <w:abstractNum w:abstractNumId="170">
    <w:nsid w:val="64429599"/>
    <w:multiLevelType w:val="hybridMultilevel"/>
    <w:lvl w:ilvl="0">
      <w:lvlJc w:val="left"/>
      <w:lvlText w:val="(%1)"/>
      <w:numFmt w:val="lowerLetter"/>
      <w:start w:val="2"/>
    </w:lvl>
  </w:abstractNum>
  <w:abstractNum w:abstractNumId="171">
    <w:nsid w:val="631F1690"/>
    <w:multiLevelType w:val="hybridMultilevel"/>
    <w:lvl w:ilvl="0">
      <w:lvlJc w:val="left"/>
      <w:lvlText w:val="(%1)"/>
      <w:numFmt w:val="lowerLetter"/>
      <w:start w:val="1"/>
    </w:lvl>
    <w:lvl w:ilvl="1">
      <w:lvlJc w:val="left"/>
      <w:lvlText w:val="(%2)"/>
      <w:numFmt w:val="lowerLetter"/>
      <w:start w:val="3"/>
    </w:lvl>
  </w:abstractNum>
  <w:abstractNum w:abstractNumId="172">
    <w:nsid w:val="25973E32"/>
    <w:multiLevelType w:val="hybridMultilevel"/>
    <w:lvl w:ilvl="0">
      <w:lvlJc w:val="left"/>
      <w:lvlText w:val="(%1)"/>
      <w:numFmt w:val="lowerLetter"/>
      <w:start w:val="1"/>
    </w:lvl>
  </w:abstractNum>
  <w:abstractNum w:abstractNumId="173">
    <w:nsid w:val="EAD6F57"/>
    <w:multiLevelType w:val="hybridMultilevel"/>
    <w:lvl w:ilvl="0">
      <w:lvlJc w:val="left"/>
      <w:lvlText w:val="(%1)"/>
      <w:numFmt w:val="lowerLetter"/>
      <w:start w:val="1"/>
    </w:lvl>
  </w:abstractNum>
  <w:abstractNum w:abstractNumId="174">
    <w:nsid w:val="6EC9D844"/>
    <w:multiLevelType w:val="hybridMultilevel"/>
    <w:lvl w:ilvl="0">
      <w:lvlJc w:val="left"/>
      <w:lvlText w:val="(%1)"/>
      <w:numFmt w:val="lowerLetter"/>
      <w:start w:val="4"/>
    </w:lvl>
  </w:abstractNum>
  <w:abstractNum w:abstractNumId="175">
    <w:nsid w:val="5C49EAEE"/>
    <w:multiLevelType w:val="hybridMultilevel"/>
    <w:lvl w:ilvl="0">
      <w:lvlJc w:val="left"/>
      <w:lvlText w:val="(%1)"/>
      <w:numFmt w:val="lowerLetter"/>
      <w:start w:val="1"/>
    </w:lvl>
  </w:abstractNum>
  <w:abstractNum w:abstractNumId="176">
    <w:nsid w:val="64AF49B"/>
    <w:multiLevelType w:val="hybridMultilevel"/>
    <w:lvl w:ilvl="0">
      <w:lvlJc w:val="left"/>
      <w:lvlText w:val="(%1)"/>
      <w:numFmt w:val="lowerLetter"/>
      <w:start w:val="1"/>
    </w:lvl>
  </w:abstractNum>
  <w:abstractNum w:abstractNumId="177">
    <w:nsid w:val="397C46BC"/>
    <w:multiLevelType w:val="hybridMultilevel"/>
    <w:lvl w:ilvl="0">
      <w:lvlJc w:val="left"/>
      <w:lvlText w:val="%1"/>
      <w:numFmt w:val="decimal"/>
      <w:start w:val="1"/>
    </w:lvl>
    <w:lvl w:ilvl="1">
      <w:lvlJc w:val="left"/>
      <w:lvlText w:val="(%2)"/>
      <w:numFmt w:val="lowerLetter"/>
      <w:start w:val="6"/>
    </w:lvl>
  </w:abstractNum>
  <w:abstractNum w:abstractNumId="178">
    <w:nsid w:val="7E448DE9"/>
    <w:multiLevelType w:val="hybridMultilevel"/>
    <w:lvl w:ilvl="0">
      <w:lvlJc w:val="left"/>
      <w:lvlText w:val="(%1)"/>
      <w:numFmt w:val="decimal"/>
      <w:start w:val="60"/>
    </w:lvl>
    <w:lvl w:ilvl="1">
      <w:lvlJc w:val="left"/>
      <w:lvlText w:val="(%2)"/>
      <w:numFmt w:val="lowerLetter"/>
      <w:start w:val="8"/>
    </w:lvl>
  </w:abstractNum>
  <w:abstractNum w:abstractNumId="179">
    <w:nsid w:val="5A9CC3E5"/>
    <w:multiLevelType w:val="hybridMultilevel"/>
    <w:lvl w:ilvl="0">
      <w:lvlJc w:val="left"/>
      <w:lvlText w:val="(%1)"/>
      <w:numFmt w:val="lowerLetter"/>
      <w:start w:val="9"/>
    </w:lvl>
  </w:abstractNum>
  <w:abstractNum w:abstractNumId="180">
    <w:nsid w:val="1AFE3625"/>
    <w:multiLevelType w:val="hybridMultilevel"/>
    <w:lvl w:ilvl="0">
      <w:lvlJc w:val="left"/>
      <w:lvlText w:val="%1"/>
      <w:numFmt w:val="lowerLetter"/>
      <w:start w:val="1"/>
    </w:lvl>
    <w:lvl w:ilvl="1">
      <w:lvlJc w:val="left"/>
      <w:lvlText w:val="(%2)"/>
      <w:numFmt w:val="lowerLetter"/>
      <w:start w:val="13"/>
    </w:lvl>
  </w:abstractNum>
  <w:abstractNum w:abstractNumId="181">
    <w:nsid w:val="3CA88ECF"/>
    <w:multiLevelType w:val="hybridMultilevel"/>
    <w:lvl w:ilvl="0">
      <w:lvlJc w:val="left"/>
      <w:lvlText w:val="(%1)"/>
      <w:numFmt w:val="lowerLetter"/>
      <w:start w:val="61"/>
    </w:lvl>
    <w:lvl w:ilvl="1">
      <w:lvlJc w:val="left"/>
      <w:lvlText w:val="%2"/>
      <w:numFmt w:val="lowerLetter"/>
      <w:start w:val="1"/>
    </w:lvl>
  </w:abstractNum>
  <w:abstractNum w:abstractNumId="182">
    <w:nsid w:val="6EBE4208"/>
    <w:multiLevelType w:val="hybridMultilevel"/>
    <w:lvl w:ilvl="0">
      <w:lvlJc w:val="left"/>
      <w:lvlText w:val="(%1)"/>
      <w:numFmt w:val="lowerLetter"/>
      <w:start w:val="1"/>
    </w:lvl>
  </w:abstractNum>
  <w:abstractNum w:abstractNumId="183">
    <w:nsid w:val="C058DF5"/>
    <w:multiLevelType w:val="hybridMultilevel"/>
    <w:lvl w:ilvl="0">
      <w:lvlJc w:val="left"/>
      <w:lvlText w:val="(%1)"/>
      <w:numFmt w:val="lowerLetter"/>
      <w:start w:val="2"/>
    </w:lvl>
  </w:abstractNum>
  <w:abstractNum w:abstractNumId="184">
    <w:nsid w:val="CBE5BE9"/>
    <w:multiLevelType w:val="hybridMultilevel"/>
    <w:lvl w:ilvl="0">
      <w:lvlJc w:val="left"/>
      <w:lvlText w:val="(%1)"/>
      <w:numFmt w:val="lowerLetter"/>
      <w:start w:val="1"/>
    </w:lvl>
  </w:abstractNum>
  <w:abstractNum w:abstractNumId="185">
    <w:nsid w:val="3102BBE2"/>
    <w:multiLevelType w:val="hybridMultilevel"/>
    <w:lvl w:ilvl="0">
      <w:lvlJc w:val="left"/>
      <w:lvlText w:val="(%1)"/>
      <w:numFmt w:val="lowerLetter"/>
      <w:start w:val="3"/>
    </w:lvl>
  </w:abstractNum>
  <w:abstractNum w:abstractNumId="186">
    <w:nsid w:val="26A02C5E"/>
    <w:multiLevelType w:val="hybridMultilevel"/>
    <w:lvl w:ilvl="0">
      <w:lvlJc w:val="left"/>
      <w:lvlText w:val="(%1)"/>
      <w:numFmt w:val="lowerLetter"/>
      <w:start w:val="1"/>
    </w:lvl>
    <w:lvl w:ilvl="1">
      <w:lvlJc w:val="left"/>
      <w:lvlText w:val="(%2)"/>
      <w:numFmt w:val="lowerRoman"/>
      <w:start w:val="1"/>
    </w:lvl>
  </w:abstractNum>
  <w:abstractNum w:abstractNumId="187">
    <w:nsid w:val="541C8153"/>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88">
    <w:nsid w:val="67906F60"/>
    <w:multiLevelType w:val="hybridMultilevel"/>
    <w:lvl w:ilvl="0">
      <w:lvlJc w:val="left"/>
      <w:lvlText w:val="%1"/>
      <w:numFmt w:val="lowerLetter"/>
      <w:start w:val="1"/>
    </w:lvl>
    <w:lvl w:ilvl="1">
      <w:lvlJc w:val="left"/>
      <w:lvlText w:val="(%2)"/>
      <w:numFmt w:val="lowerLetter"/>
      <w:start w:val="9"/>
    </w:lvl>
  </w:abstractNum>
  <w:abstractNum w:abstractNumId="189">
    <w:nsid w:val="10DB9DAA"/>
    <w:multiLevelType w:val="hybridMultilevel"/>
    <w:lvl w:ilvl="0">
      <w:lvlJc w:val="left"/>
      <w:lvlText w:val="(%1)"/>
      <w:numFmt w:val="lowerLetter"/>
      <w:start w:val="25"/>
    </w:lvl>
    <w:lvl w:ilvl="1">
      <w:lvlJc w:val="left"/>
      <w:lvlText w:val="(%2)"/>
      <w:numFmt w:val="lowerLetter"/>
      <w:start w:val="1"/>
    </w:lvl>
  </w:abstractNum>
  <w:abstractNum w:abstractNumId="190">
    <w:nsid w:val="697D2D2"/>
    <w:multiLevelType w:val="hybridMultilevel"/>
    <w:lvl w:ilvl="0">
      <w:lvlJc w:val="left"/>
      <w:lvlText w:val="(%1)"/>
      <w:numFmt w:val="lowerLetter"/>
      <w:start w:val="1"/>
    </w:lvl>
  </w:abstractNum>
  <w:abstractNum w:abstractNumId="191">
    <w:nsid w:val="6D68AB2"/>
    <w:multiLevelType w:val="hybridMultilevel"/>
    <w:lvl w:ilvl="0">
      <w:lvlJc w:val="left"/>
      <w:lvlText w:val="(%1)"/>
      <w:numFmt w:val="lowerLetter"/>
      <w:start w:val="1"/>
    </w:lvl>
  </w:abstractNum>
  <w:abstractNum w:abstractNumId="192">
    <w:nsid w:val="3A966CD0"/>
    <w:multiLevelType w:val="hybridMultilevel"/>
    <w:lvl w:ilvl="0">
      <w:lvlJc w:val="left"/>
      <w:lvlText w:val="%1"/>
      <w:numFmt w:val="decimal"/>
      <w:start w:val="1"/>
    </w:lvl>
    <w:lvl w:ilvl="1">
      <w:lvlJc w:val="left"/>
      <w:lvlText w:val="(%2)"/>
      <w:numFmt w:val="lowerLetter"/>
      <w:start w:val="2"/>
    </w:lvl>
  </w:abstractNum>
  <w:abstractNum w:abstractNumId="193">
    <w:nsid w:val="63F37E85"/>
    <w:multiLevelType w:val="hybridMultilevel"/>
    <w:lvl w:ilvl="0">
      <w:lvlJc w:val="left"/>
      <w:lvlText w:val="(%1)"/>
      <w:numFmt w:val="decimal"/>
      <w:start w:val="5"/>
    </w:lvl>
    <w:lvl w:ilvl="1">
      <w:lvlJc w:val="left"/>
      <w:lvlText w:val="%2"/>
      <w:numFmt w:val="lowerLetter"/>
      <w:start w:val="1"/>
    </w:lvl>
  </w:abstractNum>
  <w:abstractNum w:abstractNumId="194">
    <w:nsid w:val="5895F5FA"/>
    <w:multiLevelType w:val="hybridMultilevel"/>
    <w:lvl w:ilvl="0">
      <w:lvlJc w:val="left"/>
      <w:lvlText w:val="(%1)"/>
      <w:numFmt w:val="lowerLetter"/>
      <w:start w:val="3"/>
    </w:lvl>
  </w:abstractNum>
  <w:abstractNum w:abstractNumId="195">
    <w:nsid w:val="38A5D054"/>
    <w:multiLevelType w:val="hybridMultilevel"/>
    <w:lvl w:ilvl="0">
      <w:lvlJc w:val="left"/>
      <w:lvlText w:val="(%1)"/>
      <w:numFmt w:val="lowerRoman"/>
      <w:start w:val="4"/>
    </w:lvl>
    <w:lvl w:ilvl="1">
      <w:lvlJc w:val="left"/>
      <w:lvlText w:val="(%2)"/>
      <w:numFmt w:val="lowerLetter"/>
      <w:start w:val="6"/>
    </w:lvl>
  </w:abstractNum>
  <w:abstractNum w:abstractNumId="196">
    <w:nsid w:val="F3F09D8"/>
    <w:multiLevelType w:val="hybridMultilevel"/>
    <w:lvl w:ilvl="0">
      <w:lvlJc w:val="left"/>
      <w:lvlText w:val="(%1)"/>
      <w:numFmt w:val="lowerLetter"/>
      <w:start w:val="8"/>
    </w:lvl>
  </w:abstractNum>
  <w:abstractNum w:abstractNumId="197">
    <w:nsid w:val="4B793735"/>
    <w:multiLevelType w:val="hybridMultilevel"/>
    <w:lvl w:ilvl="0">
      <w:lvlJc w:val="left"/>
      <w:lvlText w:val="(%1)"/>
      <w:numFmt w:val="lowerRoman"/>
      <w:start w:val="1"/>
    </w:lvl>
  </w:abstractNum>
  <w:abstractNum w:abstractNumId="198">
    <w:nsid w:val="4A10B4E8"/>
    <w:multiLevelType w:val="hybridMultilevel"/>
    <w:lvl w:ilvl="0">
      <w:lvlJc w:val="left"/>
      <w:lvlText w:val="(%1)"/>
      <w:numFmt w:val="lowerLetter"/>
      <w:start w:val="1"/>
    </w:lvl>
  </w:abstractNum>
  <w:abstractNum w:abstractNumId="199">
    <w:nsid w:val="43D3BCD4"/>
    <w:multiLevelType w:val="hybridMultilevel"/>
    <w:lvl w:ilvl="0">
      <w:lvlJc w:val="left"/>
      <w:lvlText w:val="(%1)"/>
      <w:numFmt w:val="lowerLetter"/>
      <w:start w:val="3"/>
    </w:lvl>
  </w:abstractNum>
  <w:abstractNum w:abstractNumId="200">
    <w:nsid w:val="4C2A7166"/>
    <w:multiLevelType w:val="hybridMultilevel"/>
    <w:lvl w:ilvl="0">
      <w:lvlJc w:val="left"/>
      <w:lvlText w:val="-"/>
      <w:numFmt w:val="bullet"/>
      <w:start w:val="1"/>
    </w:lvl>
  </w:abstractNum>
  <w:abstractNum w:abstractNumId="201">
    <w:nsid w:val="2E534A82"/>
    <w:multiLevelType w:val="hybridMultilevel"/>
    <w:lvl w:ilvl="0">
      <w:lvlJc w:val="left"/>
      <w:lvlText w:val="%1."/>
      <w:numFmt w:val="decimal"/>
      <w:start w:val="1"/>
    </w:lvl>
  </w:abstractNum>
  <w:abstractNum w:abstractNumId="202">
    <w:nsid w:val="26F2D364"/>
    <w:multiLevelType w:val="hybridMultilevel"/>
    <w:lvl w:ilvl="0">
      <w:lvlJc w:val="left"/>
      <w:lvlText w:val="%1."/>
      <w:numFmt w:val="decimal"/>
      <w:start w:val="2"/>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2020-02-22T05:05:06Z</dcterms:created>
  <dcterms:modified xsi:type="dcterms:W3CDTF">2020-02-22T05:05:06Z</dcterms:modified>
</cp:coreProperties>
</file>