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50"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6" w:lineRule="exact"/>
        <w:rPr>
          <w:sz w:val="24"/>
          <w:szCs w:val="24"/>
          <w:color w:val="auto"/>
        </w:rPr>
      </w:pPr>
    </w:p>
    <w:tbl>
      <w:tblPr>
        <w:tblLayout w:type="fixed"/>
        <w:tblInd w:w="1480" w:type="dxa"/>
        <w:tblCellMar>
          <w:top w:w="0" w:type="dxa"/>
          <w:left w:w="0" w:type="dxa"/>
          <w:bottom w:w="0" w:type="dxa"/>
          <w:right w:w="0" w:type="dxa"/>
        </w:tblCellMar>
      </w:tblPr>
      <w:tr>
        <w:trPr>
          <w:trHeight w:val="184"/>
        </w:trPr>
        <w:tc>
          <w:tcPr>
            <w:tcW w:w="4220" w:type="dxa"/>
            <w:vAlign w:val="bottom"/>
          </w:tcPr>
          <w:p>
            <w:pPr>
              <w:ind w:left="2080"/>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2"/>
        </w:trPr>
        <w:tc>
          <w:tcPr>
            <w:tcW w:w="5040" w:type="dxa"/>
            <w:vAlign w:val="bottom"/>
            <w:gridSpan w:val="3"/>
          </w:tcPr>
          <w:p>
            <w:pPr>
              <w:jc w:val="center"/>
              <w:ind w:left="2155"/>
              <w:spacing w:after="0"/>
              <w:rPr>
                <w:sz w:val="20"/>
                <w:szCs w:val="20"/>
                <w:color w:val="auto"/>
              </w:rPr>
            </w:pPr>
            <w:r>
              <w:rPr>
                <w:rFonts w:ascii="Arial" w:cs="Arial" w:eastAsia="Arial" w:hAnsi="Arial"/>
                <w:sz w:val="16"/>
                <w:szCs w:val="16"/>
                <w:b w:val="1"/>
                <w:bCs w:val="1"/>
                <w:color w:val="auto"/>
                <w:w w:val="91"/>
              </w:rPr>
              <w:t>Commission file number 1-11588</w:t>
            </w:r>
          </w:p>
        </w:tc>
        <w:tc>
          <w:tcPr>
            <w:tcW w:w="1760" w:type="dxa"/>
            <w:vAlign w:val="bottom"/>
          </w:tcPr>
          <w:p>
            <w:pPr>
              <w:spacing w:after="0"/>
              <w:rPr>
                <w:sz w:val="24"/>
                <w:szCs w:val="24"/>
                <w:color w:val="auto"/>
              </w:rPr>
            </w:pPr>
          </w:p>
        </w:tc>
      </w:tr>
      <w:tr>
        <w:trPr>
          <w:trHeight w:val="361"/>
        </w:trPr>
        <w:tc>
          <w:tcPr>
            <w:tcW w:w="5040" w:type="dxa"/>
            <w:vAlign w:val="bottom"/>
            <w:gridSpan w:val="3"/>
          </w:tcPr>
          <w:p>
            <w:pPr>
              <w:jc w:val="center"/>
              <w:ind w:left="2175"/>
              <w:spacing w:after="0"/>
              <w:rPr>
                <w:sz w:val="20"/>
                <w:szCs w:val="20"/>
                <w:color w:val="auto"/>
              </w:rPr>
            </w:pPr>
            <w:r>
              <w:rPr>
                <w:rFonts w:ascii="Arial" w:cs="Arial" w:eastAsia="Arial" w:hAnsi="Arial"/>
                <w:sz w:val="23"/>
                <w:szCs w:val="23"/>
                <w:b w:val="1"/>
                <w:bCs w:val="1"/>
                <w:color w:val="auto"/>
                <w:w w:val="91"/>
              </w:rPr>
              <w:t>Saga Communications, Inc.</w:t>
            </w:r>
          </w:p>
        </w:tc>
        <w:tc>
          <w:tcPr>
            <w:tcW w:w="1760" w:type="dxa"/>
            <w:vAlign w:val="bottom"/>
          </w:tcPr>
          <w:p>
            <w:pPr>
              <w:spacing w:after="0"/>
              <w:rPr>
                <w:sz w:val="24"/>
                <w:szCs w:val="24"/>
                <w:color w:val="auto"/>
              </w:rPr>
            </w:pPr>
          </w:p>
        </w:tc>
      </w:tr>
      <w:tr>
        <w:trPr>
          <w:trHeight w:val="206"/>
        </w:trPr>
        <w:tc>
          <w:tcPr>
            <w:tcW w:w="6800" w:type="dxa"/>
            <w:vAlign w:val="bottom"/>
            <w:gridSpan w:val="4"/>
          </w:tcPr>
          <w:p>
            <w:pPr>
              <w:jc w:val="center"/>
              <w:ind w:left="415"/>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r>
      <w:tr>
        <w:trPr>
          <w:trHeight w:val="307"/>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3"/>
              </w:rPr>
              <w:t>Florida</w:t>
            </w: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38-3042953</w:t>
            </w:r>
          </w:p>
        </w:tc>
      </w:tr>
      <w:tr>
        <w:trPr>
          <w:trHeight w:val="203"/>
        </w:trPr>
        <w:tc>
          <w:tcPr>
            <w:tcW w:w="5040" w:type="dxa"/>
            <w:vAlign w:val="bottom"/>
            <w:gridSpan w:val="3"/>
          </w:tcPr>
          <w:p>
            <w:pPr>
              <w:jc w:val="center"/>
              <w:ind w:right="2860"/>
              <w:spacing w:after="0"/>
              <w:rPr>
                <w:sz w:val="20"/>
                <w:szCs w:val="20"/>
                <w:color w:val="auto"/>
              </w:rPr>
            </w:pPr>
            <w:r>
              <w:rPr>
                <w:rFonts w:ascii="Arial" w:cs="Arial" w:eastAsia="Arial" w:hAnsi="Arial"/>
                <w:sz w:val="16"/>
                <w:szCs w:val="16"/>
                <w:i w:val="1"/>
                <w:iCs w:val="1"/>
                <w:color w:val="auto"/>
                <w:w w:val="94"/>
              </w:rPr>
              <w:t>(State or other jurisdiction of</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1"/>
              </w:rPr>
              <w:t>(I.R.S. Employer</w:t>
            </w:r>
          </w:p>
        </w:tc>
      </w:tr>
      <w:tr>
        <w:trPr>
          <w:trHeight w:val="198"/>
        </w:trPr>
        <w:tc>
          <w:tcPr>
            <w:tcW w:w="5040" w:type="dxa"/>
            <w:vAlign w:val="bottom"/>
            <w:gridSpan w:val="3"/>
          </w:tcPr>
          <w:p>
            <w:pPr>
              <w:jc w:val="center"/>
              <w:ind w:right="2840"/>
              <w:spacing w:after="0"/>
              <w:rPr>
                <w:sz w:val="20"/>
                <w:szCs w:val="20"/>
                <w:color w:val="auto"/>
              </w:rPr>
            </w:pPr>
            <w:r>
              <w:rPr>
                <w:rFonts w:ascii="Arial" w:cs="Arial" w:eastAsia="Arial" w:hAnsi="Arial"/>
                <w:sz w:val="16"/>
                <w:szCs w:val="16"/>
                <w:i w:val="1"/>
                <w:iCs w:val="1"/>
                <w:color w:val="auto"/>
                <w:w w:val="96"/>
              </w:rPr>
              <w:t>incorporation or organization)</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6"/>
              </w:rPr>
              <w:t>Identification No.)</w:t>
            </w:r>
          </w:p>
        </w:tc>
      </w:tr>
      <w:tr>
        <w:trPr>
          <w:trHeight w:val="203"/>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0"/>
              </w:rPr>
              <w:t>73 Kercheval Avenue</w:t>
            </w: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48236</w:t>
            </w:r>
          </w:p>
        </w:tc>
      </w:tr>
      <w:tr>
        <w:trPr>
          <w:trHeight w:val="210"/>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1"/>
              </w:rPr>
              <w:t>Grosse Pointe Farms, Michigan</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5"/>
              </w:rPr>
              <w:t>(Zip Code)</w:t>
            </w:r>
          </w:p>
        </w:tc>
      </w:tr>
    </w:tbl>
    <w:p>
      <w:pPr>
        <w:ind w:left="13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(313) 886-7070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5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17"/>
        </w:trPr>
        <w:tc>
          <w:tcPr>
            <w:tcW w:w="3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$.01 per share</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SGA</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ind w:left="20"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jc w:val="both"/>
        <w:ind w:left="20" w:right="1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ind w:left="20" w:right="20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160"/>
        <w:spacing w:after="0" w:line="184" w:lineRule="exact"/>
        <w:tabs>
          <w:tab w:leader="none" w:pos="2060" w:val="left"/>
          <w:tab w:leader="none" w:pos="3680" w:val="left"/>
          <w:tab w:leader="none" w:pos="5640" w:val="left"/>
          <w:tab w:leader="none" w:pos="8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0" w:lineRule="exact"/>
        <w:rPr>
          <w:sz w:val="24"/>
          <w:szCs w:val="24"/>
          <w:color w:val="auto"/>
        </w:rPr>
      </w:pPr>
    </w:p>
    <w:p>
      <w:pPr>
        <w:ind w:left="20" w:right="28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registrant’s Class A Common Stock, $.01 par value, and Class B Common Stock, $.01 par value, outstanding as of May 5,</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6"/>
          <w:szCs w:val="16"/>
          <w:color w:val="auto"/>
        </w:rPr>
        <w:t>2021 was 5,042,752 and 937,641,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187325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60"/>
          </w:cols>
          <w:pgMar w:left="82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0" w:type="dxa"/>
            <w:vAlign w:val="bottom"/>
            <w:gridSpan w:val="9"/>
          </w:tcPr>
          <w:p>
            <w:pPr>
              <w:ind w:left="120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190"/>
        </w:trPr>
        <w:tc>
          <w:tcPr>
            <w:tcW w:w="8180" w:type="dxa"/>
            <w:vAlign w:val="bottom"/>
            <w:gridSpan w:val="18"/>
            <w:shd w:val="clear" w:color="auto" w:fill="CCEEFF"/>
          </w:tcPr>
          <w:p>
            <w:pPr>
              <w:ind w:left="2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8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16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2021 and December 31,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160" w:type="dxa"/>
            <w:vAlign w:val="bottom"/>
            <w:gridSpan w:val="17"/>
            <w:shd w:val="clear" w:color="auto" w:fill="CCEEFF"/>
          </w:tcPr>
          <w:p>
            <w:pPr>
              <w:ind w:left="16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 Three months ended March 31, 2021 and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160" w:type="dxa"/>
            <w:vAlign w:val="bottom"/>
            <w:gridSpan w:val="17"/>
            <w:shd w:val="clear" w:color="auto" w:fill="CCEEFF"/>
          </w:tcPr>
          <w:p>
            <w:pPr>
              <w:ind w:left="160"/>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 Three months ended March 31, 2021 and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160" w:type="dxa"/>
            <w:vAlign w:val="bottom"/>
            <w:gridSpan w:val="17"/>
            <w:shd w:val="clear" w:color="auto" w:fill="CCEEFF"/>
          </w:tcPr>
          <w:p>
            <w:pPr>
              <w:ind w:left="16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 Three months ended March 31, 2021 and 2020</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16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 Controls and Procedures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 Exhibits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96"/>
        </w:trPr>
        <w:tc>
          <w:tcPr>
            <w:tcW w:w="8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216"/>
        </w:trPr>
        <w:tc>
          <w:tcPr>
            <w:tcW w:w="8180" w:type="dxa"/>
            <w:vAlign w:val="bottom"/>
            <w:gridSpan w:val="18"/>
            <w:shd w:val="clear" w:color="auto" w:fill="CCEEFF"/>
          </w:tcPr>
          <w:p>
            <w:pPr>
              <w:ind w:left="20"/>
              <w:spacing w:after="0"/>
              <w:rPr>
                <w:sz w:val="20"/>
                <w:szCs w:val="20"/>
                <w:color w:val="auto"/>
              </w:rPr>
            </w:pPr>
            <w:r>
              <w:rPr>
                <w:rFonts w:ascii="Arial" w:cs="Arial" w:eastAsia="Arial" w:hAnsi="Arial"/>
                <w:sz w:val="18"/>
                <w:szCs w:val="18"/>
                <w:color w:val="auto"/>
              </w:rPr>
              <w:t>EX-31.1</w:t>
            </w: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180" w:type="dxa"/>
            <w:vAlign w:val="bottom"/>
            <w:gridSpan w:val="18"/>
            <w:shd w:val="clear" w:color="auto" w:fill="CCEEFF"/>
          </w:tcPr>
          <w:p>
            <w:pPr>
              <w:ind w:left="20"/>
              <w:spacing w:after="0"/>
              <w:rPr>
                <w:sz w:val="20"/>
                <w:szCs w:val="20"/>
                <w:color w:val="auto"/>
              </w:rPr>
            </w:pPr>
            <w:r>
              <w:rPr>
                <w:rFonts w:ascii="Arial" w:cs="Arial" w:eastAsia="Arial" w:hAnsi="Arial"/>
                <w:sz w:val="18"/>
                <w:szCs w:val="18"/>
                <w:color w:val="auto"/>
              </w:rPr>
              <w:t>EX-31.2</w:t>
            </w: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180" w:type="dxa"/>
            <w:vAlign w:val="bottom"/>
            <w:gridSpan w:val="18"/>
            <w:shd w:val="clear" w:color="auto" w:fill="CCEEFF"/>
          </w:tcPr>
          <w:p>
            <w:pPr>
              <w:ind w:left="20"/>
              <w:spacing w:after="0"/>
              <w:rPr>
                <w:sz w:val="20"/>
                <w:szCs w:val="20"/>
                <w:color w:val="auto"/>
              </w:rPr>
            </w:pPr>
            <w:r>
              <w:rPr>
                <w:rFonts w:ascii="Arial" w:cs="Arial" w:eastAsia="Arial" w:hAnsi="Arial"/>
                <w:sz w:val="18"/>
                <w:szCs w:val="18"/>
                <w:color w:val="auto"/>
              </w:rPr>
              <w:t>EX-32</w:t>
            </w: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180" w:type="dxa"/>
            <w:vAlign w:val="bottom"/>
            <w:gridSpan w:val="18"/>
            <w:shd w:val="clear" w:color="auto" w:fill="CCEEFF"/>
          </w:tcPr>
          <w:p>
            <w:pPr>
              <w:ind w:left="20"/>
              <w:spacing w:after="0"/>
              <w:rPr>
                <w:sz w:val="20"/>
                <w:szCs w:val="20"/>
                <w:color w:val="auto"/>
              </w:rPr>
            </w:pPr>
            <w:r>
              <w:rPr>
                <w:rFonts w:ascii="Arial" w:cs="Arial" w:eastAsia="Arial" w:hAnsi="Arial"/>
                <w:sz w:val="18"/>
                <w:szCs w:val="18"/>
                <w:color w:val="auto"/>
              </w:rPr>
              <w:t>EX-101 INSTANCE DOCUMENT</w:t>
            </w:r>
          </w:p>
        </w:tc>
        <w:tc>
          <w:tcPr>
            <w:tcW w:w="8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71754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7175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754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7175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754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7175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754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7175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7540" cy="13716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jc w:val="center"/>
              <w:ind w:left="39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080" w:type="dxa"/>
            <w:vAlign w:val="bottom"/>
          </w:tcPr>
          <w:p>
            <w:pPr>
              <w:jc w:val="center"/>
              <w:ind w:left="390"/>
              <w:spacing w:after="0"/>
              <w:rPr>
                <w:sz w:val="20"/>
                <w:szCs w:val="20"/>
                <w:color w:val="auto"/>
              </w:rPr>
            </w:pPr>
            <w:r>
              <w:rPr>
                <w:rFonts w:ascii="Arial" w:cs="Arial" w:eastAsia="Arial" w:hAnsi="Arial"/>
                <w:sz w:val="18"/>
                <w:szCs w:val="18"/>
                <w:b w:val="1"/>
                <w:bCs w:val="1"/>
                <w:color w:val="auto"/>
              </w:rPr>
              <w:t>SAGA COMMUNICATIONS, INC.</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4"/>
          </w:tcPr>
          <w:p>
            <w:pPr>
              <w:jc w:val="right"/>
              <w:ind w:right="470"/>
              <w:spacing w:after="0" w:line="196"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Barter transactions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142,299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Broadcast licenses,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90,277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intangibles, right of use assets, deferred costs and investments, net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247,407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Accrued payroll and payroll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accrued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Barter transactions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159,748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Treasury stock</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(37,004)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191,864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247,407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Note: The balance sheet at December 31, 2020 has been derived from the audited financial statements at that date but does not include all of the information and footnotes required by accounting principles generally accepted in the United States for complete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jc w:val="center"/>
              <w:ind w:left="2870"/>
              <w:spacing w:after="0"/>
              <w:rPr>
                <w:sz w:val="20"/>
                <w:szCs w:val="20"/>
                <w:color w:val="auto"/>
              </w:rPr>
            </w:pPr>
            <w:r>
              <w:rPr>
                <w:rFonts w:ascii="Arial" w:cs="Arial" w:eastAsia="Arial" w:hAnsi="Arial"/>
                <w:sz w:val="18"/>
                <w:szCs w:val="18"/>
                <w:b w:val="1"/>
                <w:bCs w:val="1"/>
                <w:color w:val="auto"/>
              </w:rPr>
              <w:t>SAGA COMMUNICATIONS, INC.</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20" w:type="dxa"/>
            <w:vAlign w:val="bottom"/>
            <w:gridSpan w:val="5"/>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jc w:val="center"/>
              <w:spacing w:after="0" w:line="177" w:lineRule="exact"/>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2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Station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Corporate 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expense (income), net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2"/>
                <w:szCs w:val="22"/>
                <w:color w:val="auto"/>
              </w:rPr>
            </w:pPr>
          </w:p>
        </w:tc>
        <w:tc>
          <w:tcPr>
            <w:tcW w:w="380" w:type="dxa"/>
            <w:vAlign w:val="bottom"/>
            <w:gridSpan w:val="2"/>
          </w:tcPr>
          <w:p>
            <w:pPr>
              <w:jc w:val="center"/>
              <w:ind w:right="22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and common equivalent shares</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center"/>
              <w:ind w:right="22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620" w:type="dxa"/>
            <w:vAlign w:val="bottom"/>
            <w:gridSpan w:val="2"/>
            <w:shd w:val="clear" w:color="auto" w:fill="CCEEFF"/>
          </w:tcPr>
          <w:p>
            <w:pPr>
              <w:jc w:val="right"/>
              <w:ind w:right="335"/>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66,811</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162,822</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(37,358)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67,249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162,583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620" w:type="dxa"/>
            <w:vAlign w:val="bottom"/>
            <w:gridSpan w:val="2"/>
            <w:shd w:val="clear" w:color="auto" w:fill="CCEEFF"/>
          </w:tcPr>
          <w:p>
            <w:pPr>
              <w:jc w:val="right"/>
              <w:ind w:right="335"/>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158,990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(37,425)</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159,748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ind w:left="3080"/>
              <w:spacing w:after="0"/>
              <w:rPr>
                <w:sz w:val="20"/>
                <w:szCs w:val="20"/>
                <w:color w:val="auto"/>
              </w:rPr>
            </w:pPr>
            <w:r>
              <w:rPr>
                <w:rFonts w:ascii="Arial" w:cs="Arial" w:eastAsia="Arial" w:hAnsi="Arial"/>
                <w:sz w:val="18"/>
                <w:szCs w:val="18"/>
                <w:b w:val="1"/>
                <w:bCs w:val="1"/>
                <w:color w:val="auto"/>
              </w:rPr>
              <w:t>SAGA COMMUNICATIONS, INC.</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7700" w:type="dxa"/>
            <w:vAlign w:val="bottom"/>
            <w:gridSpan w:val="4"/>
          </w:tcPr>
          <w:p>
            <w:pPr>
              <w:ind w:left="1760"/>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7"/>
        </w:trPr>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96"/>
              </w:rPr>
              <w:t>March 31,</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09"/>
        </w:trPr>
        <w:tc>
          <w:tcPr>
            <w:tcW w:w="6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320" w:type="dxa"/>
            <w:vAlign w:val="bottom"/>
          </w:tcPr>
          <w:p>
            <w:pPr>
              <w:spacing w:after="0"/>
              <w:rPr>
                <w:sz w:val="18"/>
                <w:szCs w:val="18"/>
                <w:color w:val="auto"/>
              </w:rPr>
            </w:pPr>
          </w:p>
        </w:tc>
      </w:tr>
      <w:tr>
        <w:trPr>
          <w:trHeight w:val="178"/>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4"/>
          </w:tcPr>
          <w:p>
            <w:pPr>
              <w:jc w:val="center"/>
              <w:ind w:right="50"/>
              <w:spacing w:after="0" w:line="177" w:lineRule="exact"/>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5"/>
                <w:szCs w:val="15"/>
                <w:color w:val="auto"/>
              </w:rPr>
            </w:pPr>
          </w:p>
        </w:tc>
      </w:tr>
      <w:tr>
        <w:trPr>
          <w:trHeight w:val="234"/>
        </w:trPr>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5,352</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5,065</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(1,021)</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broadcast properties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Proceeds from sale and disposal of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insurance claims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Other investing activities</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(1,797)</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Purchase of treasury shares</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320" w:type="dxa"/>
            <w:vAlign w:val="bottom"/>
            <w:tcBorders>
              <w:top w:val="single" w:sz="8" w:color="CCEEFF"/>
            </w:tcBorders>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2,258</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44,034</w:t>
            </w:r>
          </w:p>
        </w:tc>
        <w:tc>
          <w:tcPr>
            <w:tcW w:w="32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56,313</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46,292</w:t>
            </w:r>
          </w:p>
        </w:tc>
        <w:tc>
          <w:tcPr>
            <w:tcW w:w="3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64" w:lineRule="auto"/>
        <w:tabs>
          <w:tab w:leader="none" w:pos="2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60" w:right="179" w:firstLine="324"/>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17"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our opinion, the accompanying financial statements include all adjustments of a normal, recurring nature considered necessary for a fair presentation of our financial position as of March 31, 2021 and the results of operations for the three months ended March 31, 2021 and 2020. Results of operations for the three months ended March 31, 2021 are not necessarily indicative of the results that may be expected for the year ending December 31, 2021.</w:t>
      </w:r>
    </w:p>
    <w:p>
      <w:pPr>
        <w:spacing w:after="0" w:line="117"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We own or operate broadcast properties in 27 markets, including 79 FM and 35 AM radio stations and 79 metro signals.</w:t>
      </w:r>
    </w:p>
    <w:p>
      <w:pPr>
        <w:spacing w:after="0" w:line="143"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Saga Communications, Inc. Annual Report on Form 10-K for the year ended December 31, 2020.</w:t>
      </w:r>
    </w:p>
    <w:p>
      <w:pPr>
        <w:spacing w:after="0" w:line="130" w:lineRule="exact"/>
        <w:rPr>
          <w:sz w:val="20"/>
          <w:szCs w:val="20"/>
          <w:color w:val="auto"/>
        </w:rPr>
      </w:pPr>
    </w:p>
    <w:p>
      <w:pPr>
        <w:jc w:val="both"/>
        <w:ind w:left="60" w:right="79" w:firstLine="324"/>
        <w:spacing w:after="0" w:line="381" w:lineRule="auto"/>
        <w:rPr>
          <w:sz w:val="20"/>
          <w:szCs w:val="20"/>
          <w:color w:val="auto"/>
        </w:rPr>
      </w:pPr>
      <w:r>
        <w:rPr>
          <w:rFonts w:ascii="Arial" w:cs="Arial" w:eastAsia="Arial" w:hAnsi="Arial"/>
          <w:sz w:val="15"/>
          <w:szCs w:val="15"/>
          <w:color w:val="auto"/>
        </w:rPr>
        <w:t>We have evaluated events and transactions occurring subsequent to the balance sheet date of March 31, 2021, for items that should potentially be recognized in these financial statements or discussed within the notes to the financial statements.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Earnings Per Share Information</w:t>
      </w:r>
    </w:p>
    <w:p>
      <w:pPr>
        <w:spacing w:after="0" w:line="198"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6"/>
          </w:tcPr>
          <w:p>
            <w:pPr>
              <w:ind w:left="20"/>
              <w:spacing w:after="0" w:line="196" w:lineRule="exact"/>
              <w:rPr>
                <w:sz w:val="20"/>
                <w:szCs w:val="20"/>
                <w:color w:val="auto"/>
              </w:rPr>
            </w:pPr>
            <w:r>
              <w:rPr>
                <w:rFonts w:ascii="Arial" w:cs="Arial" w:eastAsia="Arial" w:hAnsi="Arial"/>
                <w:sz w:val="18"/>
                <w:szCs w:val="18"/>
                <w:b w:val="1"/>
                <w:bCs w:val="1"/>
                <w:color w:val="auto"/>
                <w:w w:val="9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758</w:t>
            </w: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Income allocated to unvested participating securities</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4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Denominator for basic earnings per share — weighted average shares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tcPr>
          <w:p>
            <w:pPr>
              <w:ind w:left="80"/>
              <w:spacing w:after="0" w:line="182" w:lineRule="exact"/>
              <w:rPr>
                <w:sz w:val="20"/>
                <w:szCs w:val="20"/>
                <w:color w:val="auto"/>
              </w:rPr>
            </w:pPr>
            <w:r>
              <w:rPr>
                <w:rFonts w:ascii="Arial" w:cs="Arial" w:eastAsia="Arial" w:hAnsi="Arial"/>
                <w:sz w:val="18"/>
                <w:szCs w:val="18"/>
                <w:color w:val="auto"/>
                <w:w w:val="93"/>
              </w:rPr>
              <w:t>Denominator for diluted earnings per share — adjusted weighted-average</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5,913</w:t>
            </w: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5,866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shares and assumed conversions</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There were no stock options outstanding that had an antidilutive effect on our earnings per share calculation for the three months ended March 31, 2021 and 2020, respectively. The actual effect of these shares, if any, on the diluted earnings per share calculation will vary significantly depending on the fluctuation in the stock price.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9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Our financial instruments are comprised of cash and cash equivalents,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March 31, 2021.</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 provision for doubtful accounts is recorded based on our judgment of collectability of receivables. Amounts are written off when determined to be fully uncollectible. Delinquent accounts are based on contractual terms. We have included in our calculation of our allowance for doubtful accounts, the potential impact of the COVID-19 pandemic on our customers’ businesses and their ability to pay their accounts receivable.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the COVID-19 pandemic. In the event we recover amounts previously written off, we will reduce the specific allowance for credit loss. Our allowance for doubtful accounts was $528,000 and $648,000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effective tax rate is higher than the federal statutory rate as a result of the inclusion of state taxes in the income tax amount.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Time Brokerage Agreements/Local Marketing Agreements</w:t>
      </w:r>
    </w:p>
    <w:p>
      <w:pPr>
        <w:spacing w:after="0" w:line="198"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Incomes Taxes” </w:t>
      </w:r>
      <w:r>
        <w:rPr>
          <w:rFonts w:ascii="Arial" w:cs="Arial" w:eastAsia="Arial" w:hAnsi="Arial"/>
          <w:sz w:val="16"/>
          <w:szCs w:val="16"/>
          <w:color w:val="auto"/>
        </w:rPr>
        <w:t>(“ASU 2019-12”) which is intended to simplify various aspects related to accounting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2019-12 removes certain exceptions to the general principles in Topic 740 and also clarifies and amends existing guidance regarding the tax treatment of certain franchise taxes, goodwill and nontaxable entities, among other items to improve consistent application. ASU 2019-12 is effective for fiscal years and interim periods beginning after December 15, 2020. The Company adopted this standard on January 1, 2021 and there was no material impact as a result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description of principal activities from which we generate our revenue: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Broadcast Advertising Revenue</w:t>
      </w:r>
    </w:p>
    <w:p>
      <w:pPr>
        <w:spacing w:after="0" w:line="18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Digital Advertising Revenue</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recognize revenue from our digital initiatives across multiple platforms such as targeted digital advertising, online promotions, advertising on our websites, mobile messaging, email marketing and other e-commerce. Revenue is recorded when each specific performance obligation in the digital advertising campaign takes place, typically within a one month period.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Revenue</w:t>
      </w:r>
    </w:p>
    <w:p>
      <w:pPr>
        <w:spacing w:after="0" w:line="198"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Revenues from contracts with customers comprised the following for the three months ended March 31, 2021 and 2020:</w:t>
      </w:r>
    </w:p>
    <w:p>
      <w:pPr>
        <w:spacing w:after="0" w:line="15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5715</wp:posOffset>
            </wp:positionV>
            <wp:extent cx="1251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6800"/>
        <w:spacing w:after="0"/>
        <w:tabs>
          <w:tab w:leader="none" w:pos="78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12515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(in thousands)</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Types of Revenue</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Broadcast Advertising Revenue, net</w:t>
            </w:r>
          </w:p>
        </w:tc>
        <w:tc>
          <w:tcPr>
            <w:tcW w:w="2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20,007</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23,754</w:t>
            </w:r>
          </w:p>
        </w:tc>
        <w:tc>
          <w:tcPr>
            <w:tcW w:w="4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Digital Advertising Revenue</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40" w:type="dxa"/>
            <w:vAlign w:val="bottom"/>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1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440" w:type="dxa"/>
            <w:vAlign w:val="bottom"/>
            <w:tcBorders>
              <w:bottom w:val="single" w:sz="8" w:color="CCEEFF"/>
            </w:tcBorders>
          </w:tcPr>
          <w:p>
            <w:pPr>
              <w:spacing w:after="0"/>
              <w:rPr>
                <w:sz w:val="18"/>
                <w:szCs w:val="18"/>
                <w:color w:val="auto"/>
              </w:rPr>
            </w:pPr>
          </w:p>
        </w:tc>
      </w:tr>
      <w:tr>
        <w:trPr>
          <w:trHeight w:val="21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26,051</w:t>
            </w:r>
          </w:p>
        </w:tc>
        <w:tc>
          <w:tcPr>
            <w:tcW w:w="440" w:type="dxa"/>
            <w:vAlign w:val="bottom"/>
            <w:tcBorders>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85" w:lineRule="exact"/>
        <w:rPr>
          <w:sz w:val="20"/>
          <w:szCs w:val="20"/>
          <w:color w:val="auto"/>
        </w:rPr>
      </w:pPr>
    </w:p>
    <w:p>
      <w:pPr>
        <w:ind w:left="60" w:right="399" w:firstLine="324"/>
        <w:spacing w:after="0" w:line="293" w:lineRule="auto"/>
        <w:rPr>
          <w:sz w:val="20"/>
          <w:szCs w:val="20"/>
          <w:color w:val="auto"/>
        </w:rPr>
      </w:pPr>
      <w:r>
        <w:rPr>
          <w:rFonts w:ascii="Arial" w:cs="Arial" w:eastAsia="Arial" w:hAnsi="Arial"/>
          <w:sz w:val="16"/>
          <w:szCs w:val="16"/>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18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Broadcast License, Goodwill and Other Intangible Assets</w:t>
      </w:r>
    </w:p>
    <w:p>
      <w:pPr>
        <w:spacing w:after="0" w:line="202" w:lineRule="exact"/>
        <w:rPr>
          <w:sz w:val="20"/>
          <w:szCs w:val="20"/>
          <w:color w:val="auto"/>
        </w:rPr>
      </w:pPr>
    </w:p>
    <w:p>
      <w:pPr>
        <w:ind w:left="60" w:right="79" w:firstLine="226"/>
        <w:spacing w:after="0" w:line="284" w:lineRule="auto"/>
        <w:rPr>
          <w:sz w:val="20"/>
          <w:szCs w:val="20"/>
          <w:color w:val="auto"/>
        </w:rPr>
      </w:pPr>
      <w:r>
        <w:rPr>
          <w:rFonts w:ascii="Arial" w:cs="Arial" w:eastAsia="Arial" w:hAnsi="Arial"/>
          <w:sz w:val="16"/>
          <w:szCs w:val="16"/>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3"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91" w:lineRule="exact"/>
        <w:rPr>
          <w:sz w:val="20"/>
          <w:szCs w:val="20"/>
          <w:color w:val="auto"/>
        </w:rPr>
      </w:pPr>
    </w:p>
    <w:p>
      <w:pPr>
        <w:ind w:left="60" w:right="239" w:firstLine="226"/>
        <w:spacing w:after="0" w:line="259" w:lineRule="auto"/>
        <w:rPr>
          <w:sz w:val="20"/>
          <w:szCs w:val="20"/>
          <w:color w:val="auto"/>
        </w:rPr>
      </w:pPr>
      <w:r>
        <w:rPr>
          <w:rFonts w:ascii="Arial" w:cs="Arial" w:eastAsia="Arial" w:hAnsi="Arial"/>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187" w:lineRule="exact"/>
        <w:rPr>
          <w:sz w:val="20"/>
          <w:szCs w:val="20"/>
          <w:color w:val="auto"/>
        </w:rPr>
      </w:pPr>
    </w:p>
    <w:p>
      <w:pPr>
        <w:ind w:left="60" w:right="79" w:firstLine="226"/>
        <w:spacing w:after="0" w:line="255" w:lineRule="auto"/>
        <w:rPr>
          <w:sz w:val="20"/>
          <w:szCs w:val="20"/>
          <w:color w:val="auto"/>
        </w:rPr>
      </w:pPr>
      <w:r>
        <w:rPr>
          <w:rFonts w:ascii="Arial" w:cs="Arial" w:eastAsia="Arial" w:hAnsi="Arial"/>
          <w:sz w:val="18"/>
          <w:szCs w:val="18"/>
          <w:color w:val="auto"/>
        </w:rPr>
        <w:t>As of March 31, 2021 we performed a high-level qualitative assessment and determined it was not necessary to complete an interim impairment test. After our low point in Q2 2020, our revenue has been increasing and our analysis as of September 30, 2020 is still our best estimate of future revenues. During the first quarter of 2021, we have had no further triggering events and therefore did not perform any additional impairment calculations for goodwill or our broadcast licenses. We will continue to monitor potential triggering events and perform the appropriate analysis when deemed necessary.</w:t>
      </w:r>
    </w:p>
    <w:p>
      <w:pPr>
        <w:spacing w:after="0" w:line="192"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49"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 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Common Stock and Treasury Stock</w:t>
      </w:r>
    </w:p>
    <w:p>
      <w:pPr>
        <w:spacing w:after="0" w:line="189"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The following summarizes information relating to the number of shares of our common stock issued in connection with stock transactions through March 31,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b w:val="1"/>
                <w:bCs w:val="1"/>
                <w:color w:val="auto"/>
              </w:rPr>
              <w:t>Common Stock Issued</w:t>
            </w:r>
          </w:p>
        </w:tc>
      </w:tr>
      <w:tr>
        <w:trPr>
          <w:trHeight w:val="209"/>
        </w:trPr>
        <w:tc>
          <w:tcPr>
            <w:tcW w:w="66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Class B</w:t>
            </w: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Arial" w:cs="Arial" w:eastAsia="Arial" w:hAnsi="Arial"/>
                <w:sz w:val="18"/>
                <w:szCs w:val="18"/>
                <w:b w:val="1"/>
                <w:bCs w:val="1"/>
                <w:color w:val="auto"/>
              </w:rPr>
              <w:t>(Shares in</w:t>
            </w:r>
          </w:p>
        </w:tc>
        <w:tc>
          <w:tcPr>
            <w:tcW w:w="1020" w:type="dxa"/>
            <w:vAlign w:val="bottom"/>
          </w:tcPr>
          <w:p>
            <w:pPr>
              <w:jc w:val="right"/>
              <w:ind w:right="251"/>
              <w:spacing w:after="0"/>
              <w:rPr>
                <w:sz w:val="20"/>
                <w:szCs w:val="20"/>
                <w:color w:val="auto"/>
              </w:rPr>
            </w:pPr>
            <w:r>
              <w:rPr>
                <w:rFonts w:ascii="Arial" w:cs="Arial" w:eastAsia="Arial" w:hAnsi="Arial"/>
                <w:sz w:val="17"/>
                <w:szCs w:val="17"/>
                <w:b w:val="1"/>
                <w:bCs w:val="1"/>
                <w:color w:val="auto"/>
                <w:w w:val="71"/>
              </w:rPr>
              <w:t>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Conversion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restricted stock</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Forfeiture of restricted stock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Balance, March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We have a Stock Buy-Back Program to allow us to purchase up to $75.8 million of our Class A Common Stock. As of March 31, 2021, we have remaining authorization of $18.8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extension being through May 28, 2020. Given the unprecedented uncertainty surrounding the COVID-19 virus and the resulting economic issues we have halted the directions for any additional buybacks under our plan. During the three months ended March 31, 2021 and 2020, approximately 0 and 800 shares, respectively, were repurchased for $0 and $20,000 respectively, related to the Stock Buy-Back Program.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March 31, 2021, we do not have any non-cancellable operating lease commitments that have not yet commenced.</w:t>
      </w:r>
    </w:p>
    <w:p>
      <w:pPr>
        <w:spacing w:after="0" w:line="152" w:lineRule="exact"/>
        <w:rPr>
          <w:sz w:val="20"/>
          <w:szCs w:val="20"/>
          <w:color w:val="auto"/>
        </w:rPr>
      </w:pPr>
    </w:p>
    <w:p>
      <w:pPr>
        <w:jc w:val="both"/>
        <w:ind w:left="60" w:right="199" w:firstLine="324"/>
        <w:spacing w:after="0" w:line="287" w:lineRule="auto"/>
        <w:rPr>
          <w:sz w:val="20"/>
          <w:szCs w:val="20"/>
          <w:color w:val="auto"/>
        </w:rPr>
      </w:pPr>
      <w:r>
        <w:rPr>
          <w:rFonts w:ascii="Arial" w:cs="Arial" w:eastAsia="Arial" w:hAnsi="Arial"/>
          <w:sz w:val="16"/>
          <w:szCs w:val="16"/>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79"/>
        <w:spacing w:after="0" w:line="295" w:lineRule="auto"/>
        <w:rPr>
          <w:sz w:val="20"/>
          <w:szCs w:val="20"/>
          <w:color w:val="auto"/>
        </w:rPr>
      </w:pPr>
      <w:r>
        <w:rPr>
          <w:rFonts w:ascii="Arial" w:cs="Arial" w:eastAsia="Arial" w:hAnsi="Arial"/>
          <w:sz w:val="16"/>
          <w:szCs w:val="16"/>
          <w:color w:val="auto"/>
        </w:rPr>
        <w:t>ROU assets were $6.3 million and $6.6 million at March 31, 2021 and December 31, 2020 respectively. Lease liabilities were $6.6 million and $6.9 million at March 31, 2021 and December 31, 2020, respectively. During the three months ended March 31, 2021, we recorded additional ROU assets under operating leases of $35,000. Payments on lease liabilities during the three months ended March 31, 2021 and 2020 totaled $469,000, and $457,000, respectively.</w:t>
      </w:r>
    </w:p>
    <w:p>
      <w:pPr>
        <w:spacing w:after="0" w:line="121" w:lineRule="exact"/>
        <w:rPr>
          <w:sz w:val="20"/>
          <w:szCs w:val="20"/>
          <w:color w:val="auto"/>
        </w:rPr>
      </w:pPr>
    </w:p>
    <w:p>
      <w:pPr>
        <w:ind w:left="60" w:right="299" w:firstLine="324"/>
        <w:spacing w:after="0" w:line="381" w:lineRule="auto"/>
        <w:rPr>
          <w:sz w:val="20"/>
          <w:szCs w:val="20"/>
          <w:color w:val="auto"/>
        </w:rPr>
      </w:pPr>
      <w:r>
        <w:rPr>
          <w:rFonts w:ascii="Arial" w:cs="Arial" w:eastAsia="Arial" w:hAnsi="Arial"/>
          <w:sz w:val="15"/>
          <w:szCs w:val="15"/>
          <w:color w:val="auto"/>
        </w:rPr>
        <w:t>Lease expense includes cost for leases with terms in excess of one year. For the three months ended March 31, 2021 and 2020, our total lease expense was $440,000, and $433,000, respectively. Short-term lease costs are de minimus.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We have no financing leases and minimum annual rental commitments under non-cancellable operating leases consisted of the following at March 31, 2021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i w:val="1"/>
                <w:iCs w:val="1"/>
                <w:color w:val="auto"/>
              </w:rPr>
              <w:t>(a)</w:t>
            </w:r>
          </w:p>
        </w:tc>
        <w:tc>
          <w:tcPr>
            <w:tcW w:w="5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Less: Interest </w:t>
            </w:r>
            <w:r>
              <w:rPr>
                <w:rFonts w:ascii="Arial" w:cs="Arial" w:eastAsia="Arial" w:hAnsi="Arial"/>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payments are for the nine-months ending December 31, 2021</w:t>
      </w:r>
    </w:p>
    <w:p>
      <w:pPr>
        <w:spacing w:after="0" w:line="23" w:lineRule="exact"/>
        <w:rPr>
          <w:rFonts w:ascii="Arial" w:cs="Arial" w:eastAsia="Arial" w:hAnsi="Arial"/>
          <w:sz w:val="18"/>
          <w:szCs w:val="18"/>
          <w:i w:val="1"/>
          <w:iCs w:val="1"/>
          <w:color w:val="auto"/>
        </w:rPr>
      </w:pPr>
    </w:p>
    <w:p>
      <w:pPr>
        <w:ind w:left="380" w:right="339" w:hanging="330"/>
        <w:spacing w:after="0" w:line="281" w:lineRule="auto"/>
        <w:tabs>
          <w:tab w:leader="none" w:pos="3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Lease payments include options to extend lease terms that are reasonably certain of being exercised. There were no legally binding minimum lease payments for leases signed but not yet commenced at March 31, 2021.</w:t>
      </w:r>
    </w:p>
    <w:p>
      <w:pPr>
        <w:spacing w:after="0" w:line="1" w:lineRule="exact"/>
        <w:rPr>
          <w:rFonts w:ascii="Arial" w:cs="Arial" w:eastAsia="Arial" w:hAnsi="Arial"/>
          <w:sz w:val="16"/>
          <w:szCs w:val="16"/>
          <w:i w:val="1"/>
          <w:iCs w:val="1"/>
          <w:color w:val="auto"/>
        </w:rPr>
      </w:pPr>
    </w:p>
    <w:p>
      <w:pPr>
        <w:ind w:left="380" w:right="159" w:hanging="330"/>
        <w:spacing w:after="0" w:line="25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remaining lease term and weighted average discount rate used in calculating our lease liabilities were 6.3 years and 4.3%, respectively, at March 31, 2021.</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Acquisitions and Dispositions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37"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85" w:lineRule="exact"/>
        <w:rPr>
          <w:sz w:val="20"/>
          <w:szCs w:val="20"/>
          <w:color w:val="auto"/>
        </w:rPr>
      </w:pPr>
    </w:p>
    <w:p>
      <w:pPr>
        <w:ind w:left="60" w:right="139" w:firstLine="315"/>
        <w:spacing w:after="0" w:line="296" w:lineRule="auto"/>
        <w:rPr>
          <w:sz w:val="20"/>
          <w:szCs w:val="20"/>
          <w:color w:val="auto"/>
        </w:rPr>
      </w:pPr>
      <w:r>
        <w:rPr>
          <w:rFonts w:ascii="Arial" w:cs="Arial" w:eastAsia="Arial" w:hAnsi="Arial"/>
          <w:sz w:val="16"/>
          <w:szCs w:val="16"/>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185" w:lineRule="exact"/>
        <w:rPr>
          <w:sz w:val="20"/>
          <w:szCs w:val="20"/>
          <w:color w:val="auto"/>
        </w:rPr>
      </w:pPr>
    </w:p>
    <w:p>
      <w:pPr>
        <w:ind w:left="60" w:right="259" w:firstLine="369"/>
        <w:spacing w:after="0" w:line="296" w:lineRule="auto"/>
        <w:rPr>
          <w:sz w:val="20"/>
          <w:szCs w:val="20"/>
          <w:color w:val="auto"/>
        </w:rPr>
      </w:pPr>
      <w:r>
        <w:rPr>
          <w:rFonts w:ascii="Arial" w:cs="Arial" w:eastAsia="Arial" w:hAnsi="Arial"/>
          <w:sz w:val="16"/>
          <w:szCs w:val="16"/>
          <w:color w:val="auto"/>
        </w:rPr>
        <w:t>On January 2, 2020, the Company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 The translators are start-up stations and therefore, have no pro forma revenue and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Condensed Consolidated Balance Sheet of 2021 and 2020 Acquisitions:</w:t>
      </w:r>
    </w:p>
    <w:p>
      <w:pPr>
        <w:spacing w:after="0" w:line="18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following unaudited condensed balance sheets represent the estimated fair value assigned to the related assets and liabilities of the 2021 and 2020 acquisitions.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5240" w:type="dxa"/>
            <w:vAlign w:val="bottom"/>
            <w:gridSpan w:val="2"/>
          </w:tcPr>
          <w:p>
            <w:pPr>
              <w:jc w:val="right"/>
              <w:ind w:right="1427"/>
              <w:spacing w:after="0"/>
              <w:rPr>
                <w:sz w:val="20"/>
                <w:szCs w:val="20"/>
                <w:color w:val="auto"/>
              </w:rPr>
            </w:pPr>
            <w:r>
              <w:rPr>
                <w:rFonts w:ascii="Arial" w:cs="Arial" w:eastAsia="Arial" w:hAnsi="Arial"/>
                <w:sz w:val="18"/>
                <w:szCs w:val="18"/>
                <w:b w:val="1"/>
                <w:bCs w:val="1"/>
                <w:color w:val="auto"/>
              </w:rPr>
              <w:t>Saga Communications, Inc.</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5"/>
        </w:trPr>
        <w:tc>
          <w:tcPr>
            <w:tcW w:w="1760" w:type="dxa"/>
            <w:vAlign w:val="bottom"/>
          </w:tcPr>
          <w:p>
            <w:pPr>
              <w:spacing w:after="0"/>
              <w:rPr>
                <w:sz w:val="24"/>
                <w:szCs w:val="24"/>
                <w:color w:val="auto"/>
              </w:rPr>
            </w:pPr>
          </w:p>
        </w:tc>
        <w:tc>
          <w:tcPr>
            <w:tcW w:w="60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7"/>
              </w:rPr>
              <w:t>Condensed Consolidated Balance Sheet of 2021 and 2020 Acquisitions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7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Acquisitions in</w:t>
            </w:r>
          </w:p>
        </w:tc>
      </w:tr>
      <w:tr>
        <w:trPr>
          <w:trHeight w:val="209"/>
        </w:trPr>
        <w:tc>
          <w:tcPr>
            <w:tcW w:w="17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196"/>
        </w:trPr>
        <w:tc>
          <w:tcPr>
            <w:tcW w:w="1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4"/>
          </w:tcPr>
          <w:p>
            <w:pPr>
              <w:jc w:val="right"/>
              <w:ind w:right="39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0"/>
              </w:rPr>
              <w:t>Property and equipment</w:t>
            </w:r>
          </w:p>
        </w:tc>
        <w:tc>
          <w:tcPr>
            <w:tcW w:w="5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Broadcast licenses</w:t>
            </w: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assets</w:t>
            </w:r>
          </w:p>
        </w:tc>
        <w:tc>
          <w:tcPr>
            <w:tcW w:w="5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9"/>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Liabilities Assumed:</w:t>
            </w: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Total liabilities assumed</w:t>
            </w:r>
          </w:p>
        </w:tc>
        <w:tc>
          <w:tcPr>
            <w:tcW w:w="5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1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52"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An income tax expense of $330,000 was recorded for the three months ended March 31, 2021 compared to income tax expense of $700,000 for the three months ended March 31, 2020. The effective tax rate was approximately 30.3% for the three months ended March 31, 2021 compared to 29.4% for the three months ended March 31, 2020. Income tax provisions for interim (quarterly) periods are based on estimated annual income tax rates and are adjusted for the effects of significant, infrequent or unusual items (i.e. discrete items) occurring during the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2005 Incentive Compensation Plan</w:t>
      </w:r>
    </w:p>
    <w:p>
      <w:pPr>
        <w:spacing w:after="0" w:line="198"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On October 16, 2013 our stockholders approved the Second Amended and Restated Saga Communications, Inc. 2005 Incentive Compensation Plan, which was amended in 2018 after approval of the amendment by our stockholders at our 2018 annual meeting (as amended, the “Second Restated 2005 Plan”). The 2005 Incentive Compensation Plan, which replaced our 2003 Stock Option Plan, was first approved by stockholders in 2005 and subsequently this plan was re-approved by stockholders in 2010. The changes made in 2013 in the Second Restated 2005 Plan (i) increased the number of authorized shares by 233,334 shares of Common Stock, (ii) extended the date for making awards to September 6, 2018,</w:t>
      </w:r>
    </w:p>
    <w:p>
      <w:pPr>
        <w:spacing w:after="0" w:line="4" w:lineRule="exact"/>
        <w:rPr>
          <w:sz w:val="20"/>
          <w:szCs w:val="20"/>
          <w:color w:val="auto"/>
        </w:rPr>
      </w:pPr>
    </w:p>
    <w:p>
      <w:pPr>
        <w:ind w:left="60" w:right="59" w:hanging="10"/>
        <w:spacing w:after="0" w:line="269" w:lineRule="auto"/>
        <w:tabs>
          <w:tab w:leader="none" w:pos="3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directors as participants, (iv) targeted awards according to groupings of participants based on ranges of base salary of employees and/or retainers of directors, (v) required participants to retain 50 % of their net annual restricted stock awards during their employment or service as a director, and (vi) included a clawback provision. The 2018 amendment to the Second Restated 2005 Plan (i) 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40"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number of shares of Common Stock that may be issued under the Second Restated 2005 Plan may not exceed 370,000 shares of Class B Common Stock, 990,000 shares of Class A Common Stock of which up to 620,000 shares of Class A Common Stock may be issued pursuant to incentive stock options and 370,000 Class A Common Stock issuable upon conversion of Class B Common Stock. Awards denominated in Class A Common Stock may be granted to any employee or director under the Second Restated 2005 Plan. However, awards denominated in Class B Common Stock may only be granted to Edward K. Christian, President, Chief Executive Officer, Chairman of the Board of Directors, and the holder of 100% of the outstanding Class B Common Stock of the Company. Stock options granted under the Second Restated 2005 Plan may be for terms not exceeding ten years from the date of grant and may not be exercised at a price which is less than 100% of the fair market value of shares at the date of grant.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All stock options granted were fully vested and expensed at December 31, 2012, therefore there was no compensation expense related to stock options for the three months ended March 31, 2021 and 2020, respectively.</w:t>
      </w:r>
    </w:p>
    <w:p>
      <w:pPr>
        <w:spacing w:after="0" w:line="106" w:lineRule="exact"/>
        <w:rPr>
          <w:sz w:val="20"/>
          <w:szCs w:val="20"/>
          <w:color w:val="auto"/>
        </w:rPr>
      </w:pPr>
    </w:p>
    <w:p>
      <w:pPr>
        <w:ind w:left="60" w:right="1219" w:firstLine="324"/>
        <w:spacing w:after="0" w:line="277" w:lineRule="auto"/>
        <w:rPr>
          <w:sz w:val="20"/>
          <w:szCs w:val="20"/>
          <w:color w:val="auto"/>
        </w:rPr>
      </w:pPr>
      <w:r>
        <w:rPr>
          <w:rFonts w:ascii="Arial" w:cs="Arial" w:eastAsia="Arial" w:hAnsi="Arial"/>
          <w:sz w:val="18"/>
          <w:szCs w:val="18"/>
          <w:color w:val="auto"/>
        </w:rPr>
        <w:t>There were no options granted during 2021 and 2020 and there were no stock options outstanding as of March 31, 2021. All outstanding stock options were exercised in 2017.</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the restricted stock transactions for the three months ended March 31,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rPr>
              <w:t>Fair</w:t>
            </w:r>
          </w:p>
        </w:tc>
      </w:tr>
      <w:tr>
        <w:trPr>
          <w:trHeight w:val="234"/>
        </w:trPr>
        <w:tc>
          <w:tcPr>
            <w:tcW w:w="69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920" w:type="dxa"/>
            <w:vAlign w:val="bottom"/>
          </w:tcPr>
          <w:p>
            <w:pPr>
              <w:ind w:left="20"/>
              <w:spacing w:after="0"/>
              <w:rPr>
                <w:sz w:val="20"/>
                <w:szCs w:val="20"/>
                <w:color w:val="auto"/>
              </w:rPr>
            </w:pPr>
            <w:r>
              <w:rPr>
                <w:rFonts w:ascii="Arial" w:cs="Arial" w:eastAsia="Arial" w:hAnsi="Arial"/>
                <w:sz w:val="18"/>
                <w:szCs w:val="18"/>
                <w:color w:val="auto"/>
              </w:rPr>
              <w:t>Non-vested and outstanding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For the three months ended March 31, 2021 and 2020 , we had $343,000 and $569,000, respectively, of total compensation expense related to restricted stock-based compensation arrangements. This expense is included in corporate general and administrative expenses in our results of operations. The associated tax benefit recognized for the three months ended March 31, 2021 and 2020 was $30,000 and $58,000,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5060" w:type="dxa"/>
            <w:vAlign w:val="bottom"/>
          </w:tcPr>
          <w:p>
            <w:pPr>
              <w:ind w:left="320"/>
              <w:spacing w:after="0"/>
              <w:rPr>
                <w:sz w:val="20"/>
                <w:szCs w:val="20"/>
                <w:color w:val="auto"/>
              </w:rPr>
            </w:pPr>
            <w:r>
              <w:rPr>
                <w:rFonts w:ascii="Arial" w:cs="Arial" w:eastAsia="Arial" w:hAnsi="Arial"/>
                <w:sz w:val="18"/>
                <w:szCs w:val="18"/>
                <w:color w:val="auto"/>
              </w:rPr>
              <w:t>Long-term debt consisted of the following:</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7"/>
        </w:trPr>
        <w:tc>
          <w:tcPr>
            <w:tcW w:w="5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196"/>
        </w:trPr>
        <w:tc>
          <w:tcPr>
            <w:tcW w:w="5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payable within one year</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0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5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On August 18, 2015, we entered into a new credit facility (the “Credit Facility”) with JPMorgan Chase Bank, N.A., The Huntington National Bank, Citizens Bank, National Association and J.P. Morgan Securities LLC. The Credit Facility consists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we entered into an assumption agreement and amendment of loan documents as part of our reincorporation as a Florida corporation. The amendment also included an alternative benchmark rate as a replacement to LIBOR.</w:t>
      </w:r>
    </w:p>
    <w:p>
      <w:pPr>
        <w:spacing w:after="0" w:line="154"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rates under the Credit Facility are payable, at our option, at alternatives equal to LIBOR (0.1250%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31, 2021), plus 1% to 2% or the base rate plus 0% to 1%. The spread over LIBOR and the base rate vary from time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time, depending upon our financial leverage. As previously noted, the May 11, 2020 amendment to the Credit Facility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includes an alternative benchmark to LIBOR in the event LIBOR is no longer available. Letters of credit issued under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Credit Facility will be subject to a participation fee (which is equal to the interest rate applicable to Eurocurrency Loans,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defined in the Credit Agreement) payable to each of the Lenders and a fronting fee equal to 0.25% per annum payable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issuing bank. We also pay quarterly commitment fees of 0.2% to 0.3% per annum on the unused portion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Revolving Credit Facility.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Credit Facility contains a number of financial covenants (all of which we were in compliance with at</w:t>
      </w:r>
    </w:p>
    <w:p>
      <w:pPr>
        <w:spacing w:after="0" w:line="23" w:lineRule="exact"/>
        <w:rPr>
          <w:sz w:val="20"/>
          <w:szCs w:val="20"/>
          <w:color w:val="auto"/>
        </w:rPr>
      </w:pPr>
    </w:p>
    <w:p>
      <w:pPr>
        <w:jc w:val="both"/>
        <w:ind w:left="60" w:right="99"/>
        <w:spacing w:after="0" w:line="323" w:lineRule="auto"/>
        <w:rPr>
          <w:sz w:val="20"/>
          <w:szCs w:val="20"/>
          <w:color w:val="auto"/>
        </w:rPr>
      </w:pPr>
      <w:r>
        <w:rPr>
          <w:rFonts w:ascii="Arial" w:cs="Arial" w:eastAsia="Arial" w:hAnsi="Arial"/>
          <w:sz w:val="16"/>
          <w:szCs w:val="16"/>
          <w:color w:val="auto"/>
        </w:rPr>
        <w:t>March 31, 2021) which, among other things, require us to maintain specified financial ratios and impose certain limitations on us with respect to investments, additional indebtedness, dividends, distributions, guarantees, liens and encumbrances.</w:t>
      </w:r>
    </w:p>
    <w:p>
      <w:pPr>
        <w:spacing w:after="0" w:line="98" w:lineRule="exact"/>
        <w:rPr>
          <w:sz w:val="20"/>
          <w:szCs w:val="20"/>
          <w:color w:val="auto"/>
        </w:rPr>
      </w:pPr>
    </w:p>
    <w:p>
      <w:pPr>
        <w:ind w:left="60" w:right="1179" w:firstLine="324"/>
        <w:spacing w:after="0" w:line="277" w:lineRule="auto"/>
        <w:rPr>
          <w:sz w:val="20"/>
          <w:szCs w:val="20"/>
          <w:color w:val="auto"/>
        </w:rPr>
      </w:pPr>
      <w:r>
        <w:rPr>
          <w:rFonts w:ascii="Arial" w:cs="Arial" w:eastAsia="Arial" w:hAnsi="Arial"/>
          <w:sz w:val="18"/>
          <w:szCs w:val="18"/>
          <w:color w:val="auto"/>
        </w:rPr>
        <w:t>We had approximately $60 million of unused borrowing capacity under the Revolving Credit Facility at March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Litigation</w:t>
      </w:r>
    </w:p>
    <w:p>
      <w:pPr>
        <w:spacing w:after="0" w:line="18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Dividends</w:t>
      </w:r>
    </w:p>
    <w:p>
      <w:pPr>
        <w:spacing w:after="0" w:line="189"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On June 18, 2020, the Company’s Board of Directors announced that it was temporarily suspending the quarterly cash dividend in response to the continued uncertainty of the ongoing impact of COVID-19.</w:t>
      </w:r>
    </w:p>
    <w:p>
      <w:pPr>
        <w:spacing w:after="0" w:line="143" w:lineRule="exact"/>
        <w:rPr>
          <w:sz w:val="20"/>
          <w:szCs w:val="20"/>
          <w:color w:val="auto"/>
        </w:rPr>
      </w:pPr>
    </w:p>
    <w:p>
      <w:pPr>
        <w:jc w:val="both"/>
        <w:ind w:left="60" w:right="599" w:firstLine="324"/>
        <w:spacing w:after="0" w:line="263" w:lineRule="auto"/>
        <w:rPr>
          <w:sz w:val="20"/>
          <w:szCs w:val="20"/>
          <w:color w:val="auto"/>
        </w:rPr>
      </w:pPr>
      <w:r>
        <w:rPr>
          <w:rFonts w:ascii="Arial" w:cs="Arial" w:eastAsia="Arial" w:hAnsi="Arial"/>
          <w:sz w:val="18"/>
          <w:szCs w:val="18"/>
          <w:color w:val="auto"/>
        </w:rPr>
        <w:t>On March 4, 2020, the Company’s Board of Directors declared a regular cash dividend of $0.32 per share on its Classes A and B Common Stock. This dividend, totaling approximately $1.9 million, was paid on April 10, 2020 to shareholders of record on March 16, 2020.</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Other Income</w:t>
      </w:r>
    </w:p>
    <w:p>
      <w:pPr>
        <w:spacing w:after="0" w:line="189"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The gain is recorded in other (income) expense, net, in the Company’s Condensed Consolidated Statements of Income.</w:t>
      </w:r>
    </w:p>
    <w:p>
      <w:pPr>
        <w:spacing w:after="0" w:line="161" w:lineRule="exact"/>
        <w:rPr>
          <w:sz w:val="20"/>
          <w:szCs w:val="20"/>
          <w:color w:val="auto"/>
        </w:rPr>
      </w:pPr>
    </w:p>
    <w:p>
      <w:pPr>
        <w:ind w:left="60" w:right="439" w:firstLine="324"/>
        <w:spacing w:after="0" w:line="257" w:lineRule="auto"/>
        <w:rPr>
          <w:sz w:val="20"/>
          <w:szCs w:val="20"/>
          <w:color w:val="auto"/>
        </w:rPr>
      </w:pPr>
      <w:r>
        <w:rPr>
          <w:rFonts w:ascii="Arial" w:cs="Arial" w:eastAsia="Arial" w:hAnsi="Arial"/>
          <w:sz w:val="18"/>
          <w:szCs w:val="18"/>
          <w:color w:val="auto"/>
        </w:rPr>
        <w:t>During the first quarter of 2020, there was weather related damage to an antenna in our Keene, New Hampshire market. The Company’s insurance policy provided coverage for removal and replacement of the antenna and related equipment. The insurance settlement was finalized during the first quarter and the Company received cash proceeds of $208,000, resulting in a gain of $208,000. The gain is recorded in other (income) expense, net, in the Company’s Condensed Consolidated Statements of Income.</w:t>
      </w:r>
    </w:p>
    <w:p>
      <w:pPr>
        <w:spacing w:after="0" w:line="188"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During the first quarter of 2020, the Company sold land and a building on one of its tower sites in its Bellingham, Washington market for approximately $1,700,000 to Talbot Real Estate, LLC, resulting in a $1,400,000 gain on the sale of assets. The gain is recorded in the other operating (income) expense, net in the Company’s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198"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The following discussion should be read in conjunction with the unaudited condensed consolidated financial statements and notes thereto of Saga Communications, Inc. and its subsidiaries contained elsewhere herein and the audited financial statements and Management Discussion and Analysis contained in our Annual Report on Form 10-K for the year ended December 31, 2020. The following discussion is presented on a consolidated basis.</w:t>
      </w:r>
    </w:p>
    <w:p>
      <w:pPr>
        <w:spacing w:after="0" w:line="131"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 and Response</w:t>
      </w:r>
    </w:p>
    <w:p>
      <w:pPr>
        <w:spacing w:after="0" w:line="20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During the first quarter of 2021, the effects of the COVID-19 pandemic and the related actions by governments to attempt to contain the spread of the virus have continued to impact our business. Despite the development of vaccines and more effective treatments for the physical impacts of COVID-19, there are no reliable estimates of how long the COVID-19 pandemic, and its negative effect on our business, will last. Therefore, the unpredictability of the current economic and public health conditions continues. However, all of our markets are functioning at effectively full capacity, subject to ongoing health and safety protocols, which vary from state-to-state, and we remain optimistic about future advertising revenue and the ability to start events soon. Additional information regarding all actions taken by the Company since the onset of the pandemic can be found in our audited financial statements and Management Discussion and Analysis contained in our Annual Report on Form 10-K for the year ended December 31, 2020.</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35 AM radio stations and 79 metro signals.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Radio Stations</w:t>
      </w:r>
    </w:p>
    <w:p>
      <w:pPr>
        <w:spacing w:after="0" w:line="18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57"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Most advertising contracts are short-term and generally run for a few weeks only. The majority of our revenue is generated from local advertising, which is sold primarily by each radio markets’ sales staff. For the three months ended March 31, 2021 and 2020, approximately 90% and 87%,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36" w:lineRule="exact"/>
        <w:rPr>
          <w:sz w:val="20"/>
          <w:szCs w:val="20"/>
          <w:color w:val="auto"/>
        </w:rPr>
      </w:pPr>
    </w:p>
    <w:p>
      <w:pPr>
        <w:jc w:val="both"/>
        <w:ind w:left="60" w:right="139" w:firstLine="324"/>
        <w:spacing w:after="0" w:line="259" w:lineRule="auto"/>
        <w:rPr>
          <w:sz w:val="20"/>
          <w:szCs w:val="20"/>
          <w:color w:val="auto"/>
        </w:rPr>
      </w:pPr>
      <w:r>
        <w:rPr>
          <w:rFonts w:ascii="Arial" w:cs="Arial" w:eastAsia="Arial" w:hAnsi="Arial"/>
          <w:sz w:val="18"/>
          <w:szCs w:val="18"/>
          <w:color w:val="auto"/>
        </w:rPr>
        <w:t>Our revenue varies throughout the year. Advertising expenditures, our primary source of revenue, generally have been lowest during the winter months, which include the first quarter of each year. We expect a decrease in political advertising for 2021 due to the decreased number of national, state and local elections in most of our markets as compared to the prior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net operating revenue, station operating expense and operating income varies from market to market based upon the market’s rank or size which is based upon population and the available radio advertising revenue in that particular market.</w:t>
      </w:r>
    </w:p>
    <w:p>
      <w:pPr>
        <w:spacing w:after="0" w:line="157"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 Historically, these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47"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pacing w:after="0" w:line="140"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pacing w:after="0" w:line="13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 out ratios and pricing adjustments, which are made to ensure that the station efficiently utilizes available inventory.</w:t>
      </w:r>
    </w:p>
    <w:p>
      <w:pPr>
        <w:spacing w:after="0" w:line="151"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52" w:lineRule="exact"/>
        <w:rPr>
          <w:sz w:val="20"/>
          <w:szCs w:val="20"/>
          <w:color w:val="auto"/>
        </w:rPr>
      </w:pPr>
    </w:p>
    <w:p>
      <w:pPr>
        <w:ind w:left="60" w:right="819" w:firstLine="324"/>
        <w:spacing w:after="0" w:line="308" w:lineRule="auto"/>
        <w:rPr>
          <w:sz w:val="20"/>
          <w:szCs w:val="20"/>
          <w:color w:val="auto"/>
        </w:rPr>
      </w:pPr>
      <w:r>
        <w:rPr>
          <w:rFonts w:ascii="Arial" w:cs="Arial" w:eastAsia="Arial" w:hAnsi="Arial"/>
          <w:sz w:val="17"/>
          <w:szCs w:val="17"/>
          <w:color w:val="auto"/>
        </w:rPr>
        <w:t>The primary operating expenses involved in owning and operating radio stations are employee salaries, sales commissions, programming expenses, depreciation, and advertising and promotion expenses.</w:t>
      </w:r>
    </w:p>
    <w:p>
      <w:pPr>
        <w:spacing w:after="0" w:line="119"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43"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75" w:lineRule="auto"/>
        <w:rPr>
          <w:sz w:val="20"/>
          <w:szCs w:val="20"/>
          <w:color w:val="auto"/>
        </w:rPr>
      </w:pPr>
      <w:r>
        <w:rPr>
          <w:rFonts w:ascii="Arial" w:cs="Arial" w:eastAsia="Arial" w:hAnsi="Arial"/>
          <w:sz w:val="17"/>
          <w:szCs w:val="17"/>
          <w:color w:val="auto"/>
        </w:rPr>
        <w:t>During the three months ended March 31, 2021 and 2020 and the years ended December 31, 2020 and 2019, our Charleston, South Carolina; Columbus, Ohio; Des Moines, Iowa; Milwaukee, Wisconsin and Norfolk, Virginia markets, when combined, represented approximately 39%, 39%, 39% and 39%, respectively, of our consolidated net operating revenue. An adverse change in any of these radio markets or our relative market position in those markets could have a significant impact on our operating results as a whole.</w:t>
      </w:r>
    </w:p>
    <w:p>
      <w:pPr>
        <w:spacing w:after="0" w:line="14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tables describe the percentage of our consolidated net operating revenue represented by each of these markets: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Percentage of Consolidated</w:t>
            </w:r>
          </w:p>
        </w:tc>
        <w:tc>
          <w:tcPr>
            <w:tcW w:w="24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Net Operating Revenue for</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Net Operating Revenue</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the Three Months Ended</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40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Charleston, South Carolina</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 Ohio</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10 %</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Des Moines, Iowa</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Wisconsin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11 %</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Norfolk, Virginia</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2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187"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During the three months ended March 31, 2021 and 2020 and the years ended December 31, 2021 and 2020, the radio stations in our five largest markets, when combined, represented approximately 41%, 53%, 49% and 43%, respectively, of our consolidated station operating income. We note that the percent of consolidated station operating income at March 31, 2020 and December 31, 2020 is higher than normal due to the impact of the COVID-19 pandemic on our markets. If the pandemic is resolved, we would anticipate results by market to be back to normalized amounts in future years. The following tables describe the percentage of our consolidated station operating income represented by each of these markets: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Percentage of Consolidated</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Station Operating Income (*)</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Station Operating Income(*)</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3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37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CEEFF"/>
            </w:tcBorders>
          </w:tcPr>
          <w:p>
            <w:pPr>
              <w:spacing w:after="0"/>
              <w:rPr>
                <w:sz w:val="18"/>
                <w:szCs w:val="18"/>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Charleston, South Carolina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15 %</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Des Moines, Iowa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12 %</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Norfolk, Virginia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187" w:lineRule="exact"/>
        <w:rPr>
          <w:sz w:val="20"/>
          <w:szCs w:val="20"/>
          <w:color w:val="auto"/>
        </w:rPr>
      </w:pPr>
    </w:p>
    <w:p>
      <w:pPr>
        <w:ind w:left="380" w:right="379" w:hanging="330"/>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adjusted for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 our results of operations for the three months ended March 31, 2021 and 2020.</w:t>
      </w:r>
    </w:p>
    <w:p>
      <w:pPr>
        <w:spacing w:after="0" w:line="19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Results of Operations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26,051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Station operating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22,199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Earnings per share (diluted)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0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N/M =</w:t>
            </w:r>
          </w:p>
        </w:tc>
        <w:tc>
          <w:tcPr>
            <w:tcW w:w="4280" w:type="dxa"/>
            <w:vAlign w:val="bottom"/>
            <w:vMerge w:val="restart"/>
          </w:tcPr>
          <w:p>
            <w:pPr>
              <w:ind w:left="120"/>
              <w:spacing w:after="0"/>
              <w:rPr>
                <w:sz w:val="20"/>
                <w:szCs w:val="20"/>
                <w:color w:val="auto"/>
              </w:rPr>
            </w:pPr>
            <w:r>
              <w:rPr>
                <w:rFonts w:ascii="Arial" w:cs="Arial" w:eastAsia="Arial" w:hAnsi="Arial"/>
                <w:sz w:val="18"/>
                <w:szCs w:val="18"/>
                <w:color w:val="auto"/>
              </w:rPr>
              <w:t>Not Meaningful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 the three months ended March 31, 2021, consolidated net operating revenue was $22,301,000 compared with</w:t>
      </w:r>
    </w:p>
    <w:p>
      <w:pPr>
        <w:spacing w:after="0" w:line="35"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$26,051,000 for the three months ended March 31, 2020, a decrease of $3,750,000 or 14.4%. The decrease in revenue was attributable to the COVID-19 pandemic. We had decreases in gross local revenue of $2,907,000, gross political revenue of $818,000, gross national revenue of $266,000, gross barter revenue of $194,000, and non-spot gross revenue of $156,000, partially offset by an increase in gross interactive revenue of $139,000 and a decrease in agency commissions of $416,000, from the first quarter of 2020. The decrease in gross local, national, barter revenue and agency commissions was at the majority of our markets as a result of the impact of the COVID-19 pandemic and the disruption to our advertisers’ businesses. The decrease in non-spot gross revenue is primarily due to decreases in the number of events being held due to the COVID-19 pandemic. The decrease in gross political revenue was attributable to fewer national, local and state elections in 2021 versus 2020. The increase in gross interactive revenue is primarily due to an increase in our streaming revenue.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Station operating expense was $18,923,000 for the three months ended March 31, 2021, compared with $22,199,000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March 31, 2020, a decrease of $3,276,000 or 14.8%. The decrease in operating expense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a result of decreases in compensation related expenses, bad debt expense, commission expense, healthcare costs,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depreciation and amortization expenses, barter expenses, tower lease expense, and music licensing fees, of $1,100,000,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$676,000, $503,000, $341,000, $265,000, $218,000, $149,000 and $127,000 respectively partially offset by an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sales rating survey expenses of $287,000 from the first quarter of 2020.</w:t>
      </w:r>
    </w:p>
    <w:p>
      <w:pPr>
        <w:spacing w:after="0" w:line="184"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We had operating income for the three months ended March 31, 2021 of $883,000 compared to $2,167,000 for the three months ended March 31, 2020, a decrease of $1,284,000. The decrease was a result of the decrease in net operating revenue partially offset by the decrease in station operating expense, noted above, a decrease in corporate general and administrative expenses of $577,000 partially offset by a decrease in other operating income of $1,387,000. The decrease in corporate general and administrative expenses was primarily attributable to decreases in non cash compensation expenses of $226,000, compensation related expenses of $188,000 and overall expense reductions of $166,000, respectively, from first quarter of 2020. In the first quarter of 2020 we recorded the gain on the sale of a tower and a building on one of our tower sites in our Bellingham, Washington market of $1,400,000 in other operating (income)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We generated net income of $758,000 ($0.13 per share on a fully diluted basis) during the three months ended March 31, 2021, compared to net income of $1,680,000 ($0.28 per share on a fully diluted basis) for the three months ended March 31, 2020, a decrease of $922,000. The decrease in net income is primarily due to the decrease in operating income, described above and a decrease in interest income of $102,000 partially offset by a decrease in income tax expense of $370,000. The decrease in our income tax expense is due to the decrease in income before income tax.</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Statements contained in this Form 10-Q that are not historical facts are forward-looking statements that are made pursuant to the safe harbor provisions of the Private Securities Litigation Reform Act of 1995. In addition, words such as “believes,” “anticipates,” “estimates,” “plans,” “expects,” and similar expressions are intended to identify forward-looking statements. These statements are made as of the date of this report or as otherwise indicated, based on current expectations. We undertake no obligation to update this information. A number of important factors could cause our actual results for 2021 and beyond to differ materially from those expressed in any forward-looking statements made by us or on our behalf. Forward-looking statements are not guarantees of future performance as they involve a number of risks, uncertainties and assumptions that may prove to be incorrect and that may cause our actual results and experiences to differ materially from the anticipated results or other expectations expressed in such forward-looking statements. The risks, uncertainties and assumptions that may affect our performance include our financial leverage and debt service requirements, dependence on key personnel, dependence on key stations, U.S. and local economic conditions, our ability to successfully integrate acquired stations, regulatory requirements, new technologies, natural disasters, terrorist attacks, and the effects of the ongoing COVID-19 pandemic. We cannot be sure that we will be able to anticipate or respond timely to changes in any of these factors, which could adversely affect the operating results in one or more fiscal quarters. Results of operations in any past period should not be considered, in and of itself, indicative of the results to be expected for future periods. Fluctuations in operating results may also result in fluctuations in the price of our stock.</w:t>
      </w:r>
    </w:p>
    <w:p>
      <w:pPr>
        <w:spacing w:after="0" w:line="136" w:lineRule="exact"/>
        <w:rPr>
          <w:sz w:val="20"/>
          <w:szCs w:val="20"/>
          <w:color w:val="auto"/>
        </w:rPr>
      </w:pPr>
    </w:p>
    <w:p>
      <w:pPr>
        <w:ind w:left="60" w:right="199" w:firstLine="324"/>
        <w:spacing w:after="0" w:line="308" w:lineRule="auto"/>
        <w:rPr>
          <w:sz w:val="20"/>
          <w:szCs w:val="20"/>
          <w:color w:val="auto"/>
        </w:rPr>
      </w:pPr>
      <w:r>
        <w:rPr>
          <w:rFonts w:ascii="Arial" w:cs="Arial" w:eastAsia="Arial" w:hAnsi="Arial"/>
          <w:sz w:val="17"/>
          <w:szCs w:val="17"/>
          <w:color w:val="auto"/>
        </w:rPr>
        <w:t>For a more complete description of the prominent risks and uncertainties inherent in our business, see Item 1A. “Risk Factors” in our Annual Report on Form 10-K for the year ended December 31, 2020 and in this Report.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Debt Arrangements and Debt Service Requirements</w:t>
      </w:r>
    </w:p>
    <w:p>
      <w:pPr>
        <w:spacing w:after="0" w:line="185"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On August 18, 2015, we entered into a new credit facility (the “Credit Facility”) with JPMorgan Chase Bank, N.A., The Huntington National Bank, Citizens Bank, National Association and J.P. Morgan Securities LLC. The Credit Facility consists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we entered into an assumption agreement and amendment of loan documents as part of our reincorporation as a Florida corporation.</w:t>
      </w:r>
    </w:p>
    <w:p>
      <w:pPr>
        <w:spacing w:after="0" w:line="151"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rates under the Credit Facility are payable, at our option, at alternatives equal to LIBOR (0.1250%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31, 2021), plus 1% to 2% or the base rate plus 0% to 1%. The spread over LIBOR and the base rate vary from time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time, depending upon our financial leverage. As previously noted, the May 11, 2020 amendment to the Credit Facility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includes an alternative to LIBOR in the event LIBOR is no longer available. Letters of credit issued under the Credit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Facility will be subject to a participation fee (which is equal to the interest rate applicable to Eurocurrency Loans,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defined in the Credit Agreement) payable to each of the Lenders and a fronting fee equal to 0.25% per annum payable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issuing bank. We also pay quarterly commitment fees of 0.2% to 0.3% per annum on the unused portion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Revolving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Credit Facility contains a number of financial covenants (all of which we were in compliance with at</w:t>
      </w:r>
    </w:p>
    <w:p>
      <w:pPr>
        <w:spacing w:after="0" w:line="23" w:lineRule="exact"/>
        <w:rPr>
          <w:sz w:val="20"/>
          <w:szCs w:val="20"/>
          <w:color w:val="auto"/>
        </w:rPr>
      </w:pPr>
    </w:p>
    <w:p>
      <w:pPr>
        <w:ind w:left="60" w:right="99"/>
        <w:spacing w:after="0" w:line="323" w:lineRule="auto"/>
        <w:rPr>
          <w:sz w:val="20"/>
          <w:szCs w:val="20"/>
          <w:color w:val="auto"/>
        </w:rPr>
      </w:pPr>
      <w:r>
        <w:rPr>
          <w:rFonts w:ascii="Arial" w:cs="Arial" w:eastAsia="Arial" w:hAnsi="Arial"/>
          <w:sz w:val="16"/>
          <w:szCs w:val="16"/>
          <w:color w:val="auto"/>
        </w:rPr>
        <w:t>March 31, 2021) which, among other things, require us to maintain specified financial ratios and impose certain limitations on us with respect to investments, additional indebtedness, dividends, distributions, guarantees, liens and encumbrances.</w:t>
      </w:r>
    </w:p>
    <w:p>
      <w:pPr>
        <w:spacing w:after="0" w:line="111" w:lineRule="exact"/>
        <w:rPr>
          <w:sz w:val="20"/>
          <w:szCs w:val="20"/>
          <w:color w:val="auto"/>
        </w:rPr>
      </w:pPr>
    </w:p>
    <w:p>
      <w:pPr>
        <w:ind w:left="60" w:right="1179" w:firstLine="324"/>
        <w:spacing w:after="0" w:line="277" w:lineRule="auto"/>
        <w:rPr>
          <w:sz w:val="20"/>
          <w:szCs w:val="20"/>
          <w:color w:val="auto"/>
        </w:rPr>
      </w:pPr>
      <w:r>
        <w:rPr>
          <w:rFonts w:ascii="Arial" w:cs="Arial" w:eastAsia="Arial" w:hAnsi="Arial"/>
          <w:sz w:val="18"/>
          <w:szCs w:val="18"/>
          <w:color w:val="auto"/>
        </w:rPr>
        <w:t>We had approximately $60 million of unused borrowing capacity under the Revolving Credit Facility at March 31, 2021.</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three months ended March 31, 2021 and 2020, we had net cash flows from operating activities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$5,352,000 and $5,065,000, respectively. We believe that cash flow from operations will be sufficient to meet quarterly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service requirements for interest and payments of principal under our Credit Facility. However, if such cash flow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 sufficient we may be required to sell additional equity securities, refinance our obligations or dispose of one or more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properties in order to make such scheduled payments. There can be no assurance that we would be able to effect 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such transactions on favorable terms, if at all.</w:t>
      </w:r>
    </w:p>
    <w:p>
      <w:pPr>
        <w:spacing w:after="0" w:line="184"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In March 2013, our board of directors authorized an increase to our Stock Buy-Back Program (the “Buy-Back Program”) to allow us to purchase up to $75.8 million of our Class A Common Stock. From its inception in 1998 through March 31, 2021, we have repurchased 2.2 million shares of our Class A Common Stock for $57 million. During the three months ended March 31, 2021, approximately 0 and 800 shares were repurchased for $0 and $20,000, respectively, related to the Buy-Back Program. Given the unprecedented uncertainty surrounding the COVID-19 virus and the resulting economic issues we have halted the directions for any additional buybacks under our plan.</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capital expenditures, exclusive of acquisitions, for the three months ended March 31, 2021 were $534,000</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($1,021,000 in 2020). We anticipate capital expenditures in 2021 to be approximately $4.5 million to $5.5 million,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expect to finance through funds generated from operations.</w:t>
      </w:r>
    </w:p>
    <w:p>
      <w:pPr>
        <w:spacing w:after="0" w:line="170"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61" w:lineRule="exact"/>
        <w:rPr>
          <w:sz w:val="20"/>
          <w:szCs w:val="20"/>
          <w:color w:val="auto"/>
        </w:rPr>
      </w:pPr>
    </w:p>
    <w:p>
      <w:pPr>
        <w:ind w:left="60" w:right="339" w:firstLine="324"/>
        <w:spacing w:after="0" w:line="257" w:lineRule="auto"/>
        <w:rPr>
          <w:sz w:val="20"/>
          <w:szCs w:val="20"/>
          <w:color w:val="auto"/>
        </w:rPr>
      </w:pPr>
      <w:r>
        <w:rPr>
          <w:rFonts w:ascii="Arial" w:cs="Arial" w:eastAsia="Arial" w:hAnsi="Arial"/>
          <w:sz w:val="18"/>
          <w:szCs w:val="18"/>
          <w:color w:val="auto"/>
        </w:rPr>
        <w:t>On January 2, 2020, the Company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w:t>
      </w:r>
    </w:p>
    <w:p>
      <w:pPr>
        <w:spacing w:after="0" w:line="147"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On March 4, 2020, the Company’s Board of Directors declared a regular cash dividend of $0.32 per share on its Classes A and B Common Stock. This dividend, totaling approximately $1.9 million, was paid on April 10, 2020 to shareholders of record on March 16, 2020 and was recorded in dividends payable on the Company’s Condensed Consolidated Balance sheet at March 31, 2020. On June 18, 2020, the Company’s Board of Directors announced that it was temporarily suspending the quarterly cash dividend in response to the continued uncertainty of the ongoing impact of COVID-19.</w:t>
      </w:r>
    </w:p>
    <w:p>
      <w:pPr>
        <w:spacing w:after="0" w:line="152"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We continue to actively seek and explore opportunities for expansion through the acquisitions of additional broadcast properties.</w:t>
      </w:r>
    </w:p>
    <w:p>
      <w:pPr>
        <w:spacing w:after="0" w:line="143"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anticipate that any future acquisitions of radio and television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Summary Disclosures About Contractual Obligations and Commercial Commitments</w:t>
      </w:r>
    </w:p>
    <w:p>
      <w:pPr>
        <w:spacing w:after="0" w:line="19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2020.</w:t>
      </w:r>
    </w:p>
    <w:p>
      <w:pPr>
        <w:spacing w:after="0" w:line="147"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We anticipate that our contractual cash obligations will be financed through funds generated from operations or additional borrowings under the Credit Facility, or a combination thereof.</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United States,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2020.</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Recent accounting pronouncements are described in Note 2 to the accompanying financial statements.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impact of inflation on our operations has not been significant to date. There can be no assurance that a high rate of inflation in the future would not have an adverse effect on our operations.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3. Quantitative and Qualitative Disclosures about Market Risk</w:t>
      </w:r>
    </w:p>
    <w:p>
      <w:pPr>
        <w:spacing w:after="0" w:line="198"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2020 for a complete discussion of our market risk. There have been no material changes to the market risk information included in our 2020 Annual Report on Form 10-K except as noted below in “Part II – Other Information; Item 1A. Risk Factors”.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18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Company’s management, including its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were no changes in the Company’s internal controls over financial reporting during the quarter ended March 31, 2021,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is subject to various outstanding claims which arise in the ordinary course of business and to other legal proceedings. Management anticipates that any potential liability of the Company, which arise out of or with respect to these matters, will not materially affect the Company’s financial statements.</w:t>
      </w: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18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summarizes our repurchases of our Class A Common Stock during the three months ended March 31, 2021.</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of Shares</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Program(a)</w:t>
            </w:r>
          </w:p>
        </w:tc>
      </w:tr>
      <w:tr>
        <w:trPr>
          <w:trHeight w:val="209"/>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2021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February 1 - February 28, 2021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10"/>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18,785,315</w:t>
            </w: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199" w:hanging="330"/>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Item 6. Exhibits</w:t>
            </w:r>
          </w:p>
        </w:tc>
        <w:tc>
          <w:tcPr>
            <w:tcW w:w="6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4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of Chief Executive Officer Pursuant to Rule 13a-14(a) and Rule15d-14(a) of the Securities</w:t>
              </w:r>
            </w:hyperlink>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Exchange Act of 1934, as Adopted Pursuant to Section 302 of the Sarbanes-Oxley Act of 2002.</w:t>
              </w:r>
            </w:hyperlink>
          </w:p>
        </w:tc>
        <w:tc>
          <w:tcPr>
            <w:tcW w:w="600" w:type="dxa"/>
            <w:vAlign w:val="bottom"/>
            <w:gridSpan w:val="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480" w:type="dxa"/>
            <w:vAlign w:val="bottom"/>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Financial Officer Pursuant to Rule 13a-14(a) and Rule 15d-14(a) of the Securities</w:t>
              </w:r>
            </w:hyperlink>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Exchange Act of 1934, as Adopted Pursuant to Section 302 of the Sarbanes-Oxley Act of 2002.</w:t>
              </w:r>
            </w:hyperlink>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1340" w:right="179" w:hanging="1284"/>
        <w:spacing w:after="0" w:line="263" w:lineRule="auto"/>
        <w:tabs>
          <w:tab w:leader="none" w:pos="1340" w:val="left"/>
        </w:tabs>
        <w:numPr>
          <w:ilvl w:val="0"/>
          <w:numId w:val="9"/>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Chief Executive Officer and Chief Financial Officer Pursuant to 18 U.S.C. Section 1350</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and Rule 13-14(b) of the Securities Exchange Act of 1934, as Adopted Pursuant to Section 906 of the</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Sarbanes-Oxley Act of 2002.</w:t>
        </w:r>
      </w:hyperlink>
    </w:p>
    <w:p>
      <w:pPr>
        <w:spacing w:after="0" w:line="184"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w:t>
            </w:r>
          </w:p>
        </w:tc>
      </w:tr>
      <w:tr>
        <w:trPr>
          <w:trHeight w:val="230"/>
        </w:trPr>
        <w:tc>
          <w:tcPr>
            <w:tcW w:w="98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rFonts w:ascii="Arial" w:cs="Arial" w:eastAsia="Arial" w:hAnsi="Arial"/>
          <w:sz w:val="18"/>
          <w:szCs w:val="18"/>
          <w:u w:val="single" w:color="auto"/>
          <w:color w:val="0000EE"/>
        </w:rPr>
      </w:pPr>
    </w:p>
    <w:p>
      <w:pPr>
        <w:ind w:left="1340" w:hanging="1284"/>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w w:val="94"/>
              </w:rPr>
              <w:t>Senior Vice President and Chief Financial Officer (Principal</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A. BOBINSKI</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Senior Vice President, Chief Accounting Officer and</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768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OF CHIEF EXECUTIVE OFFICER PURSUANT TO RULE 13a-14(a)</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Edward K. Christian, Chief Executive Officer of Saga Communications, Inc., certify that:</w:t>
      </w:r>
    </w:p>
    <w:p>
      <w:pPr>
        <w:spacing w:after="0" w:line="198" w:lineRule="exact"/>
        <w:rPr>
          <w:sz w:val="20"/>
          <w:szCs w:val="20"/>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198" w:lineRule="exact"/>
        <w:rPr>
          <w:rFonts w:ascii="Arial" w:cs="Arial" w:eastAsia="Arial" w:hAnsi="Arial"/>
          <w:sz w:val="18"/>
          <w:szCs w:val="18"/>
          <w:color w:val="auto"/>
        </w:rPr>
      </w:pPr>
    </w:p>
    <w:p>
      <w:pPr>
        <w:ind w:left="880" w:right="259" w:hanging="332"/>
        <w:spacing w:after="0" w:line="270"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880" w:right="579" w:hanging="332"/>
        <w:spacing w:after="0" w:line="24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880" w:right="479" w:hanging="332"/>
        <w:spacing w:after="0" w:line="24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180" w:right="239" w:hanging="323"/>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180" w:right="339" w:hanging="321"/>
        <w:spacing w:after="0" w:line="248"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180" w:right="259" w:hanging="321"/>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880" w:right="259" w:hanging="332"/>
        <w:spacing w:after="0" w:line="24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180" w:right="539" w:hanging="321"/>
        <w:spacing w:after="0" w:line="248"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36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6"/>
          <w:szCs w:val="16"/>
          <w:color w:val="auto"/>
        </w:rPr>
        <w:t>/s/ Edward K.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2802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Edward K. Christian</w:t>
      </w:r>
    </w:p>
    <w:p>
      <w:pPr>
        <w:spacing w:after="0" w:line="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768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RULE 13a-14(a)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Samuel D. Bush, Chief Financial Officer of Saga Communications, Inc., certify that:</w:t>
      </w:r>
    </w:p>
    <w:p>
      <w:pPr>
        <w:spacing w:after="0" w:line="198"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198" w:lineRule="exact"/>
        <w:rPr>
          <w:rFonts w:ascii="Arial" w:cs="Arial" w:eastAsia="Arial" w:hAnsi="Arial"/>
          <w:sz w:val="18"/>
          <w:szCs w:val="18"/>
          <w:color w:val="auto"/>
        </w:rPr>
      </w:pPr>
    </w:p>
    <w:p>
      <w:pPr>
        <w:ind w:left="880" w:right="259" w:hanging="332"/>
        <w:spacing w:after="0" w:line="270"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880" w:right="579" w:hanging="332"/>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880" w:right="479" w:hanging="332"/>
        <w:spacing w:after="0" w:line="24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180" w:right="339" w:hanging="321"/>
        <w:spacing w:after="0" w:line="248"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180" w:right="25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880" w:right="259" w:hanging="332"/>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180" w:right="539" w:hanging="321"/>
        <w:spacing w:after="0" w:line="248"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38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6"/>
          <w:szCs w:val="16"/>
          <w:color w:val="auto"/>
        </w:rPr>
        <w:t>/s/ 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2785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Samuel D. Bush</w:t>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780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left="1660" w:right="640"/>
        <w:spacing w:after="0" w:line="250"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7" w:lineRule="exact"/>
        <w:rPr>
          <w:sz w:val="20"/>
          <w:szCs w:val="20"/>
          <w:color w:val="auto"/>
        </w:rPr>
      </w:pPr>
    </w:p>
    <w:p>
      <w:pPr>
        <w:ind w:left="200" w:right="319"/>
        <w:spacing w:after="0" w:line="241" w:lineRule="auto"/>
        <w:rPr>
          <w:sz w:val="20"/>
          <w:szCs w:val="20"/>
          <w:color w:val="auto"/>
        </w:rPr>
      </w:pPr>
      <w:r>
        <w:rPr>
          <w:rFonts w:ascii="Arial" w:cs="Arial" w:eastAsia="Arial" w:hAnsi="Arial"/>
          <w:sz w:val="18"/>
          <w:szCs w:val="18"/>
          <w:color w:val="auto"/>
        </w:rPr>
        <w:t>In connection with the Quarterly Report of Saga Communications, Inc. (the “Company”) on Form 10-Q for the period ended March 31, 2021 as filed with the Securities and Exchange Commission on the date hereof (the “Report”), we, Edward K. Christian, Chief Executive Officer of the Company, and Samuel D. Bush, Chief Financial Officer of the Company, certify, pursuant to 18 U.S.C. Section 1350, as adopted pursuant to Section 906 of the Sarbanes-Oxley Act of 2002, to the best of our knowledge, that:</w:t>
      </w:r>
    </w:p>
    <w:p>
      <w:pPr>
        <w:spacing w:after="0" w:line="176" w:lineRule="exact"/>
        <w:rPr>
          <w:sz w:val="20"/>
          <w:szCs w:val="20"/>
          <w:color w:val="auto"/>
        </w:rPr>
      </w:pPr>
    </w:p>
    <w:p>
      <w:pPr>
        <w:ind w:left="880" w:right="339" w:hanging="33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80" w:right="439" w:hanging="33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Dated: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Christian</w:t>
            </w:r>
          </w:p>
        </w:tc>
      </w:tr>
      <w:tr>
        <w:trPr>
          <w:trHeight w:val="182"/>
        </w:trPr>
        <w:tc>
          <w:tcPr>
            <w:tcW w:w="4140" w:type="dxa"/>
            <w:vAlign w:val="bottom"/>
          </w:tcPr>
          <w:p>
            <w:pPr>
              <w:spacing w:after="0"/>
              <w:rPr>
                <w:sz w:val="15"/>
                <w:szCs w:val="15"/>
                <w:color w:val="auto"/>
              </w:rPr>
            </w:pPr>
          </w:p>
        </w:tc>
        <w:tc>
          <w:tcPr>
            <w:tcW w:w="4440" w:type="dxa"/>
            <w:vAlign w:val="bottom"/>
          </w:tcPr>
          <w:p>
            <w:pPr>
              <w:spacing w:after="0" w:line="182" w:lineRule="exact"/>
              <w:rPr>
                <w:sz w:val="20"/>
                <w:szCs w:val="20"/>
                <w:color w:val="auto"/>
              </w:rPr>
            </w:pPr>
            <w:r>
              <w:rPr>
                <w:rFonts w:ascii="Arial" w:cs="Arial" w:eastAsia="Arial" w:hAnsi="Arial"/>
                <w:sz w:val="18"/>
                <w:szCs w:val="18"/>
                <w:color w:val="auto"/>
              </w:rPr>
              <w:t>Edward K. Christian</w:t>
            </w:r>
          </w:p>
        </w:tc>
      </w:tr>
      <w:tr>
        <w:trPr>
          <w:trHeight w:val="230"/>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05"/>
        </w:trPr>
        <w:tc>
          <w:tcPr>
            <w:tcW w:w="4140" w:type="dxa"/>
            <w:vAlign w:val="bottom"/>
          </w:tcPr>
          <w:p>
            <w:pPr>
              <w:spacing w:after="0"/>
              <w:rPr>
                <w:sz w:val="20"/>
                <w:szCs w:val="20"/>
                <w:color w:val="auto"/>
              </w:rPr>
            </w:pPr>
            <w:r>
              <w:rPr>
                <w:rFonts w:ascii="Arial" w:cs="Arial" w:eastAsia="Arial" w:hAnsi="Arial"/>
                <w:sz w:val="18"/>
                <w:szCs w:val="18"/>
                <w:color w:val="auto"/>
              </w:rPr>
              <w:t>Dated: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82"/>
        </w:trPr>
        <w:tc>
          <w:tcPr>
            <w:tcW w:w="4140" w:type="dxa"/>
            <w:vAlign w:val="bottom"/>
          </w:tcPr>
          <w:p>
            <w:pPr>
              <w:spacing w:after="0"/>
              <w:rPr>
                <w:sz w:val="15"/>
                <w:szCs w:val="15"/>
                <w:color w:val="auto"/>
              </w:rPr>
            </w:pPr>
          </w:p>
        </w:tc>
        <w:tc>
          <w:tcPr>
            <w:tcW w:w="4440" w:type="dxa"/>
            <w:vAlign w:val="bottom"/>
          </w:tcPr>
          <w:p>
            <w:pPr>
              <w:spacing w:after="0" w:line="182" w:lineRule="exact"/>
              <w:rPr>
                <w:sz w:val="20"/>
                <w:szCs w:val="20"/>
                <w:color w:val="auto"/>
              </w:rPr>
            </w:pPr>
            <w:r>
              <w:rPr>
                <w:rFonts w:ascii="Arial" w:cs="Arial" w:eastAsia="Arial" w:hAnsi="Arial"/>
                <w:sz w:val="18"/>
                <w:szCs w:val="18"/>
                <w:color w:val="auto"/>
              </w:rPr>
              <w:t>Samuel D. Bush</w:t>
            </w:r>
          </w:p>
        </w:tc>
      </w:tr>
      <w:tr>
        <w:trPr>
          <w:trHeight w:val="230"/>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2021-05-10T15:17:14Z</dcterms:created>
  <dcterms:modified xsi:type="dcterms:W3CDTF">2021-05-10T15:17:14Z</dcterms:modified>
</cp:coreProperties>
</file>