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 2026</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Instructions A.2. below):</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0"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Borders>
              <w:right w:val="single" w:sz="8" w:color="auto"/>
            </w:tcBorders>
          </w:tcPr>
          <w:p>
            <w:pPr>
              <w:spacing w:after="0"/>
              <w:rPr>
                <w:sz w:val="20"/>
                <w:szCs w:val="20"/>
                <w:color w:val="auto"/>
              </w:rPr>
            </w:pPr>
          </w:p>
        </w:tc>
        <w:tc>
          <w:tcPr>
            <w:tcW w:w="2940" w:type="dxa"/>
            <w:vAlign w:val="bottom"/>
            <w:tcBorders>
              <w:top w:val="single" w:sz="8" w:color="auto"/>
              <w:right w:val="single" w:sz="8" w:color="auto"/>
            </w:tcBorders>
          </w:tcPr>
          <w:p>
            <w:pPr>
              <w:spacing w:after="0"/>
              <w:rPr>
                <w:sz w:val="20"/>
                <w:szCs w:val="20"/>
                <w:color w:val="auto"/>
              </w:rPr>
            </w:pPr>
          </w:p>
        </w:tc>
        <w:tc>
          <w:tcPr>
            <w:tcW w:w="3020" w:type="dxa"/>
            <w:vAlign w:val="bottom"/>
            <w:tcBorders>
              <w:top w:val="single" w:sz="8" w:color="auto"/>
              <w:right w:val="single" w:sz="8" w:color="auto"/>
            </w:tcBorders>
          </w:tcPr>
          <w:p>
            <w:pPr>
              <w:spacing w:after="0"/>
              <w:rPr>
                <w:sz w:val="20"/>
                <w:szCs w:val="20"/>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4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40" w:type="dxa"/>
            <w:vAlign w:val="bottom"/>
            <w:tcBorders>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40" w:type="dxa"/>
            <w:vAlign w:val="bottom"/>
            <w:tcBorders>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534"/>
        </w:trPr>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r>
        <w:trPr>
          <w:trHeight w:val="68"/>
        </w:trPr>
        <w:tc>
          <w:tcPr>
            <w:tcW w:w="4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2940" w:type="dxa"/>
            <w:vAlign w:val="bottom"/>
            <w:tcBorders>
              <w:bottom w:val="single" w:sz="8" w:color="auto"/>
            </w:tcBorders>
          </w:tcPr>
          <w:p>
            <w:pPr>
              <w:spacing w:after="0"/>
              <w:rPr>
                <w:sz w:val="5"/>
                <w:szCs w:val="5"/>
                <w:color w:val="auto"/>
              </w:rPr>
            </w:pPr>
          </w:p>
        </w:tc>
      </w:tr>
      <w:tr>
        <w:trPr>
          <w:trHeight w:val="776"/>
        </w:trPr>
        <w:tc>
          <w:tcPr>
            <w:tcW w:w="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95"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Annual Meeting of Shareholders of Saga Communications, Inc. was held on June 1,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the Annual Meeting, the shareholders voted on the following matters:</w:t>
      </w:r>
    </w:p>
    <w:p>
      <w:pPr>
        <w:spacing w:after="0" w:line="225" w:lineRule="exact"/>
        <w:rPr>
          <w:sz w:val="20"/>
          <w:szCs w:val="20"/>
          <w:color w:val="auto"/>
        </w:rPr>
      </w:pPr>
    </w:p>
    <w:p>
      <w:pPr>
        <w:ind w:left="60" w:right="279" w:hanging="10"/>
        <w:spacing w:after="0" w:line="28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 nominees for election as directors for the ensuing year, and until their successors are elected and qualified, were elected and received the following votes:</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198"/>
        </w:trPr>
        <w:tc>
          <w:tcPr>
            <w:tcW w:w="372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Name</w:t>
            </w:r>
          </w:p>
        </w:tc>
        <w:tc>
          <w:tcPr>
            <w:tcW w:w="2300" w:type="dxa"/>
            <w:vAlign w:val="bottom"/>
          </w:tcPr>
          <w:p>
            <w:pPr>
              <w:spacing w:after="0"/>
              <w:rPr>
                <w:sz w:val="17"/>
                <w:szCs w:val="17"/>
                <w:color w:val="auto"/>
              </w:rPr>
            </w:pPr>
          </w:p>
        </w:tc>
        <w:tc>
          <w:tcPr>
            <w:tcW w:w="70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08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Withheld</w:t>
            </w:r>
          </w:p>
        </w:tc>
        <w:tc>
          <w:tcPr>
            <w:tcW w:w="1100" w:type="dxa"/>
            <w:vAlign w:val="bottom"/>
            <w:gridSpan w:val="3"/>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23"/>
        </w:trPr>
        <w:tc>
          <w:tcPr>
            <w:tcW w:w="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2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Clarke R. Brown, Jr.</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2,871,665</w:t>
            </w:r>
          </w:p>
        </w:tc>
        <w:tc>
          <w:tcPr>
            <w:tcW w:w="920" w:type="dxa"/>
            <w:vAlign w:val="bottom"/>
            <w:gridSpan w:val="2"/>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w w:val="97"/>
              </w:rPr>
              <w:t>1,921,811</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Roy F. Coppedge, III</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2,966,463</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1,827,013</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Christopher S. Forgy</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3,696,203</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1,097,273</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Warren S. Lada</w:t>
            </w:r>
          </w:p>
        </w:tc>
        <w:tc>
          <w:tcPr>
            <w:tcW w:w="3000" w:type="dxa"/>
            <w:vAlign w:val="bottom"/>
            <w:gridSpan w:val="3"/>
            <w:shd w:val="clear" w:color="auto" w:fill="CCEEFF"/>
          </w:tcPr>
          <w:p>
            <w:pPr>
              <w:jc w:val="center"/>
              <w:ind w:left="1770"/>
              <w:spacing w:after="0" w:line="202" w:lineRule="exact"/>
              <w:rPr>
                <w:sz w:val="20"/>
                <w:szCs w:val="20"/>
                <w:color w:val="auto"/>
              </w:rPr>
            </w:pPr>
            <w:r>
              <w:rPr>
                <w:rFonts w:ascii="Times New Roman" w:cs="Times New Roman" w:eastAsia="Times New Roman" w:hAnsi="Times New Roman"/>
                <w:sz w:val="18"/>
                <w:szCs w:val="18"/>
                <w:color w:val="auto"/>
                <w:w w:val="97"/>
              </w:rPr>
              <w:t>3,119,780</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1,673,696</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Michael Scafidi</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3,595,528</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1,197,948</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Michael W. Schechter</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3,639,091</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1,154,385</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r>
        <w:trPr>
          <w:trHeight w:val="203"/>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3720" w:type="dxa"/>
            <w:vAlign w:val="bottom"/>
            <w:gridSpan w:val="3"/>
            <w:shd w:val="clear" w:color="auto" w:fill="CCEEFF"/>
          </w:tcPr>
          <w:p>
            <w:pPr>
              <w:ind w:left="60"/>
              <w:spacing w:after="0" w:line="202" w:lineRule="exact"/>
              <w:rPr>
                <w:sz w:val="20"/>
                <w:szCs w:val="20"/>
                <w:color w:val="auto"/>
              </w:rPr>
            </w:pPr>
            <w:r>
              <w:rPr>
                <w:rFonts w:ascii="Times New Roman" w:cs="Times New Roman" w:eastAsia="Times New Roman" w:hAnsi="Times New Roman"/>
                <w:sz w:val="18"/>
                <w:szCs w:val="18"/>
                <w:color w:val="auto"/>
              </w:rPr>
              <w:t>Gregory Sutherland</w:t>
            </w:r>
          </w:p>
        </w:tc>
        <w:tc>
          <w:tcPr>
            <w:tcW w:w="3000" w:type="dxa"/>
            <w:vAlign w:val="bottom"/>
            <w:gridSpan w:val="3"/>
            <w:shd w:val="clear" w:color="auto" w:fill="CCEEFF"/>
          </w:tcPr>
          <w:p>
            <w:pPr>
              <w:jc w:val="center"/>
              <w:ind w:left="1790"/>
              <w:spacing w:after="0" w:line="202" w:lineRule="exact"/>
              <w:rPr>
                <w:sz w:val="20"/>
                <w:szCs w:val="20"/>
                <w:color w:val="auto"/>
              </w:rPr>
            </w:pPr>
            <w:r>
              <w:rPr>
                <w:rFonts w:ascii="Times New Roman" w:cs="Times New Roman" w:eastAsia="Times New Roman" w:hAnsi="Times New Roman"/>
                <w:sz w:val="18"/>
                <w:szCs w:val="18"/>
                <w:color w:val="auto"/>
                <w:w w:val="99"/>
              </w:rPr>
              <w:t>3,655,221</w:t>
            </w:r>
          </w:p>
        </w:tc>
        <w:tc>
          <w:tcPr>
            <w:tcW w:w="1080" w:type="dxa"/>
            <w:vAlign w:val="bottom"/>
            <w:gridSpan w:val="3"/>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1,138,255</w:t>
            </w:r>
          </w:p>
        </w:tc>
        <w:tc>
          <w:tcPr>
            <w:tcW w:w="960" w:type="dxa"/>
            <w:vAlign w:val="bottom"/>
            <w:gridSpan w:val="2"/>
            <w:shd w:val="clear" w:color="auto" w:fill="CCEEFF"/>
          </w:tcPr>
          <w:p>
            <w:pPr>
              <w:jc w:val="center"/>
              <w:ind w:left="70"/>
              <w:spacing w:after="0" w:line="202" w:lineRule="exact"/>
              <w:rPr>
                <w:sz w:val="20"/>
                <w:szCs w:val="20"/>
                <w:color w:val="auto"/>
              </w:rPr>
            </w:pPr>
            <w:r>
              <w:rPr>
                <w:rFonts w:ascii="Times New Roman" w:cs="Times New Roman" w:eastAsia="Times New Roman" w:hAnsi="Times New Roman"/>
                <w:sz w:val="18"/>
                <w:szCs w:val="18"/>
                <w:color w:val="auto"/>
              </w:rPr>
              <w:t>863,982</w:t>
            </w:r>
          </w:p>
        </w:tc>
        <w:tc>
          <w:tcPr>
            <w:tcW w:w="14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59" w:hanging="10"/>
        <w:spacing w:after="0" w:line="266"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ratify the appointment by the Board of Directors of Crowe LLP as independent auditors to audit our consolidated financial statements for the fiscal year ending December 31, 2026 was approved with 5,571,362 votes cast for, 24,494 votes cast against and 61,602 abstentions.</w:t>
      </w:r>
    </w:p>
    <w:p>
      <w:pPr>
        <w:spacing w:after="0" w:line="175" w:lineRule="exact"/>
        <w:rPr>
          <w:rFonts w:ascii="Times New Roman" w:cs="Times New Roman" w:eastAsia="Times New Roman" w:hAnsi="Times New Roman"/>
          <w:sz w:val="18"/>
          <w:szCs w:val="18"/>
          <w:color w:val="auto"/>
        </w:rPr>
      </w:pPr>
    </w:p>
    <w:p>
      <w:pPr>
        <w:ind w:left="60" w:right="159" w:hanging="10"/>
        <w:spacing w:after="0" w:line="266" w:lineRule="auto"/>
        <w:tabs>
          <w:tab w:leader="none" w:pos="3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 to adopt, by a non-binding advisory vote, a resolution approving the compensation of our named executive officers was approved with 3,020,736 votes cast for, 1,760,704 votes cast against, 863,982 broker non-votes and 12,036 abstentions.</w:t>
      </w:r>
    </w:p>
    <w:p>
      <w:pPr>
        <w:spacing w:after="0" w:line="388"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40"/>
        <w:spacing w:after="0"/>
        <w:tabs>
          <w:tab w:leader="none" w:pos="19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634365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OF EXHIBITS</w:t>
      </w:r>
    </w:p>
    <w:p>
      <w:pPr>
        <w:spacing w:after="0" w:line="239"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31" w:lineRule="exact"/>
        <w:rPr>
          <w:sz w:val="20"/>
          <w:szCs w:val="20"/>
          <w:color w:val="auto"/>
        </w:rPr>
      </w:pPr>
    </w:p>
    <w:p>
      <w:pPr>
        <w:ind w:left="60"/>
        <w:spacing w:after="0"/>
        <w:tabs>
          <w:tab w:leader="none" w:pos="12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630555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June 2, 2026</w:t>
            </w:r>
          </w:p>
        </w:tc>
        <w:tc>
          <w:tcPr>
            <w:tcW w:w="596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29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2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2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993"/>
        </w:trPr>
        <w:tc>
          <w:tcPr>
            <w:tcW w:w="29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2026-06-02T15:03:07Z</dcterms:created>
  <dcterms:modified xsi:type="dcterms:W3CDTF">2026-06-02T15:03:07Z</dcterms:modified>
</cp:coreProperties>
</file>