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ga-20230930x10q.htm"/>
        <w:bookmarkStart w:id="1" w:name="kssga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 w:name="_69b28771_dbcb_45f6_af85_2e3078063715"/>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0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 One)</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 w:name="Tc_cKNZQc4bbEGLIk2M5t1FbQ_1_1"/>
      <w:bookmarkStart w:id="4" w:name="_b171dd25_b998_4273_b83d_b2f5c8574a6d"/>
      <w:bookmarkStart w:id="5" w:name="Tc_cKNZQc4bbEGLIk2M5t1FbQ_1_1"/>
      <w:bookmarkStart w:id="6" w:name="_b171dd25_b998_4273_b83d_b2f5c8574a6d"/>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82335" cy="175260"/>
                      <wp:effectExtent l="0" t="0" r="0" b="0"/>
                      <wp:wrapNone/>
                      <wp:docPr id="1" name="Frame1"/>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2023</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7" w:name="Tc_ryduvauslkiQwoXJ-TTh6w_1_1"/>
      <w:bookmarkStart w:id="8" w:name="_ac7827a3_afce_465a_862f_6a1efba30ad1"/>
      <w:bookmarkStart w:id="9" w:name="Tc_ryduvauslkiQwoXJ-TTh6w_1_1"/>
      <w:bookmarkStart w:id="10" w:name="_ac7827a3_afce_465a_862f_6a1efba30ad1"/>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82335" cy="175260"/>
                      <wp:effectExtent l="0" t="0" r="0" b="0"/>
                      <wp:wrapNone/>
                      <wp:docPr id="2" name="Frame2"/>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1-11588</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Saga Communications, Inc.</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1" w:name="Tc_udZIP9-Bm0yGIFUYEVWI2w_4_1"/>
      <w:bookmarkStart w:id="12" w:name="Tc_hRLBELkxYkuNtqeKhX8iww_4_0"/>
      <w:bookmarkStart w:id="13" w:name="Tc_PAS89q1V2ECYEJYjmFEuQQ_2_1"/>
      <w:bookmarkStart w:id="14" w:name="Tc_7vdMN6aCck60tWITDUzdjQ_2_0"/>
      <w:bookmarkStart w:id="15" w:name="_3ad23b83_45fd_491b_948c_80001b6be781"/>
      <w:bookmarkStart w:id="16" w:name="Tc_udZIP9-Bm0yGIFUYEVWI2w_4_1"/>
      <w:bookmarkStart w:id="17" w:name="Tc_hRLBELkxYkuNtqeKhX8iww_4_0"/>
      <w:bookmarkStart w:id="18" w:name="Tc_PAS89q1V2ECYEJYjmFEuQQ_2_1"/>
      <w:bookmarkStart w:id="19" w:name="Tc_7vdMN6aCck60tWITDUzdjQ_2_0"/>
      <w:bookmarkStart w:id="20" w:name="_3ad23b83_45fd_491b_948c_80001b6be781"/>
      <w:bookmarkEnd w:id="16"/>
      <w:bookmarkEnd w:id="17"/>
      <w:bookmarkEnd w:id="18"/>
      <w:bookmarkEnd w:id="19"/>
      <w:bookmarkEnd w:id="20"/>
    </w:p>
    <w:tbl>
      <w:tblPr>
        <w:tblW w:w="4307" w:type="dxa"/>
        <w:jc w:val="left"/>
        <w:tblInd w:w="0" w:type="dxa"/>
        <w:tblLayout w:type="fixed"/>
        <w:tblCellMar>
          <w:top w:w="0" w:type="dxa"/>
          <w:left w:w="0" w:type="dxa"/>
          <w:bottom w:w="0" w:type="dxa"/>
          <w:right w:w="0" w:type="dxa"/>
        </w:tblCellMar>
      </w:tblPr>
      <w:tblGrid>
        <w:gridCol w:w="2866"/>
        <w:gridCol w:w="144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Florida</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38-3042953</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(State or other jurisdiction of</w:t>
            </w:r>
            <w:r>
              <w:rPr>
                <w:rFonts w:ascii="Times New Roman;Times;serif" w:hAnsi="Times New Roman;Times;serif"/>
                <w:sz w:val="18"/>
              </w:rPr>
              <w:br/>
            </w:r>
            <w:r>
              <w:rPr>
                <w:rFonts w:ascii="Times New Roman;Times;serif" w:hAnsi="Times New Roman;Times;serif"/>
                <w:i/>
                <w:sz w:val="18"/>
              </w:rP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(I.R.S. Employer</w:t>
            </w:r>
            <w:r>
              <w:rPr>
                <w:rFonts w:ascii="Times New Roman;Times;serif" w:hAnsi="Times New Roman;Times;serif"/>
                <w:sz w:val="18"/>
              </w:rPr>
              <w:br/>
            </w:r>
            <w:r>
              <w:rPr>
                <w:rFonts w:ascii="Times New Roman;Times;serif" w:hAnsi="Times New Roman;Times;serif"/>
                <w:i/>
                <w:sz w:val="18"/>
              </w:rPr>
              <w:t>Identification No.)</w:t>
            </w:r>
          </w:p>
        </w:tc>
      </w:tr>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73 Kercheval Avenue</w:t>
            </w:r>
            <w:r>
              <w:rPr>
                <w:rFonts w:ascii="Times New Roman;Times;serif" w:hAnsi="Times New Roman;Times;serif"/>
                <w:sz w:val="18"/>
              </w:rPr>
              <w:br/>
            </w:r>
            <w:r>
              <w:rPr>
                <w:rFonts w:ascii="Times New Roman;Times;serif" w:hAnsi="Times New Roman;Times;serif"/>
                <w:b/>
                <w:sz w:val="18"/>
              </w:rPr>
              <w:t>Grosse Pointe Farms, Michigan</w:t>
            </w:r>
            <w:r>
              <w:rPr>
                <w:rFonts w:ascii="Times New Roman;Times;serif" w:hAnsi="Times New Roman;Times;serif"/>
                <w:sz w:val="18"/>
              </w:rPr>
              <w:br/>
            </w:r>
            <w:r>
              <w:rPr>
                <w:rFonts w:ascii="Times New Roman;Times;serif" w:hAnsi="Times New Roman;Times;serif"/>
                <w:i/>
                <w:sz w:val="18"/>
              </w:rPr>
              <w:t>(Address of principal executive offices)</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48236</w:t>
            </w:r>
            <w:r>
              <w:rPr>
                <w:rFonts w:ascii="Times New Roman;Times;serif" w:hAnsi="Times New Roman;Times;serif"/>
                <w:sz w:val="18"/>
              </w:rPr>
              <w:br/>
            </w:r>
            <w:r>
              <w:rPr>
                <w:rFonts w:ascii="Times New Roman;Times;serif" w:hAnsi="Times New Roman;Time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(313) 886-7070</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(Registrant’s telephone number, including area code)</w:t>
      </w:r>
    </w:p>
    <w:p>
      <w:pPr>
        <w:pStyle w:val="TextBody"/>
        <w:bidi w:val="0"/>
        <w:spacing w:before="0" w:after="200"/>
        <w:ind w:left="0" w:right="0" w:hanging="0"/>
        <w:jc w:val="center"/>
        <w:rPr/>
      </w:pPr>
      <w:r>
        <w:rPr/>
        <w:t>​</w:t>
      </w:r>
    </w:p>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1" w:name="Tc_Os8AecypEUePkL8cvHU4bA_1_2"/>
      <w:bookmarkStart w:id="22" w:name="Tc_qSk4kWvdLUKu-06l-MleCw_1_1"/>
      <w:bookmarkStart w:id="23" w:name="Tc_qwSl0FL_BU2NVGXfEjNTWw_1_0"/>
      <w:bookmarkStart w:id="24" w:name="_2d93a8f3_3c55_42f1_b3fa_e8cb30fe8795"/>
      <w:bookmarkStart w:id="25" w:name="Tc_Os8AecypEUePkL8cvHU4bA_1_2"/>
      <w:bookmarkStart w:id="26" w:name="Tc_qSk4kWvdLUKu-06l-MleCw_1_1"/>
      <w:bookmarkStart w:id="27" w:name="Tc_qwSl0FL_BU2NVGXfEjNTWw_1_0"/>
      <w:bookmarkStart w:id="28" w:name="_2d93a8f3_3c55_42f1_b3fa_e8cb30fe8795"/>
      <w:bookmarkEnd w:id="25"/>
      <w:bookmarkEnd w:id="26"/>
      <w:bookmarkEnd w:id="27"/>
      <w:bookmarkEnd w:id="28"/>
    </w:p>
    <w:tbl>
      <w:tblPr>
        <w:tblW w:w="8328" w:type="dxa"/>
        <w:jc w:val="left"/>
        <w:tblInd w:w="0" w:type="dxa"/>
        <w:tblLayout w:type="fixed"/>
        <w:tblCellMar>
          <w:top w:w="0" w:type="dxa"/>
          <w:left w:w="0" w:type="dxa"/>
          <w:bottom w:w="0" w:type="dxa"/>
          <w:right w:w="0" w:type="dxa"/>
        </w:tblCellMar>
      </w:tblPr>
      <w:tblGrid>
        <w:gridCol w:w="3631"/>
        <w:gridCol w:w="1426"/>
        <w:gridCol w:w="327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05685" cy="29210"/>
                      <wp:effectExtent l="0" t="0" r="0" b="0"/>
                      <wp:wrapNone/>
                      <wp:docPr id="3" name="Frame3"/>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05510" cy="29210"/>
                      <wp:effectExtent l="0" t="0" r="0" b="0"/>
                      <wp:wrapNone/>
                      <wp:docPr id="4" name="Frame4"/>
                      <a:graphic xmlns:a="http://schemas.openxmlformats.org/drawingml/2006/main">
                        <a:graphicData uri="http://schemas.microsoft.com/office/word/2010/wordprocessingShape">
                          <wps:wsp>
                            <wps:cNvSpPr txBox="1"/>
                            <wps:spPr>
                              <a:xfrm>
                                <a:off x="0" y="0"/>
                                <a:ext cx="905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63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63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$.01 per share</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SGA</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firstLine="360"/>
        <w:jc w:val="left"/>
        <w:rPr/>
      </w:pPr>
      <w:r>
        <w:rPr/>
        <w:t>​</w:t>
      </w:r>
    </w:p>
    <w:tbl>
      <w:tblPr>
        <w:tblW w:w="6468" w:type="dxa"/>
        <w:jc w:val="left"/>
        <w:tblInd w:w="0" w:type="dxa"/>
        <w:tblLayout w:type="fixed"/>
        <w:tblCellMar>
          <w:top w:w="0" w:type="dxa"/>
          <w:left w:w="0" w:type="dxa"/>
          <w:bottom w:w="0" w:type="dxa"/>
          <w:right w:w="0" w:type="dxa"/>
        </w:tblCellMar>
      </w:tblPr>
      <w:tblGrid>
        <w:gridCol w:w="2371"/>
        <w:gridCol w:w="2266"/>
        <w:gridCol w:w="1831"/>
      </w:tblGrid>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p>
            <w:pPr>
              <w:pStyle w:val="TableContents"/>
              <w:bidi w:val="0"/>
              <w:spacing w:before="0" w:after="200"/>
              <w:ind w:left="0" w:right="0" w:hanging="0"/>
              <w:jc w:val="left"/>
              <w:rPr/>
            </w:pPr>
            <w:r>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8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ableContents"/>
              <w:bidi w:val="0"/>
              <w:spacing w:before="0" w:after="200"/>
              <w:ind w:left="0" w:right="0" w:hanging="0"/>
              <w:jc w:val="left"/>
              <w:rPr/>
            </w:pPr>
            <w:r>
              <w:rPr/>
              <w:t>​</w:t>
            </w:r>
          </w:p>
        </w:tc>
        <w:tc>
          <w:tcPr>
            <w:tcW w:w="1831" w:type="dxa"/>
            <w:tcBorders/>
            <w:vAlign w:val="center"/>
          </w:tcPr>
          <w:p>
            <w:pPr>
              <w:pStyle w:val="TableContents"/>
              <w:bidi w:val="0"/>
              <w:spacing w:before="0" w:after="200"/>
              <w:ind w:left="0" w:right="0" w:hanging="0"/>
              <w:jc w:val="center"/>
              <w:rPr/>
            </w:pPr>
            <w:r>
              <w:rPr/>
              <w:t>​</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The number of shares of the registrant’s Class A Common Stock, $.01 par value, outstanding as of November 6, 2023 was 6,123,529.</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00"/>
        <w:ind w:left="0" w:right="0" w:firstLine="360"/>
        <w:jc w:val="center"/>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9" w:name="_58bff3de_d726_4f31_bdb9_cb22f29b5067"/>
      <w:bookmarkStart w:id="30" w:name="TOC"/>
      <w:bookmarkEnd w:id="29"/>
      <w:bookmarkEnd w:id="30"/>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shd w:fill="CCEEFF" w:val="clear"/>
            <w:vAlign w:val="center"/>
          </w:tcPr>
          <w:p>
            <w:pPr>
              <w:pStyle w:val="TableContents"/>
              <w:bidi w:val="0"/>
              <w:spacing w:before="0" w:after="0"/>
              <w:ind w:left="0" w:right="0" w:hanging="0"/>
              <w:jc w:val="left"/>
              <w:rPr/>
            </w:pPr>
            <w:hyperlink w:anchor="PARTIFINANCIALINFORMATION_512157">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1FinancialStatements_648444">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CONDENSEDCONSOLIDATEDBALANCESHEETS_94992">
              <w:r>
                <w:rPr>
                  <w:rStyle w:val="InternetLink"/>
                  <w:rFonts w:ascii="Times New Roman;Times;serif" w:hAnsi="Times New Roman;Times;serif"/>
                  <w:b w:val="false"/>
                  <w:i w:val="false"/>
                  <w:caps w:val="false"/>
                  <w:smallCaps w:val="false"/>
                  <w:sz w:val="20"/>
                </w:rPr>
                <w:t>Condensed consolidated balance sheets —September 30, 2023 and December 31,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operations — Three and nine months ended September 30,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 xml:space="preserve">Condensed consolidated statements of stockholders’ equity – Three and nine months ended September 30,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—Nine months ended September 30,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4ControlsandProcedures_643394">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PARTIIOTHERINFORMATION_865863">
              <w:r>
                <w:rPr>
                  <w:rStyle w:val="InternetLink"/>
                  <w:rFonts w:ascii="Times New Roman;Times;serif" w:hAnsi="Times New Roman;Times;serif"/>
                  <w:b w:val="false"/>
                  <w:i w:val="false"/>
                  <w:caps w:val="false"/>
                  <w:smallCaps w:val="false"/>
                  <w:sz w:val="20"/>
                </w:rPr>
                <w:t>PART II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1LegalProceedings_143738">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Item6Exhibits_526642">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tcBorders/>
            <w:shd w:fill="CCEEFF" w:val="clear"/>
            <w:vAlign w:val="center"/>
          </w:tcPr>
          <w:p>
            <w:pPr>
              <w:pStyle w:val="TableContents"/>
              <w:bidi w:val="0"/>
              <w:spacing w:before="0" w:after="0"/>
              <w:ind w:left="0" w:right="0" w:hanging="0"/>
              <w:jc w:val="left"/>
              <w:rPr/>
            </w:pPr>
            <w:hyperlink w:anchor="SIGNATURES_83254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EX-10.3</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INSTANCE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SCHEMA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CALCULATION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LABELS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PRESENTATION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DEFINITION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1" w:name="PARTIFINANCIALINFORMATION_512157"/>
      <w:bookmarkStart w:id="32" w:name="_b3356cbf_192a_481b_b300_339a4357f163"/>
      <w:bookmarkEnd w:id="31"/>
      <w:bookmarkEnd w:id="32"/>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33" w:name="Item1FinancialStatements_648444"/>
      <w:bookmarkEnd w:id="33"/>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34" w:name="CONDENSEDCONSOLIDATEDBALANCESHEETS_94992"/>
      <w:bookmarkEnd w:id="34"/>
      <w:r>
        <w:rPr>
          <w:rFonts w:ascii="Times New Roman;Times;serif" w:hAnsi="Times New Roman;Times;serif"/>
          <w:b/>
          <w:sz w:val="20"/>
        </w:rPr>
        <w:t>CONDENSED CONSOLIDATED BALANCE SHEETS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fVPQ-7I6Xkqi_vLp8I5DYQ_40_5"/>
      <w:bookmarkStart w:id="36" w:name="Tc_7kBYHr5XkECJK4gXz--XfQ_40_2"/>
      <w:bookmarkStart w:id="37" w:name="Tc_XUbKcuJmJk6gKtfrcBEMYw_40_0"/>
      <w:bookmarkStart w:id="38" w:name="Tc_JK5jSCcqDk-ihbbn6wiRbA_39_0"/>
      <w:bookmarkStart w:id="39" w:name="Tc_zUJlo-pGIECXeNwMNc3x2Q_38_0"/>
      <w:bookmarkStart w:id="40" w:name="Tc_0PPOy1y3UEikuVtqIO6X5w_37_0"/>
      <w:bookmarkStart w:id="41" w:name="Tc_pj_JE5OeT0GKXcdQ5x_oxQ_36_0"/>
      <w:bookmarkStart w:id="42" w:name="Tc_fPIYbOMT-0-7ocWhU-9iQg_35_0"/>
      <w:bookmarkStart w:id="43" w:name="Tc_p2BObOBtiUuUApgwd7318Q_34_0"/>
      <w:bookmarkStart w:id="44" w:name="Tc_OFbyAyiDtEig3aq0vlEsZA_33_0"/>
      <w:bookmarkStart w:id="45" w:name="Tc_4UFOuCF11UGZd5do1r063g_32_0"/>
      <w:bookmarkStart w:id="46" w:name="Tc_jIcYRXz_JEu6opKRgs8Ocg_31_0"/>
      <w:bookmarkStart w:id="47" w:name="Tc_NC9vyB4J0kqvfRkRQLeUng_30_0"/>
      <w:bookmarkStart w:id="48" w:name="Tc_VNpBYYrZnEqif_ETGm4N_Q_29_0"/>
      <w:bookmarkStart w:id="49" w:name="Tc_t1x6g1bnj0OJ7VvZNYSjcA_28_0"/>
      <w:bookmarkStart w:id="50" w:name="Tc_Q0fH_Le9dk6QYwEstCq-YA_27_0"/>
      <w:bookmarkStart w:id="51" w:name="Tc_h4YuXJ9HdUeMF9YdqgT8gw_26_0"/>
      <w:bookmarkStart w:id="52" w:name="Tc_zDCEEJoJlEm9YybFxPx23w_25_0"/>
      <w:bookmarkStart w:id="53" w:name="Tc_CJv6cjt9Bka7jR_4FZUXMQ_24_5"/>
      <w:bookmarkStart w:id="54" w:name="Tc_SOwNT9RrVkGhoDKXOITnng_24_2"/>
      <w:bookmarkStart w:id="55" w:name="Tc_AO4nnnh0b0S_teIPeee9WQ_24_0"/>
      <w:bookmarkStart w:id="56" w:name="Tc_SIw86NfihUGnf-QIEecgQA_23_0"/>
      <w:bookmarkStart w:id="57" w:name="Tc_mXBh9bfmKkuAI6jGNT-bdw_22_0"/>
      <w:bookmarkStart w:id="58" w:name="Tc_TdSJ95WFsEO1P70RyXPe_A_20_5"/>
      <w:bookmarkStart w:id="59" w:name="Tc_vRMG4YGhRU2Js9og4lMsYg_20_2"/>
      <w:bookmarkStart w:id="60" w:name="Tc_AYWfezWxoECqM5Mgl3NiVw_20_0"/>
      <w:bookmarkStart w:id="61" w:name="Tc_-oSEgh8WG0ia7wJ0ej4_qg_19_0"/>
      <w:bookmarkStart w:id="62" w:name="Tc_7UidolqgiUeEkRB8hSpCIw_18_0"/>
      <w:bookmarkStart w:id="63" w:name="Tc_Iqq83_-3nki-4xVbLUv1Jw_17_0"/>
      <w:bookmarkStart w:id="64" w:name="Tc_obCNvxKSU0KfLAVudV1AoA_16_0"/>
      <w:bookmarkStart w:id="65" w:name="Tc_qYGa24xDo0SvGvc58igUoA_15_0"/>
      <w:bookmarkStart w:id="66" w:name="Tc_ybQGOqWQtEGnTnc1MdJREQ_14_0"/>
      <w:bookmarkStart w:id="67" w:name="Tc_gwS8KoWB6Uazgmjv2bua5g_13_0"/>
      <w:bookmarkStart w:id="68" w:name="Tc_sLH5x6Lt3U-bSmUVQpi4NA_12_0"/>
      <w:bookmarkStart w:id="69" w:name="Tc_pFXZ-xyz6Eq_IHheEwow9w_11_0"/>
      <w:bookmarkStart w:id="70" w:name="Tc_LXtJc9rojE-i3jwD_MVk2Q_10_0"/>
      <w:bookmarkStart w:id="71" w:name="Tc_FOwBI47LSE2DXAUeenewDw_9_0"/>
      <w:bookmarkStart w:id="72" w:name="Tc_J6qlY0j29UW90szvBQGNGw_8_0"/>
      <w:bookmarkStart w:id="73" w:name="Tc_42uDpLuPKE2xCciHBMc7wg_7_5"/>
      <w:bookmarkStart w:id="74" w:name="Tc_8ECQnPxZakCMgNqqIkagGg_7_2"/>
      <w:bookmarkStart w:id="75" w:name="Tc_gQWOpN5qFkG9l0reUi4sEw_7_0"/>
      <w:bookmarkStart w:id="76" w:name="Tc_cwKUvSH1BkicRdYCARc0vw_6_0"/>
      <w:bookmarkStart w:id="77" w:name="Tc_NmPaFC67y02PXvt7j5vRSw_5_0"/>
      <w:bookmarkStart w:id="78" w:name="Tc_l7oeY7tSpEiHmFkWnaKyZQ_4_2"/>
      <w:bookmarkStart w:id="79" w:name="Tc_Pq_rwKq14EGmarMWXkzDPA_3_5"/>
      <w:bookmarkStart w:id="80" w:name="Tc_Ov5gxxQtkk-Ka9w8cHWYBA_3_2"/>
      <w:bookmarkStart w:id="81" w:name="Tc_lbaNynHlGk-ood6MTJD1Hw_2_5"/>
      <w:bookmarkStart w:id="82" w:name="Tc_QdLApuEbDEmKOLXpXWcqkg_2_2"/>
      <w:bookmarkStart w:id="83" w:name="Tc_W65d0aOTN06NaVb-32XPhA_1_5"/>
      <w:bookmarkStart w:id="84" w:name="Tc_v6Wn9U7z-EW58T3bx_PZbg_1_2"/>
      <w:bookmarkStart w:id="85" w:name="_5a937207_957e_4740_b563_ed7562fffa48"/>
      <w:bookmarkStart w:id="86" w:name="Tc_fVPQ-7I6Xkqi_vLp8I5DYQ_40_5"/>
      <w:bookmarkStart w:id="87" w:name="Tc_7kBYHr5XkECJK4gXz--XfQ_40_2"/>
      <w:bookmarkStart w:id="88" w:name="Tc_XUbKcuJmJk6gKtfrcBEMYw_40_0"/>
      <w:bookmarkStart w:id="89" w:name="Tc_JK5jSCcqDk-ihbbn6wiRbA_39_0"/>
      <w:bookmarkStart w:id="90" w:name="Tc_zUJlo-pGIECXeNwMNc3x2Q_38_0"/>
      <w:bookmarkStart w:id="91" w:name="Tc_0PPOy1y3UEikuVtqIO6X5w_37_0"/>
      <w:bookmarkStart w:id="92" w:name="Tc_pj_JE5OeT0GKXcdQ5x_oxQ_36_0"/>
      <w:bookmarkStart w:id="93" w:name="Tc_fPIYbOMT-0-7ocWhU-9iQg_35_0"/>
      <w:bookmarkStart w:id="94" w:name="Tc_p2BObOBtiUuUApgwd7318Q_34_0"/>
      <w:bookmarkStart w:id="95" w:name="Tc_OFbyAyiDtEig3aq0vlEsZA_33_0"/>
      <w:bookmarkStart w:id="96" w:name="Tc_4UFOuCF11UGZd5do1r063g_32_0"/>
      <w:bookmarkStart w:id="97" w:name="Tc_jIcYRXz_JEu6opKRgs8Ocg_31_0"/>
      <w:bookmarkStart w:id="98" w:name="Tc_NC9vyB4J0kqvfRkRQLeUng_30_0"/>
      <w:bookmarkStart w:id="99" w:name="Tc_VNpBYYrZnEqif_ETGm4N_Q_29_0"/>
      <w:bookmarkStart w:id="100" w:name="Tc_t1x6g1bnj0OJ7VvZNYSjcA_28_0"/>
      <w:bookmarkStart w:id="101" w:name="Tc_Q0fH_Le9dk6QYwEstCq-YA_27_0"/>
      <w:bookmarkStart w:id="102" w:name="Tc_h4YuXJ9HdUeMF9YdqgT8gw_26_0"/>
      <w:bookmarkStart w:id="103" w:name="Tc_zDCEEJoJlEm9YybFxPx23w_25_0"/>
      <w:bookmarkStart w:id="104" w:name="Tc_CJv6cjt9Bka7jR_4FZUXMQ_24_5"/>
      <w:bookmarkStart w:id="105" w:name="Tc_SOwNT9RrVkGhoDKXOITnng_24_2"/>
      <w:bookmarkStart w:id="106" w:name="Tc_AO4nnnh0b0S_teIPeee9WQ_24_0"/>
      <w:bookmarkStart w:id="107" w:name="Tc_SIw86NfihUGnf-QIEecgQA_23_0"/>
      <w:bookmarkStart w:id="108" w:name="Tc_mXBh9bfmKkuAI6jGNT-bdw_22_0"/>
      <w:bookmarkStart w:id="109" w:name="Tc_TdSJ95WFsEO1P70RyXPe_A_20_5"/>
      <w:bookmarkStart w:id="110" w:name="Tc_vRMG4YGhRU2Js9og4lMsYg_20_2"/>
      <w:bookmarkStart w:id="111" w:name="Tc_AYWfezWxoECqM5Mgl3NiVw_20_0"/>
      <w:bookmarkStart w:id="112" w:name="Tc_-oSEgh8WG0ia7wJ0ej4_qg_19_0"/>
      <w:bookmarkStart w:id="113" w:name="Tc_7UidolqgiUeEkRB8hSpCIw_18_0"/>
      <w:bookmarkStart w:id="114" w:name="Tc_Iqq83_-3nki-4xVbLUv1Jw_17_0"/>
      <w:bookmarkStart w:id="115" w:name="Tc_obCNvxKSU0KfLAVudV1AoA_16_0"/>
      <w:bookmarkStart w:id="116" w:name="Tc_qYGa24xDo0SvGvc58igUoA_15_0"/>
      <w:bookmarkStart w:id="117" w:name="Tc_ybQGOqWQtEGnTnc1MdJREQ_14_0"/>
      <w:bookmarkStart w:id="118" w:name="Tc_gwS8KoWB6Uazgmjv2bua5g_13_0"/>
      <w:bookmarkStart w:id="119" w:name="Tc_sLH5x6Lt3U-bSmUVQpi4NA_12_0"/>
      <w:bookmarkStart w:id="120" w:name="Tc_pFXZ-xyz6Eq_IHheEwow9w_11_0"/>
      <w:bookmarkStart w:id="121" w:name="Tc_LXtJc9rojE-i3jwD_MVk2Q_10_0"/>
      <w:bookmarkStart w:id="122" w:name="Tc_FOwBI47LSE2DXAUeenewDw_9_0"/>
      <w:bookmarkStart w:id="123" w:name="Tc_J6qlY0j29UW90szvBQGNGw_8_0"/>
      <w:bookmarkStart w:id="124" w:name="Tc_42uDpLuPKE2xCciHBMc7wg_7_5"/>
      <w:bookmarkStart w:id="125" w:name="Tc_8ECQnPxZakCMgNqqIkagGg_7_2"/>
      <w:bookmarkStart w:id="126" w:name="Tc_gQWOpN5qFkG9l0reUi4sEw_7_0"/>
      <w:bookmarkStart w:id="127" w:name="Tc_cwKUvSH1BkicRdYCARc0vw_6_0"/>
      <w:bookmarkStart w:id="128" w:name="Tc_NmPaFC67y02PXvt7j5vRSw_5_0"/>
      <w:bookmarkStart w:id="129" w:name="Tc_l7oeY7tSpEiHmFkWnaKyZQ_4_2"/>
      <w:bookmarkStart w:id="130" w:name="Tc_Pq_rwKq14EGmarMWXkzDPA_3_5"/>
      <w:bookmarkStart w:id="131" w:name="Tc_Ov5gxxQtkk-Ka9w8cHWYBA_3_2"/>
      <w:bookmarkStart w:id="132" w:name="Tc_lbaNynHlGk-ood6MTJD1Hw_2_5"/>
      <w:bookmarkStart w:id="133" w:name="Tc_QdLApuEbDEmKOLXpXWcqkg_2_2"/>
      <w:bookmarkStart w:id="134" w:name="Tc_W65d0aOTN06NaVb-32XPhA_1_5"/>
      <w:bookmarkStart w:id="135" w:name="Tc_v6Wn9U7z-EW58T3bx_PZbg_1_2"/>
      <w:bookmarkStart w:id="136" w:name="_5a937207_957e_4740_b563_ed7562fffa48"/>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9679" w:type="dxa"/>
        <w:jc w:val="left"/>
        <w:tblInd w:w="0" w:type="dxa"/>
        <w:tblLayout w:type="fixed"/>
        <w:tblCellMar>
          <w:top w:w="0" w:type="dxa"/>
          <w:left w:w="0" w:type="dxa"/>
          <w:bottom w:w="0" w:type="dxa"/>
          <w:right w:w="0" w:type="dxa"/>
        </w:tblCellMar>
      </w:tblPr>
      <w:tblGrid>
        <w:gridCol w:w="6001"/>
        <w:gridCol w:w="326"/>
        <w:gridCol w:w="287"/>
        <w:gridCol w:w="1063"/>
        <w:gridCol w:w="326"/>
        <w:gridCol w:w="277"/>
        <w:gridCol w:w="1028"/>
        <w:gridCol w:w="371"/>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810635" cy="175260"/>
                      <wp:effectExtent l="0" t="0" r="0" b="0"/>
                      <wp:wrapNone/>
                      <wp:docPr id="6" name="Frame6"/>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2245" cy="175260"/>
                      <wp:effectExtent l="0" t="0" r="0" b="0"/>
                      <wp:wrapNone/>
                      <wp:docPr id="8" name="Frame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75005" cy="175260"/>
                      <wp:effectExtent l="0" t="0" r="0" b="0"/>
                      <wp:wrapNone/>
                      <wp:docPr id="9" name="Frame9"/>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5585" cy="175260"/>
                      <wp:effectExtent l="0" t="0" r="0" b="0"/>
                      <wp:wrapNone/>
                      <wp:docPr id="13" name="Frame1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w:t>
            </w:r>
          </w:p>
        </w:tc>
        <w:tc>
          <w:tcPr>
            <w:tcW w:w="371" w:type="dxa"/>
            <w:tcBorders/>
            <w:vAlign w:val="center"/>
          </w:tcPr>
          <w:p>
            <w:pPr>
              <w:pStyle w:val="TableContents"/>
              <w:bidi w:val="0"/>
              <w:spacing w:before="0" w:after="0"/>
              <w:ind w:left="0" w:right="0" w:hanging="0"/>
              <w:jc w:val="left"/>
              <w:rPr/>
            </w:pPr>
            <w:r>
              <w:rPr/>
              <w:t>​</w:t>
            </w:r>
          </w:p>
        </w:tc>
      </w:tr>
      <w:tr>
        <w:trPr/>
        <w:tc>
          <w:tcPr>
            <w:tcW w:w="967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61,244</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146,054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95,774</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92,856</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52,855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Broadcast licenses,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intangibles, right of use assets, deferred costs and investments, net </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234,367</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payroll taxes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payable</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26,427</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25,737</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62,224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72,222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146,303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143,896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(36,668)</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181,935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234,367</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Note: The balance sheet at December 31, 2022 has been derived from the audited financial statements at that date but does not include all of the information and footnotes required by accounting principles generally accepted in the United States for complete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7" w:name="_7064199f_a5de_4aad_8b7f_332a181307fe"/>
      <w:bookmarkEnd w:id="137"/>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138" w:name="CONDENSEDCONSOLIDATEDSTATEMENTSOFINCOME_"/>
      <w:bookmarkEnd w:id="138"/>
      <w:r>
        <w:rPr>
          <w:rFonts w:ascii="Times New Roman;Times;serif" w:hAnsi="Times New Roman;Times;serif"/>
          <w:b/>
          <w:sz w:val="20"/>
        </w:rPr>
        <w:t>CONDENSED CONSOLIDATED STATEMENTS OF OPERATIONS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9" w:name="Tc_ghIFqR4JLkK6jYFmeylidQ_28_11"/>
      <w:bookmarkStart w:id="140" w:name="Tc_2AsCeDzWHk-YzzrZ5sP7bQ_28_8"/>
      <w:bookmarkStart w:id="141" w:name="Tc_wawDGY9e-060W599kFBjZg_28_5"/>
      <w:bookmarkStart w:id="142" w:name="Tc_XygI9PXrr0ytvX1gbUfu6Q_28_2"/>
      <w:bookmarkStart w:id="143" w:name="Tc_rifNT-DWyUq5kqZPSP6FUQ_28_0"/>
      <w:bookmarkStart w:id="144" w:name="Tc_JpsLYHV1jEeoJjWSGh_fEA_26_0"/>
      <w:bookmarkStart w:id="145" w:name="Tc_Uj_0DcOdG0SIZb1s__XWBQ_25_0"/>
      <w:bookmarkStart w:id="146" w:name="Tc_IjlHyqwzNEie_bh5xkobgA_23_11"/>
      <w:bookmarkStart w:id="147" w:name="Tc_ElRRrhp2S0O6Xc6BrQM5Gw_23_8"/>
      <w:bookmarkStart w:id="148" w:name="Tc_VVwRuYxQiEGr0GzO98TJQA_23_5"/>
      <w:bookmarkStart w:id="149" w:name="Tc__3lEdhQrSU6kDQ0TxYUoCQ_23_2"/>
      <w:bookmarkStart w:id="150" w:name="Tc_AViNayA3_EiFNnz1y8TjBA_23_0"/>
      <w:bookmarkStart w:id="151" w:name="Tc_onD_IOvhmkOJTZEDjrnSdQ_22_11"/>
      <w:bookmarkStart w:id="152" w:name="Tc_tCpDAYsrzUSYPtJm5nPrQQ_22_8"/>
      <w:bookmarkStart w:id="153" w:name="Tc_V7OdiZO7g0SL38DkdOenjg_22_5"/>
      <w:bookmarkStart w:id="154" w:name="Tc_b8vXezSsj0SL9qGY4YJxBA_22_2"/>
      <w:bookmarkStart w:id="155" w:name="Tc_Dq417XlrOEO_VgYG-9OhgQ_22_0"/>
      <w:bookmarkStart w:id="156" w:name="Tc_10TWWSldi06mnA-pGF4QqA_21_0"/>
      <w:bookmarkStart w:id="157" w:name="Tc_H5EWN2U87kOuqOfXUfR9YQ_19_11"/>
      <w:bookmarkStart w:id="158" w:name="Tc_I0JdBT7O_kGjgog0LbOLAA_19_8"/>
      <w:bookmarkStart w:id="159" w:name="Tc_xHRV4J9ClUC8GBYSCbQdjg_19_5"/>
      <w:bookmarkStart w:id="160" w:name="Tc_rScGEeHqlUCa-AMZ5ckrrw_19_2"/>
      <w:bookmarkStart w:id="161" w:name="Tc_yz_I55UFHU6zjtuRZFGGvw_19_0"/>
      <w:bookmarkStart w:id="162" w:name="Tc_9kX4T318F0GEwqDDlh5PqQ_17_0"/>
      <w:bookmarkStart w:id="163" w:name="Tc_W3XaoiBmFEqyYa6xNJd9FQ_16_0"/>
      <w:bookmarkStart w:id="164" w:name="Tc_h83Dq9eqR0-TQvlPhPxyUQ_15_0"/>
      <w:bookmarkStart w:id="165" w:name="Tc_Croi0go4J0Gx8DtExzZ1GQ_14_0"/>
      <w:bookmarkStart w:id="166" w:name="Tc_V5R1xjSmA0mF03SEyqeiXg_13_3"/>
      <w:bookmarkStart w:id="167" w:name="Tc_DsTLYw4LskyOnpD0pYhqow_13_0"/>
      <w:bookmarkStart w:id="168" w:name="Tc_h9Ne-JI_ZEiF8Halluu6Mw_12_0"/>
      <w:bookmarkStart w:id="169" w:name="Tc_iTJlR5UcKkiNJDLIESBYag_11_0"/>
      <w:bookmarkStart w:id="170" w:name="Tc_NkhoF_v4iEuaoh59-WPgmw_10_0"/>
      <w:bookmarkStart w:id="171" w:name="Tc_SPKB37nVTESghAAWNORtoA_9_0"/>
      <w:bookmarkStart w:id="172" w:name="Tc_Zh8qv48xjkGBdSvljHzfFA_8_0"/>
      <w:bookmarkStart w:id="173" w:name="Tc_WBuIyNUo7U61vbt1a-VCRQ_7_0"/>
      <w:bookmarkStart w:id="174" w:name="Tc_abJTurnDIUWFDxTSGgFqkA_6_11"/>
      <w:bookmarkStart w:id="175" w:name="Tc_FqtNvDMcX0yiQxnQEtss2A_6_8"/>
      <w:bookmarkStart w:id="176" w:name="Tc_HsxZ4ODgIUilusqKw7stcQ_6_5"/>
      <w:bookmarkStart w:id="177" w:name="Tc_G0VU9JmZQkWVSXfxBSiJ1w_6_2"/>
      <w:bookmarkStart w:id="178" w:name="Tc_vCsFp-J6xUOsmIBPgVXaCQ_6_0"/>
      <w:bookmarkStart w:id="179" w:name="Tc_hQN_D2P1EEmVQDisEpAiRQ_5_2"/>
      <w:bookmarkStart w:id="180" w:name="Tc_269oGBjU4Ua6qyF4cEtYQQ_4_2"/>
      <w:bookmarkStart w:id="181" w:name="Tc_vIRlFcQZLU2nlTr0Z1J5Mw_3_11"/>
      <w:bookmarkStart w:id="182" w:name="Tc_85WEohMFMEOf8VS1s1oQXQ_3_8"/>
      <w:bookmarkStart w:id="183" w:name="Tc_2cOLmM23yEqZJ-BFrXLOfA_3_5"/>
      <w:bookmarkStart w:id="184" w:name="Tc_UiK73ca7gEaROoVHSO9Q7g_3_2"/>
      <w:bookmarkStart w:id="185" w:name="Tc_jI6NYr7OVUCThxkVzvOKMg_2_8"/>
      <w:bookmarkStart w:id="186" w:name="Tc_3l89FmP9rESusazqTc-fKg_2_2"/>
      <w:bookmarkStart w:id="187" w:name="Tc_fpM_eIbebkKqfHuXAgJGjw_1_8"/>
      <w:bookmarkStart w:id="188" w:name="Tc_zQAyY7DY4UmMILkRQsmYtw_1_2"/>
      <w:bookmarkStart w:id="189" w:name="_978ddacc_f173_4dc8_a0c6_efa0beebfbf6"/>
      <w:bookmarkStart w:id="190" w:name="Tc_ghIFqR4JLkK6jYFmeylidQ_28_11"/>
      <w:bookmarkStart w:id="191" w:name="Tc_2AsCeDzWHk-YzzrZ5sP7bQ_28_8"/>
      <w:bookmarkStart w:id="192" w:name="Tc_wawDGY9e-060W599kFBjZg_28_5"/>
      <w:bookmarkStart w:id="193" w:name="Tc_XygI9PXrr0ytvX1gbUfu6Q_28_2"/>
      <w:bookmarkStart w:id="194" w:name="Tc_rifNT-DWyUq5kqZPSP6FUQ_28_0"/>
      <w:bookmarkStart w:id="195" w:name="Tc_JpsLYHV1jEeoJjWSGh_fEA_26_0"/>
      <w:bookmarkStart w:id="196" w:name="Tc_Uj_0DcOdG0SIZb1s__XWBQ_25_0"/>
      <w:bookmarkStart w:id="197" w:name="Tc_IjlHyqwzNEie_bh5xkobgA_23_11"/>
      <w:bookmarkStart w:id="198" w:name="Tc_ElRRrhp2S0O6Xc6BrQM5Gw_23_8"/>
      <w:bookmarkStart w:id="199" w:name="Tc_VVwRuYxQiEGr0GzO98TJQA_23_5"/>
      <w:bookmarkStart w:id="200" w:name="Tc__3lEdhQrSU6kDQ0TxYUoCQ_23_2"/>
      <w:bookmarkStart w:id="201" w:name="Tc_AViNayA3_EiFNnz1y8TjBA_23_0"/>
      <w:bookmarkStart w:id="202" w:name="Tc_onD_IOvhmkOJTZEDjrnSdQ_22_11"/>
      <w:bookmarkStart w:id="203" w:name="Tc_tCpDAYsrzUSYPtJm5nPrQQ_22_8"/>
      <w:bookmarkStart w:id="204" w:name="Tc_V7OdiZO7g0SL38DkdOenjg_22_5"/>
      <w:bookmarkStart w:id="205" w:name="Tc_b8vXezSsj0SL9qGY4YJxBA_22_2"/>
      <w:bookmarkStart w:id="206" w:name="Tc_Dq417XlrOEO_VgYG-9OhgQ_22_0"/>
      <w:bookmarkStart w:id="207" w:name="Tc_10TWWSldi06mnA-pGF4QqA_21_0"/>
      <w:bookmarkStart w:id="208" w:name="Tc_H5EWN2U87kOuqOfXUfR9YQ_19_11"/>
      <w:bookmarkStart w:id="209" w:name="Tc_I0JdBT7O_kGjgog0LbOLAA_19_8"/>
      <w:bookmarkStart w:id="210" w:name="Tc_xHRV4J9ClUC8GBYSCbQdjg_19_5"/>
      <w:bookmarkStart w:id="211" w:name="Tc_rScGEeHqlUCa-AMZ5ckrrw_19_2"/>
      <w:bookmarkStart w:id="212" w:name="Tc_yz_I55UFHU6zjtuRZFGGvw_19_0"/>
      <w:bookmarkStart w:id="213" w:name="Tc_9kX4T318F0GEwqDDlh5PqQ_17_0"/>
      <w:bookmarkStart w:id="214" w:name="Tc_W3XaoiBmFEqyYa6xNJd9FQ_16_0"/>
      <w:bookmarkStart w:id="215" w:name="Tc_h83Dq9eqR0-TQvlPhPxyUQ_15_0"/>
      <w:bookmarkStart w:id="216" w:name="Tc_Croi0go4J0Gx8DtExzZ1GQ_14_0"/>
      <w:bookmarkStart w:id="217" w:name="Tc_V5R1xjSmA0mF03SEyqeiXg_13_3"/>
      <w:bookmarkStart w:id="218" w:name="Tc_DsTLYw4LskyOnpD0pYhqow_13_0"/>
      <w:bookmarkStart w:id="219" w:name="Tc_h9Ne-JI_ZEiF8Halluu6Mw_12_0"/>
      <w:bookmarkStart w:id="220" w:name="Tc_iTJlR5UcKkiNJDLIESBYag_11_0"/>
      <w:bookmarkStart w:id="221" w:name="Tc_NkhoF_v4iEuaoh59-WPgmw_10_0"/>
      <w:bookmarkStart w:id="222" w:name="Tc_SPKB37nVTESghAAWNORtoA_9_0"/>
      <w:bookmarkStart w:id="223" w:name="Tc_Zh8qv48xjkGBdSvljHzfFA_8_0"/>
      <w:bookmarkStart w:id="224" w:name="Tc_WBuIyNUo7U61vbt1a-VCRQ_7_0"/>
      <w:bookmarkStart w:id="225" w:name="Tc_abJTurnDIUWFDxTSGgFqkA_6_11"/>
      <w:bookmarkStart w:id="226" w:name="Tc_FqtNvDMcX0yiQxnQEtss2A_6_8"/>
      <w:bookmarkStart w:id="227" w:name="Tc_HsxZ4ODgIUilusqKw7stcQ_6_5"/>
      <w:bookmarkStart w:id="228" w:name="Tc_G0VU9JmZQkWVSXfxBSiJ1w_6_2"/>
      <w:bookmarkStart w:id="229" w:name="Tc_vCsFp-J6xUOsmIBPgVXaCQ_6_0"/>
      <w:bookmarkStart w:id="230" w:name="Tc_hQN_D2P1EEmVQDisEpAiRQ_5_2"/>
      <w:bookmarkStart w:id="231" w:name="Tc_269oGBjU4Ua6qyF4cEtYQQ_4_2"/>
      <w:bookmarkStart w:id="232" w:name="Tc_vIRlFcQZLU2nlTr0Z1J5Mw_3_11"/>
      <w:bookmarkStart w:id="233" w:name="Tc_85WEohMFMEOf8VS1s1oQXQ_3_8"/>
      <w:bookmarkStart w:id="234" w:name="Tc_2cOLmM23yEqZJ-BFrXLOfA_3_5"/>
      <w:bookmarkStart w:id="235" w:name="Tc_UiK73ca7gEaROoVHSO9Q7g_3_2"/>
      <w:bookmarkStart w:id="236" w:name="Tc_jI6NYr7OVUCThxkVzvOKMg_2_8"/>
      <w:bookmarkStart w:id="237" w:name="Tc_3l89FmP9rESusazqTc-fKg_2_2"/>
      <w:bookmarkStart w:id="238" w:name="Tc_fpM_eIbebkKqfHuXAgJGjw_1_8"/>
      <w:bookmarkStart w:id="239" w:name="Tc_zQAyY7DY4UmMILkRQsmYtw_1_2"/>
      <w:bookmarkStart w:id="240" w:name="_978ddacc_f173_4dc8_a0c6_efa0beebfbf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803" w:type="dxa"/>
        <w:jc w:val="left"/>
        <w:tblInd w:w="0" w:type="dxa"/>
        <w:tblLayout w:type="fixed"/>
        <w:tblCellMar>
          <w:top w:w="0" w:type="dxa"/>
          <w:left w:w="0" w:type="dxa"/>
          <w:bottom w:w="0" w:type="dxa"/>
          <w:right w:w="0" w:type="dxa"/>
        </w:tblCellMar>
      </w:tblPr>
      <w:tblGrid>
        <w:gridCol w:w="4891"/>
        <w:gridCol w:w="326"/>
        <w:gridCol w:w="211"/>
        <w:gridCol w:w="676"/>
        <w:gridCol w:w="326"/>
        <w:gridCol w:w="211"/>
        <w:gridCol w:w="676"/>
        <w:gridCol w:w="326"/>
        <w:gridCol w:w="211"/>
        <w:gridCol w:w="691"/>
        <w:gridCol w:w="326"/>
        <w:gridCol w:w="211"/>
        <w:gridCol w:w="72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105785" cy="175260"/>
                      <wp:effectExtent l="0" t="0" r="0" b="0"/>
                      <wp:wrapNone/>
                      <wp:docPr id="14" name="Frame14"/>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7"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57835" cy="175260"/>
                      <wp:effectExtent l="0" t="0" r="0" b="0"/>
                      <wp:wrapNone/>
                      <wp:docPr id="26"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16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980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86"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86"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83,628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84,768</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64,649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8,146</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and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w:t>
            </w:r>
          </w:p>
        </w:tc>
      </w:tr>
    </w:tbl>
    <w:p>
      <w:pPr>
        <w:pStyle w:val="TextBody"/>
        <w:bidi w:val="0"/>
        <w:spacing w:before="0" w:after="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41" w:name="_02a58663_8fa3_4e8d_b4a1_448f37def609"/>
      <w:bookmarkEnd w:id="241"/>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242" w:name="CONSOLIDATEDSTATEMENTSOFSTOCKHOLDERSEQUI"/>
      <w:bookmarkEnd w:id="242"/>
      <w:r>
        <w:rPr>
          <w:rFonts w:ascii="Times New Roman;Times;serif" w:hAnsi="Times New Roman;Times;serif"/>
          <w:b/>
          <w:sz w:val="20"/>
        </w:rPr>
        <w:t>CONDENSED CONSOLIDATED STATEMENTS OF STOCKHOLDERS’ EQUITY</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For the three and nine months ended September 30, 2023 and 2022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3" w:name="Tc_0jGIqfiZZ0qtdy5M7HV18Q_21_21"/>
      <w:bookmarkStart w:id="244" w:name="Tc_gifcr_kR2k2RraWfxw9LQA_21_18"/>
      <w:bookmarkStart w:id="245" w:name="Tc_RbU53_VhCUSCn8_dCzUXCQ_21_15"/>
      <w:bookmarkStart w:id="246" w:name="Tc_8HWtBP-X2k6HDjbsDru7lQ_21_12"/>
      <w:bookmarkStart w:id="247" w:name="Tc_6aTKKJOCR0yv2bhrzyRPOw_21_9"/>
      <w:bookmarkStart w:id="248" w:name="Tc_Nk_B5fdR5kOvdzYMpIMlKA_21_4"/>
      <w:bookmarkStart w:id="249" w:name="Tc_sy3ICVQX4Uqq796HwUg-Tg_21_0"/>
      <w:bookmarkStart w:id="250" w:name="Tc_EWPyN0Pz5k-Qk_aWWW5mTw_20_0"/>
      <w:bookmarkStart w:id="251" w:name="Tc_qdu53xcehEmUqwK3jebCMQ_19_0"/>
      <w:bookmarkStart w:id="252" w:name="Tc_542D5Zr9JECwMEtgwHnuxg_18_0"/>
      <w:bookmarkStart w:id="253" w:name="Tc_w14nhnSG-0KVR_UXGHbSaQ_17_0"/>
      <w:bookmarkStart w:id="254" w:name="Tc_IJQc-QRG6kOoMKFTxzIHaw_16_0"/>
      <w:bookmarkStart w:id="255" w:name="Tc_vraey8JiL062iuTcIIFVJg_15_21"/>
      <w:bookmarkStart w:id="256" w:name="Tc_mCpdEqRasEmzQOWTOO7c-A_15_18"/>
      <w:bookmarkStart w:id="257" w:name="Tc_Yal0hFYiMEqI296l7tAgJQ_15_15"/>
      <w:bookmarkStart w:id="258" w:name="Tc_YjzoDXM5NECd5hViUQBnoQ_15_12"/>
      <w:bookmarkStart w:id="259" w:name="Tc_-Cz_sYnhr0KtSWObGz544Q_15_9"/>
      <w:bookmarkStart w:id="260" w:name="Tc_RpO_afcKHkyTkD4LSJZYcw_15_4"/>
      <w:bookmarkStart w:id="261" w:name="Tc_7SUV2xtd5k2-Jq3LSD-MXw_15_0"/>
      <w:bookmarkStart w:id="262" w:name="Tc_RNOlkYYmBE-vUMlrtA8GYA_14_0"/>
      <w:bookmarkStart w:id="263" w:name="Tc_SwzLGB_La0CYslwt778b6w_13_0"/>
      <w:bookmarkStart w:id="264" w:name="Tc_8edcVYcTrEivy_1PHN8DnA_12_0"/>
      <w:bookmarkStart w:id="265" w:name="Tc_5pXFR-UD8EWO_1SgAHaYNg_11_21"/>
      <w:bookmarkStart w:id="266" w:name="Tc_p6kyafTazkaC90nRiCw7kw_11_18"/>
      <w:bookmarkStart w:id="267" w:name="Tc_oyLgybH1ak-0Db8GScDPtw_11_15"/>
      <w:bookmarkStart w:id="268" w:name="Tc_XGmmhjSZ3keArXR0ALzbUA_11_12"/>
      <w:bookmarkStart w:id="269" w:name="Tc_2pLsRFcWRECmSfY5fUU9ig_11_9"/>
      <w:bookmarkStart w:id="270" w:name="Tc_jfNM_5tvLUew_LbTgED_FQ_11_4"/>
      <w:bookmarkStart w:id="271" w:name="Tc_KWTZz8GfPkilt5sllO-eAw_11_0"/>
      <w:bookmarkStart w:id="272" w:name="Tc_iZ73JioSJUq2LWDD-YpWRQ_10_0"/>
      <w:bookmarkStart w:id="273" w:name="Tc_nC1oU5N4Q0GxVQdv6ooTsw_9_0"/>
      <w:bookmarkStart w:id="274" w:name="Tc_mN3qJVkgsUyyuvTNJEKWNA_8_0"/>
      <w:bookmarkStart w:id="275" w:name="Tc_QmfQkmb74EiQuqSl7ssslg_7_0"/>
      <w:bookmarkStart w:id="276" w:name="Tc_9eXupZ9xm0-faA5Fubth7Q_6_21"/>
      <w:bookmarkStart w:id="277" w:name="Tc_u9HpOTrj9k-JTK7wT4mkfg_6_18"/>
      <w:bookmarkStart w:id="278" w:name="Tc_osLKWr1p9EClwXb96S4OaA_6_15"/>
      <w:bookmarkStart w:id="279" w:name="Tc_cSCLzuCzFE2UJUkDPaK3QA_6_12"/>
      <w:bookmarkStart w:id="280" w:name="Tc_dJTdCK6nhU-qLwDmA2W_Cg_6_9"/>
      <w:bookmarkStart w:id="281" w:name="Tc_jTM-GyOrRESFeH-qR8xaXA_6_4"/>
      <w:bookmarkStart w:id="282" w:name="Tc_Oib1frJu4Uea05ogrbOXrA_6_0"/>
      <w:bookmarkStart w:id="283" w:name="Tc_pSVxeRcSrES9IG27thnIoA_4_2"/>
      <w:bookmarkStart w:id="284" w:name="Tc_jK_R8pmAUkGbDAXL1wkbNA_3_21"/>
      <w:bookmarkStart w:id="285" w:name="Tc_Q8XTL9TH40qAdD4Ux0cvgg_3_18"/>
      <w:bookmarkStart w:id="286" w:name="Tc_U86uaZ8aeEiHXyLhSZ-lcg_3_15"/>
      <w:bookmarkStart w:id="287" w:name="Tc_JsyMUie2r0qEX5xlxzpASg_3_12"/>
      <w:bookmarkStart w:id="288" w:name="Tc_anRw6Pe2C0CexOd_hKJL0A_3_9"/>
      <w:bookmarkStart w:id="289" w:name="Tc_flYjVmCN4UOwdbf1Fj0NnA_3_7"/>
      <w:bookmarkStart w:id="290" w:name="Tc_teMPbEWNtEyJUvjEJOPr_w_3_4"/>
      <w:bookmarkStart w:id="291" w:name="Tc_qnONwXSyHE24EHz0C_CQpw_3_2"/>
      <w:bookmarkStart w:id="292" w:name="Tc_QGhV58KteUWbLS833TLvig_2_21"/>
      <w:bookmarkStart w:id="293" w:name="Tc_2F9xtuz5dkiZaN6D-4v0Kw_2_18"/>
      <w:bookmarkStart w:id="294" w:name="Tc__GeCSHLwwUG8MUAlFQ_KBA_2_15"/>
      <w:bookmarkStart w:id="295" w:name="Tc_oDUy_P7HEEeE2XT4Yq4emQ_2_12"/>
      <w:bookmarkStart w:id="296" w:name="Tc_U1IqStRvMkK6ud0Rb1PHnQ_2_7"/>
      <w:bookmarkStart w:id="297" w:name="Tc_9AnXBTYERUuqIGe_pWKXiQ_2_2"/>
      <w:bookmarkStart w:id="298" w:name="Tc_rnrY2WVJVEenZpafUPdR-w_1_21"/>
      <w:bookmarkStart w:id="299" w:name="Tc_uOY3uzQQMUiSwPYXDQ9K9g_1_12"/>
      <w:bookmarkStart w:id="300" w:name="Tc_-BMXmhfgXE23FFtQ0OD5VQ_1_7"/>
      <w:bookmarkStart w:id="301" w:name="Tc_6l4iNFx-m02nltTH-vuyvg_1_2"/>
      <w:bookmarkStart w:id="302" w:name="_2d377a29_5e4a_4e3c_a76a_85025b8b9d52"/>
      <w:bookmarkStart w:id="303" w:name="Tc_0jGIqfiZZ0qtdy5M7HV18Q_21_21"/>
      <w:bookmarkStart w:id="304" w:name="Tc_gifcr_kR2k2RraWfxw9LQA_21_18"/>
      <w:bookmarkStart w:id="305" w:name="Tc_RbU53_VhCUSCn8_dCzUXCQ_21_15"/>
      <w:bookmarkStart w:id="306" w:name="Tc_8HWtBP-X2k6HDjbsDru7lQ_21_12"/>
      <w:bookmarkStart w:id="307" w:name="Tc_6aTKKJOCR0yv2bhrzyRPOw_21_9"/>
      <w:bookmarkStart w:id="308" w:name="Tc_Nk_B5fdR5kOvdzYMpIMlKA_21_4"/>
      <w:bookmarkStart w:id="309" w:name="Tc_sy3ICVQX4Uqq796HwUg-Tg_21_0"/>
      <w:bookmarkStart w:id="310" w:name="Tc_EWPyN0Pz5k-Qk_aWWW5mTw_20_0"/>
      <w:bookmarkStart w:id="311" w:name="Tc_qdu53xcehEmUqwK3jebCMQ_19_0"/>
      <w:bookmarkStart w:id="312" w:name="Tc_542D5Zr9JECwMEtgwHnuxg_18_0"/>
      <w:bookmarkStart w:id="313" w:name="Tc_w14nhnSG-0KVR_UXGHbSaQ_17_0"/>
      <w:bookmarkStart w:id="314" w:name="Tc_IJQc-QRG6kOoMKFTxzIHaw_16_0"/>
      <w:bookmarkStart w:id="315" w:name="Tc_vraey8JiL062iuTcIIFVJg_15_21"/>
      <w:bookmarkStart w:id="316" w:name="Tc_mCpdEqRasEmzQOWTOO7c-A_15_18"/>
      <w:bookmarkStart w:id="317" w:name="Tc_Yal0hFYiMEqI296l7tAgJQ_15_15"/>
      <w:bookmarkStart w:id="318" w:name="Tc_YjzoDXM5NECd5hViUQBnoQ_15_12"/>
      <w:bookmarkStart w:id="319" w:name="Tc_-Cz_sYnhr0KtSWObGz544Q_15_9"/>
      <w:bookmarkStart w:id="320" w:name="Tc_RpO_afcKHkyTkD4LSJZYcw_15_4"/>
      <w:bookmarkStart w:id="321" w:name="Tc_7SUV2xtd5k2-Jq3LSD-MXw_15_0"/>
      <w:bookmarkStart w:id="322" w:name="Tc_RNOlkYYmBE-vUMlrtA8GYA_14_0"/>
      <w:bookmarkStart w:id="323" w:name="Tc_SwzLGB_La0CYslwt778b6w_13_0"/>
      <w:bookmarkStart w:id="324" w:name="Tc_8edcVYcTrEivy_1PHN8DnA_12_0"/>
      <w:bookmarkStart w:id="325" w:name="Tc_5pXFR-UD8EWO_1SgAHaYNg_11_21"/>
      <w:bookmarkStart w:id="326" w:name="Tc_p6kyafTazkaC90nRiCw7kw_11_18"/>
      <w:bookmarkStart w:id="327" w:name="Tc_oyLgybH1ak-0Db8GScDPtw_11_15"/>
      <w:bookmarkStart w:id="328" w:name="Tc_XGmmhjSZ3keArXR0ALzbUA_11_12"/>
      <w:bookmarkStart w:id="329" w:name="Tc_2pLsRFcWRECmSfY5fUU9ig_11_9"/>
      <w:bookmarkStart w:id="330" w:name="Tc_jfNM_5tvLUew_LbTgED_FQ_11_4"/>
      <w:bookmarkStart w:id="331" w:name="Tc_KWTZz8GfPkilt5sllO-eAw_11_0"/>
      <w:bookmarkStart w:id="332" w:name="Tc_iZ73JioSJUq2LWDD-YpWRQ_10_0"/>
      <w:bookmarkStart w:id="333" w:name="Tc_nC1oU5N4Q0GxVQdv6ooTsw_9_0"/>
      <w:bookmarkStart w:id="334" w:name="Tc_mN3qJVkgsUyyuvTNJEKWNA_8_0"/>
      <w:bookmarkStart w:id="335" w:name="Tc_QmfQkmb74EiQuqSl7ssslg_7_0"/>
      <w:bookmarkStart w:id="336" w:name="Tc_9eXupZ9xm0-faA5Fubth7Q_6_21"/>
      <w:bookmarkStart w:id="337" w:name="Tc_u9HpOTrj9k-JTK7wT4mkfg_6_18"/>
      <w:bookmarkStart w:id="338" w:name="Tc_osLKWr1p9EClwXb96S4OaA_6_15"/>
      <w:bookmarkStart w:id="339" w:name="Tc_cSCLzuCzFE2UJUkDPaK3QA_6_12"/>
      <w:bookmarkStart w:id="340" w:name="Tc_dJTdCK6nhU-qLwDmA2W_Cg_6_9"/>
      <w:bookmarkStart w:id="341" w:name="Tc_jTM-GyOrRESFeH-qR8xaXA_6_4"/>
      <w:bookmarkStart w:id="342" w:name="Tc_Oib1frJu4Uea05ogrbOXrA_6_0"/>
      <w:bookmarkStart w:id="343" w:name="Tc_pSVxeRcSrES9IG27thnIoA_4_2"/>
      <w:bookmarkStart w:id="344" w:name="Tc_jK_R8pmAUkGbDAXL1wkbNA_3_21"/>
      <w:bookmarkStart w:id="345" w:name="Tc_Q8XTL9TH40qAdD4Ux0cvgg_3_18"/>
      <w:bookmarkStart w:id="346" w:name="Tc_U86uaZ8aeEiHXyLhSZ-lcg_3_15"/>
      <w:bookmarkStart w:id="347" w:name="Tc_JsyMUie2r0qEX5xlxzpASg_3_12"/>
      <w:bookmarkStart w:id="348" w:name="Tc_anRw6Pe2C0CexOd_hKJL0A_3_9"/>
      <w:bookmarkStart w:id="349" w:name="Tc_flYjVmCN4UOwdbf1Fj0NnA_3_7"/>
      <w:bookmarkStart w:id="350" w:name="Tc_teMPbEWNtEyJUvjEJOPr_w_3_4"/>
      <w:bookmarkStart w:id="351" w:name="Tc_qnONwXSyHE24EHz0C_CQpw_3_2"/>
      <w:bookmarkStart w:id="352" w:name="Tc_QGhV58KteUWbLS833TLvig_2_21"/>
      <w:bookmarkStart w:id="353" w:name="Tc_2F9xtuz5dkiZaN6D-4v0Kw_2_18"/>
      <w:bookmarkStart w:id="354" w:name="Tc__GeCSHLwwUG8MUAlFQ_KBA_2_15"/>
      <w:bookmarkStart w:id="355" w:name="Tc_oDUy_P7HEEeE2XT4Yq4emQ_2_12"/>
      <w:bookmarkStart w:id="356" w:name="Tc_U1IqStRvMkK6ud0Rb1PHnQ_2_7"/>
      <w:bookmarkStart w:id="357" w:name="Tc_9AnXBTYERUuqIGe_pWKXiQ_2_2"/>
      <w:bookmarkStart w:id="358" w:name="Tc_rnrY2WVJVEenZpafUPdR-w_1_21"/>
      <w:bookmarkStart w:id="359" w:name="Tc_uOY3uzQQMUiSwPYXDQ9K9g_1_12"/>
      <w:bookmarkStart w:id="360" w:name="Tc_-BMXmhfgXE23FFtQ0OD5VQ_1_7"/>
      <w:bookmarkStart w:id="361" w:name="Tc_6l4iNFx-m02nltTH-vuyvg_1_2"/>
      <w:bookmarkStart w:id="362" w:name="_2d377a29_5e4a_4e3c_a76a_85025b8b9d5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tbl>
      <w:tblPr>
        <w:tblW w:w="10419" w:type="dxa"/>
        <w:jc w:val="left"/>
        <w:tblInd w:w="0" w:type="dxa"/>
        <w:tblLayout w:type="fixed"/>
        <w:tblCellMar>
          <w:top w:w="0" w:type="dxa"/>
          <w:left w:w="0" w:type="dxa"/>
          <w:bottom w:w="0" w:type="dxa"/>
          <w:right w:w="0" w:type="dxa"/>
        </w:tblCellMar>
      </w:tblPr>
      <w:tblGrid>
        <w:gridCol w:w="1561"/>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91235" cy="175260"/>
                      <wp:effectExtent l="0" t="0" r="0" b="0"/>
                      <wp:wrapNone/>
                      <wp:docPr id="27" name="Frame2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4" name="Frame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5890" cy="175260"/>
                      <wp:effectExtent l="0" t="0" r="0" b="0"/>
                      <wp:wrapNone/>
                      <wp:docPr id="39" name="Frame3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7195" cy="175260"/>
                      <wp:effectExtent l="0" t="0" r="0" b="0"/>
                      <wp:wrapNone/>
                      <wp:docPr id="40" name="Frame4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9735" cy="175260"/>
                      <wp:effectExtent l="0" t="0" r="0" b="0"/>
                      <wp:wrapNone/>
                      <wp:docPr id="46" name="Frame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255" cy="175260"/>
                      <wp:effectExtent l="0" t="0" r="0" b="0"/>
                      <wp:wrapNone/>
                      <wp:docPr id="48" name="Frame4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1180" cy="175260"/>
                      <wp:effectExtent l="0" t="0" r="0" b="0"/>
                      <wp:wrapNone/>
                      <wp:docPr id="49" name="Frame4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419"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32" w:type="dxa"/>
            <w:gridSpan w:val="2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(37,439)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196,919</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three months ended March 31, 2022</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(36,962)</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197,742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(36,962)</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200,693</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three months ended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shares from Class B to Class A</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(13,618)</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shares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September 30, 2022</w:t>
            </w:r>
          </w:p>
        </w:tc>
        <w:tc>
          <w:tcPr>
            <w:tcW w:w="32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7,800</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(36,969)</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188,013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3" w:name="Tc_GFCKSS0P3Eif-wszoXfhzA_19_21"/>
      <w:bookmarkStart w:id="364" w:name="Tc_UyPSd48tKUq87CV-f9VFeA_19_18"/>
      <w:bookmarkStart w:id="365" w:name="Tc_9292nZuXkUeN-pPy7T_C3A_19_15"/>
      <w:bookmarkStart w:id="366" w:name="Tc_QXZbNblzKEiHMzy7oLIjJg_19_12"/>
      <w:bookmarkStart w:id="367" w:name="Tc_irJE_bh9hU2bPrbWSqeFAA_19_9"/>
      <w:bookmarkStart w:id="368" w:name="Tc_f8cL8nQlykmT_0U6VEWgBQ_19_4"/>
      <w:bookmarkStart w:id="369" w:name="Tc_Aniw4SE0QEalrAOQ3zLnZQ_19_0"/>
      <w:bookmarkStart w:id="370" w:name="Tc_EAgUWgoBykClgqAryOGY6A_18_0"/>
      <w:bookmarkStart w:id="371" w:name="Tc_kxfELIVK7k66eCoIMhBH0Q_17_0"/>
      <w:bookmarkStart w:id="372" w:name="Tc_n0wfJjiur0ur1b6qy6arwA_16_0"/>
      <w:bookmarkStart w:id="373" w:name="Tc_KTLiPjLZF06mPTwyEX0C5w_15_21"/>
      <w:bookmarkStart w:id="374" w:name="Tc_TC6nJ_dAo0ety4J_TUxdpA_15_18"/>
      <w:bookmarkStart w:id="375" w:name="Tc_Oqbe81KXlkmjIdkfXe747g_15_15"/>
      <w:bookmarkStart w:id="376" w:name="Tc_xVcSj9E8JEqkLcXNVREBCA_15_12"/>
      <w:bookmarkStart w:id="377" w:name="Tc_F9_H67KQZk-uOhSI5iW7JQ_15_9"/>
      <w:bookmarkStart w:id="378" w:name="Tc_ZO_VqhrF4kWzGfv0dyXuHw_15_4"/>
      <w:bookmarkStart w:id="379" w:name="Tc_KECEZytzAUKlxtY69nFLvA_15_0"/>
      <w:bookmarkStart w:id="380" w:name="Tc_DJE0r1PwO0OH1g0CaRg9gg_14_0"/>
      <w:bookmarkStart w:id="381" w:name="Tc_CSLcjTeq60CXXhxN5hPWzQ_13_0"/>
      <w:bookmarkStart w:id="382" w:name="Tc_Wuoe1LgbzUq2nTiBwmhZwA_12_0"/>
      <w:bookmarkStart w:id="383" w:name="Tc_GZTvyiIJukWgIzKD4uepQQ_11_21"/>
      <w:bookmarkStart w:id="384" w:name="Tc_5l1W_vJsHE27_1Nxh0YUUg_11_18"/>
      <w:bookmarkStart w:id="385" w:name="Tc_93dw9p6xv0i4JR1rC1S2Tg_11_15"/>
      <w:bookmarkStart w:id="386" w:name="Tc_IKZyLRAjZEmd0xUsiGLb5g_11_12"/>
      <w:bookmarkStart w:id="387" w:name="Tc_VqWlqxeDnky6CFuk0sZBYg_11_9"/>
      <w:bookmarkStart w:id="388" w:name="Tc_7xTbUKbQJE2ex9TjucWv2g_11_4"/>
      <w:bookmarkStart w:id="389" w:name="Tc_utXeHqSxNkam-qQYby1viQ_11_0"/>
      <w:bookmarkStart w:id="390" w:name="Tc_LkJvvUn5dk6N5HB3FFhlvQ_10_0"/>
      <w:bookmarkStart w:id="391" w:name="Tc_9fxlSM1yrUquPTX2DiGajg_9_0"/>
      <w:bookmarkStart w:id="392" w:name="Tc_0sGIPwy7HU-ebPeSw71Hug_8_0"/>
      <w:bookmarkStart w:id="393" w:name="Tc_HwrnlQ_6QUmRzhfGn2l0ZA_7_0"/>
      <w:bookmarkStart w:id="394" w:name="Tc_r_Q7p8Zl1U6xMVfYdJ5-qw_6_21"/>
      <w:bookmarkStart w:id="395" w:name="Tc_--3H3aPF2EWa2w6fSbiJNg_6_18"/>
      <w:bookmarkStart w:id="396" w:name="Tc_4Q42Om_U2UawXX5SC7uF8Q_6_15"/>
      <w:bookmarkStart w:id="397" w:name="Tc_zlMXZF_1e0ipKS1ZwEV72g_6_12"/>
      <w:bookmarkStart w:id="398" w:name="Tc_3ToavaNgf0izRJ-ptPxNtw_6_9"/>
      <w:bookmarkStart w:id="399" w:name="Tc_M-K4VG8crkmkP1d9TICjeg_6_4"/>
      <w:bookmarkStart w:id="400" w:name="Tc_SzcytFh_IEOHBmK_5bB5_w_6_0"/>
      <w:bookmarkStart w:id="401" w:name="Tc_JDbxmpMmhkyP9HXMp8W8Cg_4_2"/>
      <w:bookmarkStart w:id="402" w:name="Tc_4QNc4Wfh5U67yXHpBvJLQw_3_21"/>
      <w:bookmarkStart w:id="403" w:name="Tc_uX5rq78sukabEJugZ9tt0A_3_18"/>
      <w:bookmarkStart w:id="404" w:name="Tc_4HiR39RdZUq1AUw-nKX4Jw_3_15"/>
      <w:bookmarkStart w:id="405" w:name="Tc_Gd03pt2lHUCFuA4wVT7NoA_3_12"/>
      <w:bookmarkStart w:id="406" w:name="Tc_gWJZ1Z088ki3KFz4TMxU9w_3_9"/>
      <w:bookmarkStart w:id="407" w:name="Tc_uuVgQvOSUUeF0W5a9dUzEw_3_7"/>
      <w:bookmarkStart w:id="408" w:name="Tc_vbFPnntStEuGlyNQyKZc1g_3_4"/>
      <w:bookmarkStart w:id="409" w:name="Tc_YVU3Ni-OiUiK7d5b1uzLKQ_3_2"/>
      <w:bookmarkStart w:id="410" w:name="Tc_yhfcv_QBhk2jtD_KhfIAJg_2_21"/>
      <w:bookmarkStart w:id="411" w:name="Tc_cRY_W6aHjEK0zFPaCBT5EQ_2_18"/>
      <w:bookmarkStart w:id="412" w:name="Tc_eLbzhfmEdkiGScabR8oaKg_2_15"/>
      <w:bookmarkStart w:id="413" w:name="Tc_CxLHaKCEVUmwf-s_zIRI3A_2_12"/>
      <w:bookmarkStart w:id="414" w:name="Tc_4AHE2x7G20uVx_9nQ3rh8A_2_7"/>
      <w:bookmarkStart w:id="415" w:name="Tc_mJSx6843qU2w3pW9xf3hRA_2_2"/>
      <w:bookmarkStart w:id="416" w:name="Tc_XaEvZ0Plb0a9pZ2au4XAHg_1_21"/>
      <w:bookmarkStart w:id="417" w:name="Tc_iepGQO3OQUKXgiH4We8rPg_1_12"/>
      <w:bookmarkStart w:id="418" w:name="Tc_UjRikqRdQkCIJzzXZLHCyg_1_7"/>
      <w:bookmarkStart w:id="419" w:name="Tc_8ZTvn3puFE--Cqo2o7TksA_1_2"/>
      <w:bookmarkStart w:id="420" w:name="_4e45be2e_8b4e_41b9_b4e2_5a3ca44b84c8"/>
      <w:bookmarkStart w:id="421" w:name="Tc_GFCKSS0P3Eif-wszoXfhzA_19_21"/>
      <w:bookmarkStart w:id="422" w:name="Tc_UyPSd48tKUq87CV-f9VFeA_19_18"/>
      <w:bookmarkStart w:id="423" w:name="Tc_9292nZuXkUeN-pPy7T_C3A_19_15"/>
      <w:bookmarkStart w:id="424" w:name="Tc_QXZbNblzKEiHMzy7oLIjJg_19_12"/>
      <w:bookmarkStart w:id="425" w:name="Tc_irJE_bh9hU2bPrbWSqeFAA_19_9"/>
      <w:bookmarkStart w:id="426" w:name="Tc_f8cL8nQlykmT_0U6VEWgBQ_19_4"/>
      <w:bookmarkStart w:id="427" w:name="Tc_Aniw4SE0QEalrAOQ3zLnZQ_19_0"/>
      <w:bookmarkStart w:id="428" w:name="Tc_EAgUWgoBykClgqAryOGY6A_18_0"/>
      <w:bookmarkStart w:id="429" w:name="Tc_kxfELIVK7k66eCoIMhBH0Q_17_0"/>
      <w:bookmarkStart w:id="430" w:name="Tc_n0wfJjiur0ur1b6qy6arwA_16_0"/>
      <w:bookmarkStart w:id="431" w:name="Tc_KTLiPjLZF06mPTwyEX0C5w_15_21"/>
      <w:bookmarkStart w:id="432" w:name="Tc_TC6nJ_dAo0ety4J_TUxdpA_15_18"/>
      <w:bookmarkStart w:id="433" w:name="Tc_Oqbe81KXlkmjIdkfXe747g_15_15"/>
      <w:bookmarkStart w:id="434" w:name="Tc_xVcSj9E8JEqkLcXNVREBCA_15_12"/>
      <w:bookmarkStart w:id="435" w:name="Tc_F9_H67KQZk-uOhSI5iW7JQ_15_9"/>
      <w:bookmarkStart w:id="436" w:name="Tc_ZO_VqhrF4kWzGfv0dyXuHw_15_4"/>
      <w:bookmarkStart w:id="437" w:name="Tc_KECEZytzAUKlxtY69nFLvA_15_0"/>
      <w:bookmarkStart w:id="438" w:name="Tc_DJE0r1PwO0OH1g0CaRg9gg_14_0"/>
      <w:bookmarkStart w:id="439" w:name="Tc_CSLcjTeq60CXXhxN5hPWzQ_13_0"/>
      <w:bookmarkStart w:id="440" w:name="Tc_Wuoe1LgbzUq2nTiBwmhZwA_12_0"/>
      <w:bookmarkStart w:id="441" w:name="Tc_GZTvyiIJukWgIzKD4uepQQ_11_21"/>
      <w:bookmarkStart w:id="442" w:name="Tc_5l1W_vJsHE27_1Nxh0YUUg_11_18"/>
      <w:bookmarkStart w:id="443" w:name="Tc_93dw9p6xv0i4JR1rC1S2Tg_11_15"/>
      <w:bookmarkStart w:id="444" w:name="Tc_IKZyLRAjZEmd0xUsiGLb5g_11_12"/>
      <w:bookmarkStart w:id="445" w:name="Tc_VqWlqxeDnky6CFuk0sZBYg_11_9"/>
      <w:bookmarkStart w:id="446" w:name="Tc_7xTbUKbQJE2ex9TjucWv2g_11_4"/>
      <w:bookmarkStart w:id="447" w:name="Tc_utXeHqSxNkam-qQYby1viQ_11_0"/>
      <w:bookmarkStart w:id="448" w:name="Tc_LkJvvUn5dk6N5HB3FFhlvQ_10_0"/>
      <w:bookmarkStart w:id="449" w:name="Tc_9fxlSM1yrUquPTX2DiGajg_9_0"/>
      <w:bookmarkStart w:id="450" w:name="Tc_0sGIPwy7HU-ebPeSw71Hug_8_0"/>
      <w:bookmarkStart w:id="451" w:name="Tc_HwrnlQ_6QUmRzhfGn2l0ZA_7_0"/>
      <w:bookmarkStart w:id="452" w:name="Tc_r_Q7p8Zl1U6xMVfYdJ5-qw_6_21"/>
      <w:bookmarkStart w:id="453" w:name="Tc_--3H3aPF2EWa2w6fSbiJNg_6_18"/>
      <w:bookmarkStart w:id="454" w:name="Tc_4Q42Om_U2UawXX5SC7uF8Q_6_15"/>
      <w:bookmarkStart w:id="455" w:name="Tc_zlMXZF_1e0ipKS1ZwEV72g_6_12"/>
      <w:bookmarkStart w:id="456" w:name="Tc_3ToavaNgf0izRJ-ptPxNtw_6_9"/>
      <w:bookmarkStart w:id="457" w:name="Tc_M-K4VG8crkmkP1d9TICjeg_6_4"/>
      <w:bookmarkStart w:id="458" w:name="Tc_SzcytFh_IEOHBmK_5bB5_w_6_0"/>
      <w:bookmarkStart w:id="459" w:name="Tc_JDbxmpMmhkyP9HXMp8W8Cg_4_2"/>
      <w:bookmarkStart w:id="460" w:name="Tc_4QNc4Wfh5U67yXHpBvJLQw_3_21"/>
      <w:bookmarkStart w:id="461" w:name="Tc_uX5rq78sukabEJugZ9tt0A_3_18"/>
      <w:bookmarkStart w:id="462" w:name="Tc_4HiR39RdZUq1AUw-nKX4Jw_3_15"/>
      <w:bookmarkStart w:id="463" w:name="Tc_Gd03pt2lHUCFuA4wVT7NoA_3_12"/>
      <w:bookmarkStart w:id="464" w:name="Tc_gWJZ1Z088ki3KFz4TMxU9w_3_9"/>
      <w:bookmarkStart w:id="465" w:name="Tc_uuVgQvOSUUeF0W5a9dUzEw_3_7"/>
      <w:bookmarkStart w:id="466" w:name="Tc_vbFPnntStEuGlyNQyKZc1g_3_4"/>
      <w:bookmarkStart w:id="467" w:name="Tc_YVU3Ni-OiUiK7d5b1uzLKQ_3_2"/>
      <w:bookmarkStart w:id="468" w:name="Tc_yhfcv_QBhk2jtD_KhfIAJg_2_21"/>
      <w:bookmarkStart w:id="469" w:name="Tc_cRY_W6aHjEK0zFPaCBT5EQ_2_18"/>
      <w:bookmarkStart w:id="470" w:name="Tc_eLbzhfmEdkiGScabR8oaKg_2_15"/>
      <w:bookmarkStart w:id="471" w:name="Tc_CxLHaKCEVUmwf-s_zIRI3A_2_12"/>
      <w:bookmarkStart w:id="472" w:name="Tc_4AHE2x7G20uVx_9nQ3rh8A_2_7"/>
      <w:bookmarkStart w:id="473" w:name="Tc_mJSx6843qU2w3pW9xf3hRA_2_2"/>
      <w:bookmarkStart w:id="474" w:name="Tc_XaEvZ0Plb0a9pZ2au4XAHg_1_21"/>
      <w:bookmarkStart w:id="475" w:name="Tc_iepGQO3OQUKXgiH4We8rPg_1_12"/>
      <w:bookmarkStart w:id="476" w:name="Tc_UjRikqRdQkCIJzzXZLHCyg_1_7"/>
      <w:bookmarkStart w:id="477" w:name="Tc_8ZTvn3puFE--Cqo2o7TksA_1_2"/>
      <w:bookmarkStart w:id="478" w:name="_4e45be2e_8b4e_41b9_b4e2_5a3ca44b84c8"/>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W w:w="10419" w:type="dxa"/>
        <w:jc w:val="left"/>
        <w:tblInd w:w="0" w:type="dxa"/>
        <w:tblLayout w:type="fixed"/>
        <w:tblCellMar>
          <w:top w:w="0" w:type="dxa"/>
          <w:left w:w="0" w:type="dxa"/>
          <w:bottom w:w="0" w:type="dxa"/>
          <w:right w:w="0" w:type="dxa"/>
        </w:tblCellMar>
      </w:tblPr>
      <w:tblGrid>
        <w:gridCol w:w="1561"/>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91235" cy="175260"/>
                      <wp:effectExtent l="0" t="0" r="0" b="0"/>
                      <wp:wrapNone/>
                      <wp:docPr id="50" name="Frame5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8115" cy="175260"/>
                      <wp:effectExtent l="0" t="0" r="0" b="0"/>
                      <wp:wrapNone/>
                      <wp:docPr id="54" name="Frame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80670" cy="175260"/>
                      <wp:effectExtent l="0" t="0" r="0" b="0"/>
                      <wp:wrapNone/>
                      <wp:docPr id="55" name="Frame5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2110" cy="175260"/>
                      <wp:effectExtent l="0" t="0" r="0" b="0"/>
                      <wp:wrapNone/>
                      <wp:docPr id="57" name="Frame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59" name="Frame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0670" cy="175260"/>
                      <wp:effectExtent l="0" t="0" r="0" b="0"/>
                      <wp:wrapNone/>
                      <wp:docPr id="60" name="Frame6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5890" cy="175260"/>
                      <wp:effectExtent l="0" t="0" r="0" b="0"/>
                      <wp:wrapNone/>
                      <wp:docPr id="62" name="Frame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7195" cy="175260"/>
                      <wp:effectExtent l="0" t="0" r="0" b="0"/>
                      <wp:wrapNone/>
                      <wp:docPr id="63" name="Frame63"/>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19735" cy="175260"/>
                      <wp:effectExtent l="0" t="0" r="0" b="0"/>
                      <wp:wrapNone/>
                      <wp:docPr id="69" name="Frame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5255" cy="175260"/>
                      <wp:effectExtent l="0" t="0" r="0" b="0"/>
                      <wp:wrapNone/>
                      <wp:docPr id="71" name="Frame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1180" cy="175260"/>
                      <wp:effectExtent l="0" t="0" r="0" b="0"/>
                      <wp:wrapNone/>
                      <wp:docPr id="72" name="Frame72"/>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419"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32"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center"/>
              <w:rPr/>
            </w:pPr>
            <w:r>
              <w:rPr/>
              <w: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143,896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(37,109)</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178,529</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three months ended March 31, 2023</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2023</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178,419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2023</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71,972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145,104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180,486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three months ended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2,729</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September 30, 2023</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72,222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146,303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181,935</w:t>
            </w:r>
          </w:p>
        </w:tc>
      </w:tr>
    </w:tbl>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79" w:name="_fac7485d_a95c_45dd_a3a8_386e251a298a"/>
      <w:bookmarkEnd w:id="479"/>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480" w:name="CONDENSEDCONSOLIDATEDSTATEMENTSOFCASHFLO"/>
      <w:bookmarkEnd w:id="480"/>
      <w:r>
        <w:rPr>
          <w:rFonts w:ascii="Times New Roman;Times;serif" w:hAnsi="Times New Roman;Times;serif"/>
          <w:b/>
          <w:sz w:val="20"/>
        </w:rPr>
        <w:t>CONDENSED CONSOLIDATED STATEMENTS OF CASH FLOWS</w:t>
      </w:r>
    </w:p>
    <w:p>
      <w:pPr>
        <w:pStyle w:val="TextBody"/>
        <w:bidi w:val="0"/>
        <w:spacing w:before="0" w:after="200"/>
        <w:ind w:left="0" w:right="0" w:firstLine="360"/>
        <w:jc w:val="left"/>
        <w:rPr/>
      </w:pPr>
      <w:r>
        <w:rPr/>
        <w:t>​</w:t>
      </w:r>
    </w:p>
    <w:p>
      <w:pPr>
        <w:pStyle w:val="Normal"/>
        <w:bidi w:val="0"/>
        <w:spacing w:before="0" w:after="0"/>
        <w:jc w:val="left"/>
        <w:rPr>
          <w:sz w:val="4"/>
          <w:szCs w:val="4"/>
        </w:rPr>
      </w:pPr>
      <w:r>
        <w:rPr>
          <w:sz w:val="4"/>
          <w:szCs w:val="4"/>
        </w:rPr>
      </w:r>
      <w:bookmarkStart w:id="481" w:name="Tc_p6iPqmZG50aEZkhbf1ASdg_37_5"/>
      <w:bookmarkStart w:id="482" w:name="Tc_i8mAlQxspk2MeukFMr5Wjg_37_2"/>
      <w:bookmarkStart w:id="483" w:name="Tc_staBF5H_XEaRlJBCYUXC1A_37_0"/>
      <w:bookmarkStart w:id="484" w:name="Tc_mFhpldR4vkquC8K6iFwq8Q_36_0"/>
      <w:bookmarkStart w:id="485" w:name="Tc_oqf7bGKomke1mWPHC2-Vgg_35_0"/>
      <w:bookmarkStart w:id="486" w:name="Tc_JFIr3dN2s0q1pk1eQpNMjQ_34_0"/>
      <w:bookmarkStart w:id="487" w:name="Tc_Z45LxLMh5kKvXGMMrhDd3A_33_3"/>
      <w:bookmarkStart w:id="488" w:name="Tc_0yGziJ_CbUaBjijQBypy-Q_33_0"/>
      <w:bookmarkStart w:id="489" w:name="Tc_RFB8JO_z80umNy2WGj4W5g_32_0"/>
      <w:bookmarkStart w:id="490" w:name="Tc_QGQvYT3ltEaM2xSpJjhTMg_31_0"/>
      <w:bookmarkStart w:id="491" w:name="Tc_wCex8BnHykege2sFyVmnPA_30_0"/>
      <w:bookmarkStart w:id="492" w:name="Tc_8Wu2yfVAHEaMJ4CJ70796A_29_6"/>
      <w:bookmarkStart w:id="493" w:name="Tc_UUaolTP4r0WvanNBcJ2D0Q_29_0"/>
      <w:bookmarkStart w:id="494" w:name="Tc_iUAEt55Lm0eG6rKs5kweUA_28_0"/>
      <w:bookmarkStart w:id="495" w:name="Tc_aImEoW5BFker7rcuS9wRVQ_27_3"/>
      <w:bookmarkStart w:id="496" w:name="Tc_lyX7Az2_pkOqRtRZkS_R7Q_27_0"/>
      <w:bookmarkStart w:id="497" w:name="Tc_yg6CiO6JDkOYm_d-qHTdNA_26_0"/>
      <w:bookmarkStart w:id="498" w:name="Tc_fD9mgP8UUUahUZWJcn1yaA_25_0"/>
      <w:bookmarkStart w:id="499" w:name="Tc_rvix832I5EGmBgwsrwyeQw_24_0"/>
      <w:bookmarkStart w:id="500" w:name="Tc_kBBtNaNG4EeG64Eh_TUPYA_23_0"/>
      <w:bookmarkStart w:id="501" w:name="Tc_-dwSpQlQfkyQl35KIKsWmg_22_0"/>
      <w:bookmarkStart w:id="502" w:name="Tc_P5I1JSPWs0aCQV_YxPBdbw_21_0"/>
      <w:bookmarkStart w:id="503" w:name="Tc_1F-vJXytrUmKJQ98wZI2aA_20_0"/>
      <w:bookmarkStart w:id="504" w:name="Tc_a3Y2n-oYEEClEraIxsn44Q_19_0"/>
      <w:bookmarkStart w:id="505" w:name="Tc_XZoPQIDNNUSjxcOSDkIahw_18_0"/>
      <w:bookmarkStart w:id="506" w:name="Tc_B3MOC8DUQEG9EepORLwetA_17_0"/>
      <w:bookmarkStart w:id="507" w:name="Tc_loTy41sILkme1UJgGGpGJw_16_0"/>
      <w:bookmarkStart w:id="508" w:name="Tc_88BWJxduvEm2NVJiqRfdBQ_15_0"/>
      <w:bookmarkStart w:id="509" w:name="Tc_Nvd7SlRPf0iYqtDkXonaqQ_14_0"/>
      <w:bookmarkStart w:id="510" w:name="Tc_9jIHJ2IZPUKM7LSXpEjLog_13_0"/>
      <w:bookmarkStart w:id="511" w:name="Tc_3aOBnsebS0yrFZX1uN-X8A_12_0"/>
      <w:bookmarkStart w:id="512" w:name="Tc_hn0vOC2JNE2GLMHOLctMZQ_11_0"/>
      <w:bookmarkStart w:id="513" w:name="Tc_TOUEBrUXDkGTlx0uZ5YW4w_10_0"/>
      <w:bookmarkStart w:id="514" w:name="Tc_UfZdsNwFBkaUZbJ5_8_c7g_9_0"/>
      <w:bookmarkStart w:id="515" w:name="Tc_DQcu2VvFDk2sEFlSrqMiIg_8_5"/>
      <w:bookmarkStart w:id="516" w:name="Tc_SRhCbw0vek-WF77r88z8JA_8_2"/>
      <w:bookmarkStart w:id="517" w:name="Tc_KTyHgs2FMUujNydsqStd1g_8_0"/>
      <w:bookmarkStart w:id="518" w:name="Tc_AavQ0c-RJ0SVpVpNoHhRuQ_7_0"/>
      <w:bookmarkStart w:id="519" w:name="Tc_S9VSCEhX4UeyuQGmptwjMg_6_0"/>
      <w:bookmarkStart w:id="520" w:name="Tc_qFThMqoj8kWRbRrpPvpR6w_5_2"/>
      <w:bookmarkStart w:id="521" w:name="Tc_xj6fEx1SJES6on-Xwz1_iQ_4_2"/>
      <w:bookmarkStart w:id="522" w:name="Tc_HH0Hw8EUCkSDI7v9Lb20sQ_3_5"/>
      <w:bookmarkStart w:id="523" w:name="Tc_lh-j3mH2vUib6NKQIIuFcA_3_2"/>
      <w:bookmarkStart w:id="524" w:name="Tc_CzWf_9ROUk-WWrht51x1VQ_2_2"/>
      <w:bookmarkStart w:id="525" w:name="Tc_PmsIX1AXm0qUZDs1Yb7ZRA_1_2"/>
      <w:bookmarkStart w:id="526" w:name="_096cd472_9eb6_4286_bf7d_4d1f37d5d4c9"/>
      <w:bookmarkStart w:id="527" w:name="Tc_p6iPqmZG50aEZkhbf1ASdg_37_5"/>
      <w:bookmarkStart w:id="528" w:name="Tc_i8mAlQxspk2MeukFMr5Wjg_37_2"/>
      <w:bookmarkStart w:id="529" w:name="Tc_staBF5H_XEaRlJBCYUXC1A_37_0"/>
      <w:bookmarkStart w:id="530" w:name="Tc_mFhpldR4vkquC8K6iFwq8Q_36_0"/>
      <w:bookmarkStart w:id="531" w:name="Tc_oqf7bGKomke1mWPHC2-Vgg_35_0"/>
      <w:bookmarkStart w:id="532" w:name="Tc_JFIr3dN2s0q1pk1eQpNMjQ_34_0"/>
      <w:bookmarkStart w:id="533" w:name="Tc_Z45LxLMh5kKvXGMMrhDd3A_33_3"/>
      <w:bookmarkStart w:id="534" w:name="Tc_0yGziJ_CbUaBjijQBypy-Q_33_0"/>
      <w:bookmarkStart w:id="535" w:name="Tc_RFB8JO_z80umNy2WGj4W5g_32_0"/>
      <w:bookmarkStart w:id="536" w:name="Tc_QGQvYT3ltEaM2xSpJjhTMg_31_0"/>
      <w:bookmarkStart w:id="537" w:name="Tc_wCex8BnHykege2sFyVmnPA_30_0"/>
      <w:bookmarkStart w:id="538" w:name="Tc_8Wu2yfVAHEaMJ4CJ70796A_29_6"/>
      <w:bookmarkStart w:id="539" w:name="Tc_UUaolTP4r0WvanNBcJ2D0Q_29_0"/>
      <w:bookmarkStart w:id="540" w:name="Tc_iUAEt55Lm0eG6rKs5kweUA_28_0"/>
      <w:bookmarkStart w:id="541" w:name="Tc_aImEoW5BFker7rcuS9wRVQ_27_3"/>
      <w:bookmarkStart w:id="542" w:name="Tc_lyX7Az2_pkOqRtRZkS_R7Q_27_0"/>
      <w:bookmarkStart w:id="543" w:name="Tc_yg6CiO6JDkOYm_d-qHTdNA_26_0"/>
      <w:bookmarkStart w:id="544" w:name="Tc_fD9mgP8UUUahUZWJcn1yaA_25_0"/>
      <w:bookmarkStart w:id="545" w:name="Tc_rvix832I5EGmBgwsrwyeQw_24_0"/>
      <w:bookmarkStart w:id="546" w:name="Tc_kBBtNaNG4EeG64Eh_TUPYA_23_0"/>
      <w:bookmarkStart w:id="547" w:name="Tc_-dwSpQlQfkyQl35KIKsWmg_22_0"/>
      <w:bookmarkStart w:id="548" w:name="Tc_P5I1JSPWs0aCQV_YxPBdbw_21_0"/>
      <w:bookmarkStart w:id="549" w:name="Tc_1F-vJXytrUmKJQ98wZI2aA_20_0"/>
      <w:bookmarkStart w:id="550" w:name="Tc_a3Y2n-oYEEClEraIxsn44Q_19_0"/>
      <w:bookmarkStart w:id="551" w:name="Tc_XZoPQIDNNUSjxcOSDkIahw_18_0"/>
      <w:bookmarkStart w:id="552" w:name="Tc_B3MOC8DUQEG9EepORLwetA_17_0"/>
      <w:bookmarkStart w:id="553" w:name="Tc_loTy41sILkme1UJgGGpGJw_16_0"/>
      <w:bookmarkStart w:id="554" w:name="Tc_88BWJxduvEm2NVJiqRfdBQ_15_0"/>
      <w:bookmarkStart w:id="555" w:name="Tc_Nvd7SlRPf0iYqtDkXonaqQ_14_0"/>
      <w:bookmarkStart w:id="556" w:name="Tc_9jIHJ2IZPUKM7LSXpEjLog_13_0"/>
      <w:bookmarkStart w:id="557" w:name="Tc_3aOBnsebS0yrFZX1uN-X8A_12_0"/>
      <w:bookmarkStart w:id="558" w:name="Tc_hn0vOC2JNE2GLMHOLctMZQ_11_0"/>
      <w:bookmarkStart w:id="559" w:name="Tc_TOUEBrUXDkGTlx0uZ5YW4w_10_0"/>
      <w:bookmarkStart w:id="560" w:name="Tc_UfZdsNwFBkaUZbJ5_8_c7g_9_0"/>
      <w:bookmarkStart w:id="561" w:name="Tc_DQcu2VvFDk2sEFlSrqMiIg_8_5"/>
      <w:bookmarkStart w:id="562" w:name="Tc_SRhCbw0vek-WF77r88z8JA_8_2"/>
      <w:bookmarkStart w:id="563" w:name="Tc_KTyHgs2FMUujNydsqStd1g_8_0"/>
      <w:bookmarkStart w:id="564" w:name="Tc_AavQ0c-RJ0SVpVpNoHhRuQ_7_0"/>
      <w:bookmarkStart w:id="565" w:name="Tc_S9VSCEhX4UeyuQGmptwjMg_6_0"/>
      <w:bookmarkStart w:id="566" w:name="Tc_qFThMqoj8kWRbRrpPvpR6w_5_2"/>
      <w:bookmarkStart w:id="567" w:name="Tc_xj6fEx1SJES6on-Xwz1_iQ_4_2"/>
      <w:bookmarkStart w:id="568" w:name="Tc_HH0Hw8EUCkSDI7v9Lb20sQ_3_5"/>
      <w:bookmarkStart w:id="569" w:name="Tc_lh-j3mH2vUib6NKQIIuFcA_3_2"/>
      <w:bookmarkStart w:id="570" w:name="Tc_CzWf_9ROUk-WWrht51x1VQ_2_2"/>
      <w:bookmarkStart w:id="571" w:name="Tc_PmsIX1AXm0qUZDs1Yb7ZRA_1_2"/>
      <w:bookmarkStart w:id="572" w:name="_096cd472_9eb6_4286_bf7d_4d1f37d5d4c9"/>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9878" w:type="dxa"/>
        <w:jc w:val="left"/>
        <w:tblInd w:w="0" w:type="dxa"/>
        <w:tblLayout w:type="fixed"/>
        <w:tblCellMar>
          <w:top w:w="0" w:type="dxa"/>
          <w:left w:w="0" w:type="dxa"/>
          <w:bottom w:w="0" w:type="dxa"/>
          <w:right w:w="0" w:type="dxa"/>
        </w:tblCellMar>
      </w:tblPr>
      <w:tblGrid>
        <w:gridCol w:w="6721"/>
        <w:gridCol w:w="386"/>
        <w:gridCol w:w="211"/>
        <w:gridCol w:w="796"/>
        <w:gridCol w:w="386"/>
        <w:gridCol w:w="211"/>
        <w:gridCol w:w="796"/>
        <w:gridCol w:w="37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67835" cy="175260"/>
                      <wp:effectExtent l="0" t="0" r="0" b="0"/>
                      <wp:wrapNone/>
                      <wp:docPr id="73" name="Frame7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5110" cy="175260"/>
                      <wp:effectExtent l="0" t="0" r="0" b="0"/>
                      <wp:wrapNone/>
                      <wp:docPr id="74" name="Frame7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5110" cy="175260"/>
                      <wp:effectExtent l="0" t="0" r="0" b="0"/>
                      <wp:wrapNone/>
                      <wp:docPr id="77" name="Frame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9"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35585" cy="175260"/>
                      <wp:effectExtent l="0" t="0" r="0" b="0"/>
                      <wp:wrapNone/>
                      <wp:docPr id="80" name="Frame8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vAlign w:val="center"/>
          </w:tcPr>
          <w:p>
            <w:pPr>
              <w:pStyle w:val="TableContents"/>
              <w:bidi w:val="0"/>
              <w:spacing w:before="0" w:after="1"/>
              <w:ind w:left="0" w:right="0" w:hanging="0"/>
              <w:jc w:val="left"/>
              <w:rPr/>
            </w:pPr>
            <w:r>
              <w:rPr/>
              <w:t>    </w:t>
            </w:r>
          </w:p>
        </w:tc>
      </w:tr>
      <w:tr>
        <w:trPr/>
        <w:tc>
          <w:tcPr>
            <w:tcW w:w="987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Statement of Cash Flows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3,737</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income tax expense </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costs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expense related to restricted stock awards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sale of assets,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(gain) loss, net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Barter (revenue) expense,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other compensation</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receivables and prepaid expenses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accounts payable, accrued expenses, and other liabilities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6,922</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13,921</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14,362</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(14,441)</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short-term investments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14,437</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property and equipment (Capital Expenditures)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(3,397)</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broadcast properties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and disposal of assets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(14,722)</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paid</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(16,816)</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(6,167)</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treasury shares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(16,816)</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(6,174)</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(5,558)</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36,802</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54,760</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31,244</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48,226</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573" w:name="_12234fc7_57a6_4597_866d_72aaad51e2a8"/>
      <w:bookmarkEnd w:id="573"/>
      <w:r>
        <w:rPr>
          <w:rFonts w:ascii="Times New Roman;Times;serif" w:hAnsi="Times New Roman;Times;serif"/>
          <w:b/>
          <w:sz w:val="20"/>
        </w:rPr>
        <w:t>SAGA COMMUNICATIONS, INC.</w:t>
      </w:r>
    </w:p>
    <w:p>
      <w:pPr>
        <w:pStyle w:val="TextBody"/>
        <w:bidi w:val="0"/>
        <w:spacing w:before="0" w:after="480"/>
        <w:ind w:left="0" w:right="0" w:hanging="0"/>
        <w:jc w:val="center"/>
        <w:rPr>
          <w:rFonts w:ascii="Times New Roman;Times;serif" w:hAnsi="Times New Roman;Times;serif"/>
          <w:b/>
          <w:sz w:val="20"/>
        </w:rPr>
      </w:pPr>
      <w:bookmarkStart w:id="574" w:name="NOTESTOUNAUDITEDCONDENSEDCONSOLIDATEDFIN"/>
      <w:bookmarkEnd w:id="574"/>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 Summary of Significant Accounting Policies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our opinion, the accompanying financial statements include all adjustments of a normal, recurring nature considered necessary for a fair presentation of our financial position as of September 30, 2023 and the results of operations for the three and nine months ended September 30, 2023 and 2022. Results of operations for three and nine months ended September 30, 2023 are not necessarily indicative of the results that may be expected for the year ending December 31,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own or operate broadcast properties in 27 markets, including 79 FM and 33 AM radio stations and 80 metro signals.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further information, refer to the consolidated financial statements and footnotes thereto included in the Saga Communications, Inc.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evaluated events and transactions occurring subsequent to the balance sheet date of September 30, 2023, for items that should potentially be recognized in these financial statements or discussed within the notes to these financial statements.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Earnings Per Share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575" w:name="Tc_rgAuU__0v0Kl2l7AomuQQA_18_11"/>
      <w:bookmarkStart w:id="576" w:name="Tc_TfwuMWxlqU6zLpCyQCJbgw_18_8"/>
      <w:bookmarkStart w:id="577" w:name="Tc_8hRWecujmkS3k7umBJcOzA_18_5"/>
      <w:bookmarkStart w:id="578" w:name="Tc_ZMs06j-vIk6azJi48BUFNA_18_2"/>
      <w:bookmarkStart w:id="579" w:name="Tc_x1Pnb03QzE2zd-xgAqg5EQ_18_0"/>
      <w:bookmarkStart w:id="580" w:name="Tc_tOln_j3Pn0yKGEUxlrslWA_17_11"/>
      <w:bookmarkStart w:id="581" w:name="Tc_wmjy-5uWUkCd2EW3MuXkvg_17_8"/>
      <w:bookmarkStart w:id="582" w:name="Tc_l2xMDS3G-0ytNSGBA4hqNA_17_5"/>
      <w:bookmarkStart w:id="583" w:name="Tc_vJqnVKCPlEGEJ9L4azlwfA_17_2"/>
      <w:bookmarkStart w:id="584" w:name="Tc_lNOhtNDzDEeYZ63hEqaeHg_17_0"/>
      <w:bookmarkStart w:id="585" w:name="Tc_FXWXiN43B0KuVragcS8Z7A_16_0"/>
      <w:bookmarkStart w:id="586" w:name="Tc_eiUj9tSV8kyi6EmA4MFyXA_14_0"/>
      <w:bookmarkStart w:id="587" w:name="Tc_-96PjM3YYEKBVHx3lpi2Qw_13_0"/>
      <w:bookmarkStart w:id="588" w:name="Tc_pLI72K5CnkO8nhLHspIc_Q_12_0"/>
      <w:bookmarkStart w:id="589" w:name="Tc_Dl_SIjmJtUWCaPPA522HBQ_11_0"/>
      <w:bookmarkStart w:id="590" w:name="Tc_GlnT2SVv40y03MlOpXSxag_10_0"/>
      <w:bookmarkStart w:id="591" w:name="Tc_jlJ9qLP87UWLJ6WXosNRzw_8_11"/>
      <w:bookmarkStart w:id="592" w:name="Tc_DLHMEDc5qUW5w4G0jzy_Tw_8_8"/>
      <w:bookmarkStart w:id="593" w:name="Tc_HYRQFFO1vkCc5Lnpq_5sjQ_8_5"/>
      <w:bookmarkStart w:id="594" w:name="Tc_t9ZeZ309qEuAy42J643g-Q_8_2"/>
      <w:bookmarkStart w:id="595" w:name="Tc_tRqb6iFHA0udTt7Yndq1Vg_8_0"/>
      <w:bookmarkStart w:id="596" w:name="Tc_BBKCKOMGv0OV4dzzQT7UEw_7_0"/>
      <w:bookmarkStart w:id="597" w:name="Tc_tiPnRCSi1UqKuAtkBhgfUg_6_11"/>
      <w:bookmarkStart w:id="598" w:name="Tc_OfWBVv8KwUSGC8PLlvVu4A_6_8"/>
      <w:bookmarkStart w:id="599" w:name="Tc_f47V6Sv-6E-gFTu58NMSqw_6_5"/>
      <w:bookmarkStart w:id="600" w:name="Tc_bwVbfFJ840aPwqfW4fB41w_6_2"/>
      <w:bookmarkStart w:id="601" w:name="Tc_3Yix_rpJRke6vBiJc-znnw_6_0"/>
      <w:bookmarkStart w:id="602" w:name="Tc_ZDJIZjoLvUKcE9TqNBHanw_5_0"/>
      <w:bookmarkStart w:id="603" w:name="Tc_mnL3yls9pU6Edvu3DzyL1g_4_2"/>
      <w:bookmarkStart w:id="604" w:name="Tc_su-Idffk30uoHzzli2R8eA_3_11"/>
      <w:bookmarkStart w:id="605" w:name="Tc_0STHr3Cn2EOFRTMs_1UOWw_3_8"/>
      <w:bookmarkStart w:id="606" w:name="Tc_DG9lpj5LD0WLFkoabw_7Pw_3_5"/>
      <w:bookmarkStart w:id="607" w:name="Tc_S3H7yNPi00eemKTfzjQu_w_3_2"/>
      <w:bookmarkStart w:id="608" w:name="Tc_Z5sXn0YZjkSXojwiGNVUsg_2_8"/>
      <w:bookmarkStart w:id="609" w:name="Tc_ab5O19iTMkGSo8kWuV_o5Q_2_2"/>
      <w:bookmarkStart w:id="610" w:name="Tc_5ojQgODAPE2StZiQFgLgaw_1_8"/>
      <w:bookmarkStart w:id="611" w:name="Tc_CKaAxxGN_kO6s9if6eRDqw_1_2"/>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Fonts w:ascii="Times New Roman;Times;serif" w:hAnsi="Times New Roman;Times;serif"/>
          <w:sz w:val="20"/>
        </w:rPr>
        <w:t>The following table sets forth the computation of basic and diluted earnings per share:</w:t>
      </w:r>
    </w:p>
    <w:p>
      <w:pPr>
        <w:pStyle w:val="TextBody"/>
        <w:bidi w:val="0"/>
        <w:spacing w:before="0" w:after="20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5387"/>
        <w:gridCol w:w="326"/>
        <w:gridCol w:w="211"/>
        <w:gridCol w:w="573"/>
        <w:gridCol w:w="327"/>
        <w:gridCol w:w="211"/>
        <w:gridCol w:w="581"/>
        <w:gridCol w:w="326"/>
        <w:gridCol w:w="211"/>
        <w:gridCol w:w="571"/>
        <w:gridCol w:w="326"/>
        <w:gridCol w:w="211"/>
        <w:gridCol w:w="571"/>
        <w:gridCol w:w="373"/>
      </w:tblGrid>
      <w:tr>
        <w:trPr/>
        <w:tc>
          <w:tcPr>
            <w:tcW w:w="5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420745" cy="175260"/>
                      <wp:effectExtent l="0" t="0" r="0" b="0"/>
                      <wp:wrapNone/>
                      <wp:docPr id="81" name="Frame81"/>
                      <a:graphic xmlns:a="http://schemas.openxmlformats.org/drawingml/2006/main">
                        <a:graphicData uri="http://schemas.microsoft.com/office/word/2010/wordprocessingShape">
                          <wps:wsp>
                            <wps:cNvSpPr txBox="1"/>
                            <wps:spPr>
                              <a:xfrm>
                                <a:off x="0" y="0"/>
                                <a:ext cx="3420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3855" cy="175260"/>
                      <wp:effectExtent l="0" t="0" r="0" b="0"/>
                      <wp:wrapNone/>
                      <wp:docPr id="84" name="Frame84"/>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645" cy="175260"/>
                      <wp:effectExtent l="0" t="0" r="0" b="0"/>
                      <wp:wrapNone/>
                      <wp:docPr id="85" name="Frame8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8935" cy="175260"/>
                      <wp:effectExtent l="0" t="0" r="0" b="0"/>
                      <wp:wrapNone/>
                      <wp:docPr id="87" name="Frame87"/>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6855" cy="175260"/>
                      <wp:effectExtent l="0" t="0" r="0" b="0"/>
                      <wp:wrapNone/>
                      <wp:docPr id="94" name="Frame94"/>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73" w:type="dxa"/>
            <w:tcBorders/>
            <w:vAlign w:val="center"/>
          </w:tcPr>
          <w:p>
            <w:pPr>
              <w:pStyle w:val="TableContents"/>
              <w:bidi w:val="0"/>
              <w:spacing w:before="0" w:after="0"/>
              <w:ind w:left="0" w:right="0" w:hanging="0"/>
              <w:jc w:val="left"/>
              <w:rPr/>
            </w:pPr>
            <w:r>
              <w:rPr/>
              <w:t> </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73" w:type="dxa"/>
            <w:tcBorders/>
            <w:vAlign w:val="center"/>
          </w:tcPr>
          <w:p>
            <w:pPr>
              <w:pStyle w:val="TableContents"/>
              <w:bidi w:val="0"/>
              <w:spacing w:before="0" w:after="0"/>
              <w:ind w:left="0" w:right="0" w:hanging="0"/>
              <w:jc w:val="left"/>
              <w:rPr/>
            </w:pPr>
            <w:r>
              <w:rPr/>
              <w:t> </w:t>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7" w:type="dxa"/>
            <w:tcBorders/>
            <w:vAlign w:val="center"/>
          </w:tcPr>
          <w:p>
            <w:pPr>
              <w:pStyle w:val="TableContents"/>
              <w:bidi w:val="0"/>
              <w:spacing w:before="0" w:after="0"/>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3" w:type="dxa"/>
            <w:tcBorders/>
            <w:vAlign w:val="center"/>
          </w:tcPr>
          <w:p>
            <w:pPr>
              <w:pStyle w:val="TableContents"/>
              <w:bidi w:val="0"/>
              <w:spacing w:before="0" w:after="0"/>
              <w:ind w:left="0" w:right="0" w:hanging="0"/>
              <w:jc w:val="left"/>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1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c>
          <w:tcPr>
            <w:tcW w:w="373" w:type="dxa"/>
            <w:tcBorders/>
            <w:vAlign w:val="center"/>
          </w:tcPr>
          <w:p>
            <w:pPr>
              <w:pStyle w:val="TableContents"/>
              <w:bidi w:val="0"/>
              <w:spacing w:before="0" w:after="0"/>
              <w:ind w:left="0" w:right="0" w:hanging="0"/>
              <w:jc w:val="left"/>
              <w:rPr/>
            </w:pPr>
            <w:r>
              <w:rPr/>
              <w:t> </w:t>
            </w:r>
          </w:p>
        </w:tc>
      </w:tr>
      <w:tr>
        <w:trPr/>
        <w:tc>
          <w:tcPr>
            <w:tcW w:w="5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4,923</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allocated to unvested 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3"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 — weighted average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3"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 — adjusted weighted-average shares and assumed conversions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3"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5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27"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5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27"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7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stock options outstanding that had an antidilutive effect on our earnings per share calculation for the three and nine months ended September 30, 2023 and 2022, respectively. The actual effect of these shares, if any, on the diluted earnings per share calculation will vary significantly depending on the fluctuation in the stock price.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account for marketable securities in accordance with ASC 320, “</w:t>
      </w:r>
      <w:r>
        <w:rPr>
          <w:rFonts w:ascii="Times New Roman;Times;serif" w:hAnsi="Times New Roman;Times;serif"/>
          <w:i/>
          <w:sz w:val="20"/>
        </w:rPr>
        <w:t>Investments – Debt Securities,</w:t>
      </w:r>
      <w:r>
        <w:rPr>
          <w:rFonts w:ascii="Times New Roman;Times;serif" w:hAnsi="Times New Roman;Times;serif"/>
          <w:sz w:val="20"/>
        </w:rPr>
        <w:t xml:space="preserve">” which require that certain debt securities be classified into one of three categories: held-to-maturity, available-for-sale, or trading securities, and depending upon the classification, value the security at amortized cost or fair market value. At September 30, 2023 and December 31, 2022, we have recorded $10.5 million and $10.1 million, respectively, of held-to-maturity U.S. Treasury Bills at amortized cost basis that have a fair market value of $10.5 million and $10.0 million, respectively. Our held-to-maturity U.S. Treasury Bills all have original maturity dates ranging from October 2023 to February 2024.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September 30,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Allowance for Doubtful Accounts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 provision for doubtful accounts is recorded based on our judgment of collectability of receivables. Amounts are written off when determined to be fully uncollectible. Delinquent accounts are based on contractual terms.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$497,000 and $519,000 at September 30, 2023 and December 31, 2022, respectively.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effective tax rate is higher than the federal statutory rate as a result of the inclusion of state taxes in the income tax amount and permanent differences related to the compensation of our former CEO.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Time Brokerage Agreements/Local Marketing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Recent Accounting Pronouncements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has considered all recent accounting pronouncements issued. The Company’s management believes that these recent pronouncements will not have a material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12" w:name="Tc_6MjutplnZkyn9x_wYdf-8A_9_11"/>
      <w:bookmarkStart w:id="613" w:name="Tc_Grj8R9TVBE6dsa8ataWIXw_9_8"/>
      <w:bookmarkStart w:id="614" w:name="Tc_oL1wzranhE-3UTlmzGiRNg_9_5"/>
      <w:bookmarkStart w:id="615" w:name="Tc_eZTUisSY9UyXzSUTK6Fc5g_9_2"/>
      <w:bookmarkStart w:id="616" w:name="Tc_gh3F4vJ9vEmzXYo5blydPw_9_0"/>
      <w:bookmarkStart w:id="617" w:name="Tc_4XOBZNBz6kmVCwEqu0axrA_8_0"/>
      <w:bookmarkStart w:id="618" w:name="Tc_vmgxpyR7nEiwK3Mxfnz4nA_7_0"/>
      <w:bookmarkStart w:id="619" w:name="Tc_OggaqIEwL0Sh6Kbj4lpOuA_6_11"/>
      <w:bookmarkStart w:id="620" w:name="Tc_lII0mrk92USQZ4hbBvsJ5g_6_8"/>
      <w:bookmarkStart w:id="621" w:name="Tc_uZ4WDB9QxEqPApFWaBkipg_6_5"/>
      <w:bookmarkStart w:id="622" w:name="Tc_W-5585DkVE-9YnpbZYRjLg_6_2"/>
      <w:bookmarkStart w:id="623" w:name="Tc_iBPTD_a_-0aR6pk9JEuBDA_6_0"/>
      <w:bookmarkStart w:id="624" w:name="Tc_iR43vjPDkE6goONkppPmGw_5_0"/>
      <w:bookmarkStart w:id="625" w:name="Tc_2ECw2Lsuc0W7gWKty1wNPg_4_8"/>
      <w:bookmarkStart w:id="626" w:name="Tc_Nul7XYNeIkm1d9stLjB2BQ_4_2"/>
      <w:bookmarkStart w:id="627" w:name="Tc_oLj44FnXzk-an5VMJBrn_g_3_11"/>
      <w:bookmarkStart w:id="628" w:name="Tc_CKHijWBb90isnCPDHA7wVg_3_8"/>
      <w:bookmarkStart w:id="629" w:name="Tc_5P4AxdQarEeqZ3aGsIM99A_3_5"/>
      <w:bookmarkStart w:id="630" w:name="Tc_PKKx-N7ue02lMWVJw7JMmw_3_2"/>
      <w:bookmarkStart w:id="631" w:name="Tc_MNeNZcWGjUe6J7J8grykLQ_2_8"/>
      <w:bookmarkStart w:id="632" w:name="Tc_Y3XSt2jte0eYyV8w16Vwxg_2_2"/>
      <w:bookmarkStart w:id="633" w:name="Tc_R61ECFlaI0GkQSMaddcFYw_1_8"/>
      <w:bookmarkStart w:id="634" w:name="Tc_Ufnb209BsEaRes18t1gfXQ_1_2"/>
      <w:bookmarkStart w:id="635" w:name="_e5df0252_53db_47cb_a9ed_bbc5b20c0eb6"/>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rPr>
          <w:rFonts w:ascii="Times New Roman;Times;serif" w:hAnsi="Times New Roman;Times;serif"/>
          <w:b/>
          <w:sz w:val="20"/>
        </w:rPr>
        <w:t>3.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Nature of goods and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is a description of principal activities from which we generate our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Broadcast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Digital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recognize revenue from our digital initiatives across multiple platforms such as targeted digital advertising, online promotions, advertising on our websites and online streams, mobile messaging, email marketing and other e-commerce. Revenue is recorded when each specific performance obligation in the digital advertising campaign takes place, typically within a one-month period.</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Other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revenue includes revenue from concerts, promotional events, tower rent and other miscellaneous items. Revenue is generally recognized when the event is completed, as the promotional events are completed or as each performance obligation is satisfied.</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Revenues from contracts with customers comprised the following for three and nine months ended September 30, 2023 and 2022:</w:t>
      </w:r>
    </w:p>
    <w:tbl>
      <w:tblPr>
        <w:tblW w:w="8329" w:type="dxa"/>
        <w:jc w:val="left"/>
        <w:tblInd w:w="0" w:type="dxa"/>
        <w:tblLayout w:type="fixed"/>
        <w:tblCellMar>
          <w:top w:w="0" w:type="dxa"/>
          <w:left w:w="0" w:type="dxa"/>
          <w:bottom w:w="0" w:type="dxa"/>
          <w:right w:w="0" w:type="dxa"/>
        </w:tblCellMar>
      </w:tblPr>
      <w:tblGrid>
        <w:gridCol w:w="3046"/>
        <w:gridCol w:w="326"/>
        <w:gridCol w:w="211"/>
        <w:gridCol w:w="676"/>
        <w:gridCol w:w="326"/>
        <w:gridCol w:w="211"/>
        <w:gridCol w:w="676"/>
        <w:gridCol w:w="326"/>
        <w:gridCol w:w="211"/>
        <w:gridCol w:w="676"/>
        <w:gridCol w:w="326"/>
        <w:gridCol w:w="211"/>
        <w:gridCol w:w="676"/>
        <w:gridCol w:w="431"/>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34210" cy="175260"/>
                      <wp:effectExtent l="0" t="0" r="0" b="0"/>
                      <wp:wrapNone/>
                      <wp:docPr id="95" name="Frame95"/>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73685" cy="175260"/>
                      <wp:effectExtent l="0" t="0" r="0" b="0"/>
                      <wp:wrapNone/>
                      <wp:docPr id="108" name="Frame108"/>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431" w:type="dxa"/>
            <w:tcBorders/>
            <w:vAlign w:val="center"/>
          </w:tcPr>
          <w:p>
            <w:pPr>
              <w:pStyle w:val="TableContents"/>
              <w:bidi w:val="0"/>
              <w:spacing w:before="0" w:after="1"/>
              <w:ind w:left="0" w:right="0" w:hanging="0"/>
              <w:jc w:val="left"/>
              <w:rPr/>
            </w:pPr>
            <w:r>
              <w:rPr/>
              <w:t>     </w:t>
            </w:r>
          </w:p>
        </w:tc>
      </w:tr>
      <w:tr>
        <w:trPr/>
        <w:tc>
          <w:tcPr>
            <w:tcW w:w="832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Types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Broadcast Advertising Revenue,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72,523</w:t>
            </w:r>
          </w:p>
        </w:tc>
        <w:tc>
          <w:tcPr>
            <w:tcW w:w="43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Advertising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6,124</w:t>
            </w:r>
          </w:p>
        </w:tc>
        <w:tc>
          <w:tcPr>
            <w:tcW w:w="431" w:type="dxa"/>
            <w:tcBorders/>
            <w:shd w:fill="CCEEFF" w:val="clear"/>
            <w:vAlign w:val="center"/>
          </w:tcPr>
          <w:p>
            <w:pPr>
              <w:pStyle w:val="TableContents"/>
              <w:bidi w:val="0"/>
              <w:spacing w:before="0" w:after="1"/>
              <w:ind w:left="0" w:right="0" w:hanging="0"/>
              <w:jc w:val="left"/>
              <w:rPr/>
            </w:pPr>
            <w:r>
              <w:rPr/>
              <w:t>​</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6,121</w:t>
            </w:r>
          </w:p>
        </w:tc>
        <w:tc>
          <w:tcPr>
            <w:tcW w:w="43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84,768</w:t>
            </w:r>
          </w:p>
        </w:tc>
        <w:tc>
          <w:tcPr>
            <w:tcW w:w="43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the majority of our sales contracts are </w:t>
      </w:r>
      <w:r>
        <w:rPr>
          <w:rFonts w:ascii="Times New Roman;Times;serif" w:hAnsi="Times New Roman;Times;serif"/>
          <w:b w:val="false"/>
          <w:i w:val="false"/>
          <w:caps w:val="false"/>
          <w:smallCaps w:val="false"/>
          <w:sz w:val="20"/>
        </w:rPr>
        <w:t>one</w:t>
      </w:r>
      <w:r>
        <w:rPr>
          <w:rFonts w:ascii="Times New Roman;Times;serif" w:hAnsi="Times New Roman;Times;serif"/>
          <w:sz w:val="20"/>
        </w:rPr>
        <w:t> year or less, we have utilized the optional exemption under ASC 606-10-50-14 and will not disclose information about the remaining performance obligations for sales contracts which have original expected durations of one year or less.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36" w:name="_Hlk86664124"/>
      <w:bookmarkEnd w:id="636"/>
      <w:r>
        <w:rPr>
          <w:rFonts w:ascii="Times New Roman;Times;serif" w:hAnsi="Times New Roman;Times;serif"/>
          <w:b/>
          <w:sz w:val="20"/>
        </w:rPr>
        <w:t>4. Broadcast Licenses, Goodwill and Other Intangible Assets</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 (2) 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pStyle w:val="TextBody"/>
        <w:bidi w:val="0"/>
        <w:spacing w:before="0" w:after="0"/>
        <w:ind w:left="1" w:right="0" w:firstLine="1"/>
        <w:jc w:val="left"/>
        <w:rPr/>
      </w:pPr>
      <w:r>
        <w:rPr/>
        <w:t>​</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pStyle w:val="TextBody"/>
        <w:bidi w:val="0"/>
        <w:spacing w:before="0" w:after="0"/>
        <w:ind w:left="1" w:right="0" w:firstLine="1"/>
        <w:jc w:val="left"/>
        <w:rPr/>
      </w:pPr>
      <w:r>
        <w:rPr/>
        <w:t>​</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 xml:space="preserve">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 </w:t>
      </w:r>
    </w:p>
    <w:p>
      <w:pPr>
        <w:pStyle w:val="TextBody"/>
        <w:bidi w:val="0"/>
        <w:spacing w:before="0" w:after="0"/>
        <w:ind w:left="1" w:right="0" w:firstLine="1"/>
        <w:jc w:val="left"/>
        <w:rPr/>
      </w:pPr>
      <w:r>
        <w:rPr/>
        <w:t>​</w:t>
      </w:r>
    </w:p>
    <w:p>
      <w:pPr>
        <w:pStyle w:val="TextBody"/>
        <w:bidi w:val="0"/>
        <w:spacing w:before="0" w:after="0"/>
        <w:ind w:left="1" w:right="0" w:hanging="0"/>
        <w:jc w:val="left"/>
        <w:rPr>
          <w:rFonts w:ascii="Times New Roman;Times;serif" w:hAnsi="Times New Roman;Times;serif"/>
          <w:sz w:val="20"/>
        </w:rPr>
      </w:pPr>
      <w:r>
        <w:rPr>
          <w:rFonts w:ascii="Times New Roman;Times;serif" w:hAnsi="Times New Roman;Times;serif"/>
          <w:sz w:val="20"/>
        </w:rPr>
        <w:t xml:space="preserve">The Company considered the current and expected future economic and market conditions, and other potential indicators of impairment and determined a triggering event had not occurred which would necessitate any interim impairment tests during the nine months ended September 30, 2023. We will continue to monitor changes in economic and market conditions, and if any event or circumstances indicate a triggering event has occurred, we will perform an interim impairment test of our intangible assets at the appropriate time. </w:t>
      </w:r>
    </w:p>
    <w:p>
      <w:pPr>
        <w:pStyle w:val="TextBody"/>
        <w:bidi w:val="0"/>
        <w:spacing w:before="0" w:after="0"/>
        <w:ind w:left="1" w:right="0" w:firstLine="1"/>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Intangible assets that have finite lives are amortized over their useful lives using the straight-line method. Favorable lease agreements are amortized over the lives of the leases ranging from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twenty-six years. Other intangibles are amortized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fifteen years. Customer relationships are amortized over three years.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Common Stock and Treasury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founder and former Chairman, President and CEO, Edward K. Christian, passed away on August 19, 2022. As of the date of his passing, Mr. Christian, who was also our principal shareholder, held approximately 65% of the combined voting power of the Company’s Common Stock based on Class B Common Stock (together with the Class A Common Stock, collectively, the “Common Stock”) generally being entitled to ten votes per share. As a result, Mr. Christian was generally able to control the vote on most matters submitted to the vote of stockholders and, therefore, was able to direct our management and policies, except with respect to (i) the election of two Class A directors, (ii) those matters where the shares of our Class B Common Stock are only entitled to one vote per share, and (iii) other matters requiring a class vote under the provisions of our certificate of incorporation, bylaws or applicable law. Mr. Christian’s passing resulted in the conversion of his Class B shares into Class A shares that were transferred to an estate planning trust that now owns approximately 16% of the common stock outstanding. As a result, we no longer have any shares of Class B Common Stock issued or outstanding.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 xml:space="preserve"> Shareholders are entitled to receive such dividends as may be declared by our Board of Directors out of funds legally available for such purpose. However, no dividend may be declared or </w:t>
      </w:r>
      <w:r>
        <w:rPr>
          <w:rFonts w:ascii="Times New Roman;Times;serif" w:hAnsi="Times New Roman;Times;serif"/>
          <w:b w:val="false"/>
          <w:i w:val="false"/>
          <w:caps w:val="false"/>
          <w:smallCaps w:val="false"/>
          <w:sz w:val="20"/>
        </w:rPr>
        <w:t>paid</w:t>
      </w:r>
      <w:r>
        <w:rPr>
          <w:rFonts w:ascii="Times New Roman;Times;serif" w:hAnsi="Times New Roman;Times;serif"/>
          <w:sz w:val="20"/>
        </w:rPr>
        <w:t xml:space="preserve"> in cash or property on any share of any class of Common Stock unless simultaneously the same dividend is declared or paid on each share of the other class of common stock. In the case of any stock dividend, holders of Class A Common Stock are entitled to receive the same percentage dividend (payable in shares of Class A Common Stock) as the holders of Class B Common Stock receive (payable in shares of Class B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Voting Rights. </w:t>
      </w:r>
      <w:r>
        <w:rPr>
          <w:rFonts w:ascii="Times New Roman;Times;serif" w:hAnsi="Times New Roman;Times;serif"/>
          <w:sz w:val="20"/>
        </w:rPr>
        <w:t> Holders of shares of Common Stock vote as a single class on all matters submitted to a vote of the shareholders, with each share of Class A Common Stock entitled to one vote. Prior to Mr. Christian’s passing, each share of Class B Common Stock was entitled to ten votes, except (i) in the election for directors, (ii) with respect to any “going private” transaction between the Company and the principal stockholder, and (iii) as otherwise provided by law.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Prior to Mr. Christian’s passing, in the election of directors, the holders of Class A Common Stock, voting as a separate class, were entitled to elect twenty-five percent, or two, of our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2022. Currently, our Board of Directors consists of eight members. Holders of Common Stock are not entitled to cumulative voting in the election of directors.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holders of the Common Stock vote as a single class with respect to any proposed “going private” transaction with the principal stockholder or an affiliate of the principal stockholder, with each share of each class of Common Stock entitled to one vote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Liquidation Rights. </w:t>
      </w:r>
      <w:r>
        <w:rPr>
          <w:rFonts w:ascii="Times New Roman;Times;serif" w:hAnsi="Times New Roman;Times;serif"/>
          <w:sz w:val="20"/>
        </w:rPr>
        <w:t> Upon our liquidation, dissolution, or winding-up, the holders of Class A Common Stock are entitled to share ratably in accordance with the number of shares held in all assets available for distribution after payment in full of creditors.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637" w:name="Tc_YnvIqoBOoUGF5p_uF9xTvQ_8_0"/>
      <w:bookmarkStart w:id="638" w:name="Tc_qeN-lFj5KkuRRL_0Tnx6hA_7_0"/>
      <w:bookmarkStart w:id="639" w:name="Tc_mImXZf4NjkawJ3lxvvpEIQ_6_0"/>
      <w:bookmarkStart w:id="640" w:name="Tc_qSQ20UQdFECSkL3vhJV8tA_5_0"/>
      <w:bookmarkStart w:id="641" w:name="Tc_jcZ1Z-PCr0Gz2rHrSmaYdw_4_0"/>
      <w:bookmarkStart w:id="642" w:name="Tc_J_yFeKtVqEifXagszodJvQ_3_2"/>
      <w:bookmarkStart w:id="643" w:name="Tc_loyGD5nYqku-68iRF-J3FQ_2_4"/>
      <w:bookmarkStart w:id="644" w:name="Tc_CCbDIXuRo06x1y7FxeyvZQ_2_2"/>
      <w:bookmarkStart w:id="645" w:name="Tc_aVBqfsT_3UycyxGo_eg27A_1_2"/>
      <w:bookmarkStart w:id="646" w:name="_4d55cc32_5a9e_4db4_a992_1f72ff5a71d4"/>
      <w:bookmarkEnd w:id="637"/>
      <w:bookmarkEnd w:id="638"/>
      <w:bookmarkEnd w:id="639"/>
      <w:bookmarkEnd w:id="640"/>
      <w:bookmarkEnd w:id="641"/>
      <w:bookmarkEnd w:id="642"/>
      <w:bookmarkEnd w:id="643"/>
      <w:bookmarkEnd w:id="644"/>
      <w:bookmarkEnd w:id="645"/>
      <w:bookmarkEnd w:id="646"/>
      <w:r>
        <w:rPr>
          <w:rFonts w:ascii="Times New Roman;Times;serif" w:hAnsi="Times New Roman;Times;serif"/>
          <w:sz w:val="20"/>
        </w:rPr>
        <w:t>The following summarizes information relating to the number of shares of our common stock issued in connection with stock transactions through September 30, 2023:</w:t>
      </w:r>
    </w:p>
    <w:p>
      <w:pPr>
        <w:pStyle w:val="TextBody"/>
        <w:bidi w:val="0"/>
        <w:spacing w:before="0" w:after="200"/>
        <w:ind w:left="0" w:right="0" w:firstLine="360"/>
        <w:jc w:val="left"/>
        <w:rPr/>
      </w:pPr>
      <w:r>
        <w:rPr/>
        <w:t>​</w:t>
      </w:r>
    </w:p>
    <w:tbl>
      <w:tblPr>
        <w:tblW w:w="4828" w:type="dxa"/>
        <w:jc w:val="left"/>
        <w:tblInd w:w="0" w:type="dxa"/>
        <w:tblLayout w:type="fixed"/>
        <w:tblCellMar>
          <w:top w:w="0" w:type="dxa"/>
          <w:left w:w="0" w:type="dxa"/>
          <w:bottom w:w="0" w:type="dxa"/>
          <w:right w:w="0" w:type="dxa"/>
        </w:tblCellMar>
      </w:tblPr>
      <w:tblGrid>
        <w:gridCol w:w="2491"/>
        <w:gridCol w:w="326"/>
        <w:gridCol w:w="803"/>
        <w:gridCol w:w="355"/>
        <w:gridCol w:w="853"/>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81785" cy="175260"/>
                      <wp:effectExtent l="0" t="0" r="0" b="0"/>
                      <wp:wrapNone/>
                      <wp:docPr id="109" name="Frame10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9905" cy="175260"/>
                      <wp:effectExtent l="0" t="0" r="0" b="0"/>
                      <wp:wrapNone/>
                      <wp:docPr id="111" name="Frame111"/>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5425" cy="175260"/>
                      <wp:effectExtent l="0" t="0" r="0" b="0"/>
                      <wp:wrapNone/>
                      <wp:docPr id="112" name="Frame11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41655" cy="175260"/>
                      <wp:effectExtent l="0" t="0" r="0" b="0"/>
                      <wp:wrapNone/>
                      <wp:docPr id="113" name="Frame113"/>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 Issued</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55" w:type="dxa"/>
            <w:tcBorders/>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B</w:t>
            </w:r>
          </w:p>
        </w:tc>
      </w:tr>
      <w:tr>
        <w:trPr/>
        <w:tc>
          <w:tcPr>
            <w:tcW w:w="4828"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in thousands)</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6,835</w:t>
            </w:r>
          </w:p>
        </w:tc>
        <w:tc>
          <w:tcPr>
            <w:tcW w:w="35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shares</w:t>
            </w:r>
          </w:p>
        </w:tc>
        <w:tc>
          <w:tcPr>
            <w:tcW w:w="326"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5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55" w:type="dxa"/>
            <w:tcBorders/>
            <w:shd w:fill="CCEEFF" w:val="clear"/>
            <w:vAlign w:val="center"/>
          </w:tcPr>
          <w:p>
            <w:pPr>
              <w:pStyle w:val="TableContents"/>
              <w:bidi w:val="0"/>
              <w:spacing w:before="0" w:after="1"/>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vAlign w:val="center"/>
          </w:tcPr>
          <w:p>
            <w:pPr>
              <w:pStyle w:val="TableContents"/>
              <w:bidi w:val="0"/>
              <w:spacing w:before="0" w:after="1"/>
              <w:ind w:left="0" w:right="0" w:hanging="0"/>
              <w:jc w:val="left"/>
              <w:rPr/>
            </w:pPr>
            <w:r>
              <w:rPr/>
              <w:t> </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8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shd w:fill="CCEEFF" w:val="clear"/>
            <w:vAlign w:val="center"/>
          </w:tcPr>
          <w:p>
            <w:pPr>
              <w:pStyle w:val="TableContents"/>
              <w:bidi w:val="0"/>
              <w:spacing w:before="0" w:after="1"/>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a Stock Buy-Back Program to allow us to purchase up to $75.8 million of our Class A Common Stock. As of September 30, 2023, we have remaining authorization of $18.2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We halted the directions for any additional buybacks under our plan in 2020. We continue to monitor economic conditions to determine if and when it makes sense to make additional buybacks under our plan. During the three and nine months ended September 30, 2023 and 2022, no shares were repurchased under the Stock Buy-Back Program.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47" w:name="_60aedf2b_1657_47fa_bb73_555cb5c6a0f1_3"/>
      <w:bookmarkStart w:id="648" w:name="_60aedf2b_1657_47fa_bb73_555cb5c6a0f1_2"/>
      <w:bookmarkStart w:id="649" w:name="_60aedf2b_1657_47fa_bb73_555cb5c6a0f1"/>
      <w:bookmarkStart w:id="650" w:name="_f6a9b308_c046_4b42_83cd_f1cdc2a99776_3"/>
      <w:bookmarkStart w:id="651" w:name="_f6a9b308_c046_4b42_83cd_f1cdc2a99776_2"/>
      <w:bookmarkStart w:id="652" w:name="_f6a9b308_c046_4b42_83cd_f1cdc2a99776"/>
      <w:bookmarkEnd w:id="647"/>
      <w:bookmarkEnd w:id="648"/>
      <w:bookmarkEnd w:id="649"/>
      <w:bookmarkEnd w:id="650"/>
      <w:bookmarkEnd w:id="651"/>
      <w:bookmarkEnd w:id="652"/>
      <w:r>
        <w:rPr>
          <w:rFonts w:ascii="Times New Roman;Times;serif" w:hAnsi="Times New Roman;Times;serif"/>
          <w:b/>
          <w:sz w:val="20"/>
        </w:rPr>
        <w:t>6.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w:t>
      </w:r>
      <w:r>
        <w:rPr>
          <w:rFonts w:ascii="Times New Roman;Times;serif" w:hAnsi="Times New Roman;Times;serif"/>
          <w:b w:val="false"/>
          <w:i w:val="false"/>
          <w:caps w:val="false"/>
          <w:smallCaps w:val="false"/>
          <w:sz w:val="20"/>
        </w:rPr>
        <w:t>renew</w:t>
      </w:r>
      <w:r>
        <w:rPr>
          <w:rFonts w:ascii="Times New Roman;Times;serif" w:hAnsi="Times New Roman;Times;serif"/>
          <w:sz w:val="20"/>
        </w:rPr>
        <w:t>. The exercise of lease renewal options is generally at our discretion. The depreciable lives of ROU assets are limited to the expected lease term. Our lease agreements do not contain any residual value guarantees or material restrictive covenants. As of September 30, 2023, we do not have any non-cancellable operating lease commitments that have not yet commenced.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 ROU assets were $7.0 million and $6.5 million at September 30, 2023 and December 31, 2022 respectively. Lease liabilities were $7.3 million and $6.8 million at September 30, 2023 and December 31, 2022, respectively. During the nine months ended September 30, 2023, we recorded additional ROU assets under operating leases of $1,778,000. Payments on lease liabilities during the three and nine months ended September 30, 2023 and 2022 totaled $470,000, $1,411,000, $466,000, and $1,372,000,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Lease expense includes cost for leases with terms in excess of one year. For the three and nine months ended September 30, 2023 and 2022, our total lease expense was $472,000, $1,389,000, $450,000 and $1,343,000, respectively. Short-term lease costs are </w:t>
      </w:r>
      <w:r>
        <w:rPr>
          <w:rFonts w:ascii="Times New Roman;Times;serif" w:hAnsi="Times New Roman;Times;serif"/>
          <w:i/>
          <w:sz w:val="20"/>
        </w:rPr>
        <w:t>de minimis</w:t>
      </w:r>
      <w:r>
        <w:rPr>
          <w:rFonts w:ascii="Times New Roman;Times;serif" w:hAnsi="Times New Roman;Times;serif"/>
          <w:sz w:val="20"/>
        </w:rPr>
        <w:t xml:space="preserve"> in nature.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653" w:name="_359406fb_4309_4c91_bdd9_3818e779c9ee"/>
      <w:bookmarkStart w:id="654" w:name="_1f1e9ea2_c30e_4c1f_8d02_03b5d2720147"/>
      <w:bookmarkStart w:id="655" w:name="_d05fe63b_f53f_41cd_8426_696a764fa2f5"/>
      <w:bookmarkStart w:id="656" w:name="Tc_ppAKVWrgQUSneC0xF2vSlw_10_2"/>
      <w:bookmarkStart w:id="657" w:name="Tc_Q89UVYwWg0SwsWUIakRoFw_10_0"/>
      <w:bookmarkStart w:id="658" w:name="Tc_lt33Hzc9eE6UuDl66-IA7w_9_0"/>
      <w:bookmarkStart w:id="659" w:name="Tc___ff9QVTekCcisgkLIcsBA_8_0"/>
      <w:bookmarkStart w:id="660" w:name="Tc_13NqIMLy9EesSyczvEBTdw_7_0"/>
      <w:bookmarkStart w:id="661" w:name="Tc_4KQcrvSAZE6SqxtXg_ZdKQ_6_0"/>
      <w:bookmarkStart w:id="662" w:name="Tc_CtWxvNu71ES6budvJo95mw_5_0"/>
      <w:bookmarkStart w:id="663" w:name="Tc_dSbUWj1hsUGAHNqAJpU3TQ_4_0"/>
      <w:bookmarkStart w:id="664" w:name="Tc_MFw-KdIJYk2_sE4YVVLYcg_3_0"/>
      <w:bookmarkStart w:id="665" w:name="Tc_1oBI7DPwWEeBvwknToWlSw_2_2"/>
      <w:bookmarkStart w:id="666" w:name="Tc_njra1O2_i0qngpnwQRFNpw_2_0"/>
      <w:bookmarkStart w:id="667" w:name="Tc_-3WPt0AIiEeowWCpdhnqzA_1_0"/>
      <w:bookmarkStart w:id="668" w:name="_540823d6_3994_4f57_9024_7396ac38fb50"/>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ascii="Times New Roman;Times;serif" w:hAnsi="Times New Roman;Times;serif"/>
          <w:sz w:val="20"/>
        </w:rPr>
        <w:t>We have no financing leases and minimum annual rental commitments under non-cancellable operating leases consisted of the following at September 30, 2023 (in thousands):</w:t>
      </w:r>
    </w:p>
    <w:p>
      <w:pPr>
        <w:pStyle w:val="TextBody"/>
        <w:bidi w:val="0"/>
        <w:spacing w:before="0" w:after="200"/>
        <w:ind w:left="0" w:right="0" w:firstLine="360"/>
        <w:jc w:val="left"/>
        <w:rPr/>
      </w:pPr>
      <w:r>
        <w:rPr/>
        <w:t>​</w:t>
      </w:r>
    </w:p>
    <w:tbl>
      <w:tblPr>
        <w:tblW w:w="4169" w:type="dxa"/>
        <w:jc w:val="left"/>
        <w:tblInd w:w="0" w:type="dxa"/>
        <w:tblLayout w:type="fixed"/>
        <w:tblCellMar>
          <w:top w:w="0" w:type="dxa"/>
          <w:left w:w="0" w:type="dxa"/>
          <w:bottom w:w="0" w:type="dxa"/>
          <w:right w:w="0" w:type="dxa"/>
        </w:tblCellMar>
      </w:tblPr>
      <w:tblGrid>
        <w:gridCol w:w="2956"/>
        <w:gridCol w:w="326"/>
        <w:gridCol w:w="211"/>
        <w:gridCol w:w="67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77060" cy="175260"/>
                      <wp:effectExtent l="0" t="0" r="0" b="0"/>
                      <wp:wrapNone/>
                      <wp:docPr id="114" name="Frame11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 Ending December 31,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2023 </w:t>
            </w:r>
            <w:r>
              <w:rPr>
                <w:rFonts w:ascii="Times New Roman;Times;serif" w:hAnsi="Times New Roman;Times;serif"/>
                <w:i/>
                <w:sz w:val="20"/>
              </w:rPr>
              <w:t>(a)</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lease payments </w:t>
            </w:r>
            <w:r>
              <w:rPr>
                <w:rFonts w:ascii="Times New Roman;Times;serif" w:hAnsi="Times New Roman;Times;serif"/>
                <w:i/>
                <w:sz w:val="20"/>
              </w:rPr>
              <w:t>(b)</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8,761</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Interest </w:t>
            </w:r>
            <w:r>
              <w:rPr>
                <w:rFonts w:ascii="Times New Roman;Times;serif" w:hAnsi="Times New Roman;Times;serif"/>
                <w:i/>
                <w:sz w:val="20"/>
              </w:rPr>
              <w:t>(c)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Present value of lease liabilities </w:t>
            </w:r>
            <w:r>
              <w:rPr>
                <w:rFonts w:ascii="Times New Roman;Times;serif" w:hAnsi="Times New Roman;Times;serif"/>
                <w:i/>
                <w:sz w:val="20"/>
              </w:rPr>
              <w:t>(d)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7,286</w:t>
            </w:r>
          </w:p>
        </w:tc>
      </w:tr>
    </w:tbl>
    <w:p>
      <w:pPr>
        <w:pStyle w:val="TextBody"/>
        <w:bidi w:val="0"/>
        <w:spacing w:before="0" w:after="200"/>
        <w:ind w:left="0" w:right="0" w:hanging="0"/>
        <w:jc w:val="left"/>
        <w:rPr/>
      </w:pPr>
      <w:r>
        <w:rPr/>
        <w:t>​</w:t>
      </w:r>
    </w:p>
    <w:tbl>
      <w:tblPr>
        <w:tblW w:w="6482" w:type="dxa"/>
        <w:jc w:val="left"/>
        <w:tblInd w:w="0" w:type="dxa"/>
        <w:tblLayout w:type="fixed"/>
        <w:tblCellMar>
          <w:top w:w="0" w:type="dxa"/>
          <w:left w:w="0" w:type="dxa"/>
          <w:bottom w:w="0" w:type="dxa"/>
          <w:right w:w="0" w:type="dxa"/>
        </w:tblCellMar>
      </w:tblPr>
      <w:tblGrid>
        <w:gridCol w:w="346"/>
        <w:gridCol w:w="613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613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Remaining payments are for the three-months ending December 31, 2023.</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9889" w:type="dxa"/>
            <w:tcBorders/>
            <w:vAlign w:val="center"/>
          </w:tcPr>
          <w:p>
            <w:pPr>
              <w:pStyle w:val="TableContents"/>
              <w:bidi w:val="0"/>
              <w:spacing w:before="0" w:after="283"/>
              <w:jc w:val="left"/>
              <w:rPr/>
            </w:pPr>
            <w:r>
              <w:rPr>
                <w:rFonts w:ascii="Times New Roman;Times;serif" w:hAnsi="Times New Roman;Times;serif"/>
                <w:b w:val="false"/>
                <w:i/>
                <w:sz w:val="20"/>
              </w:rPr>
              <w:t>Lease payments include options to extend</w:t>
            </w:r>
            <w:r>
              <w:rPr/>
              <w:t xml:space="preserve"> </w:t>
            </w:r>
            <w:r>
              <w:rPr>
                <w:rFonts w:ascii="Times New Roman;Times;serif" w:hAnsi="Times New Roman;Times;serif"/>
                <w:b w:val="false"/>
                <w:i/>
                <w:sz w:val="20"/>
              </w:rPr>
              <w:t>lease terms that are reasonably certain of being exercised. There were no legally binding minimum lease payments for leases signed but not yet commenced at September 30, 2023.</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902"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leases do not provide a readily determinable implicit rate. Therefore, we must estimate our discount rate for such leases to determine the present value of lease payments at the lease commencement date.</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9882" w:type="dxa"/>
            <w:tcBorders/>
            <w:vAlign w:val="center"/>
          </w:tcPr>
          <w:p>
            <w:pPr>
              <w:pStyle w:val="TableContents"/>
              <w:bidi w:val="0"/>
              <w:spacing w:before="0" w:after="283"/>
              <w:jc w:val="left"/>
              <w:rPr/>
            </w:pPr>
            <w:r>
              <w:rPr>
                <w:rFonts w:ascii="Times New Roman;Times;serif" w:hAnsi="Times New Roman;Times;serif"/>
                <w:b w:val="false"/>
                <w:i/>
                <w:sz w:val="20"/>
              </w:rPr>
              <w:t>The weighted average remaining lease term and weighted average discount rate used in calculating our lease liabilities were 6.6</w:t>
            </w:r>
            <w:r>
              <w:rPr/>
              <w:t> </w:t>
            </w:r>
            <w:r>
              <w:rPr>
                <w:rFonts w:ascii="Times New Roman;Times;serif" w:hAnsi="Times New Roman;Times;serif"/>
                <w:b w:val="false"/>
                <w:i/>
                <w:sz w:val="20"/>
              </w:rPr>
              <w:t>years and 5.3%, respectively, at September 30, 2023.</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Acquisitions and Dispositions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Times New Roman;Times;serif" w:hAnsi="Times New Roman;Times;serif"/>
          <w:i/>
          <w:sz w:val="20"/>
        </w:rPr>
        <w:t>Business Combinations</w:t>
      </w:r>
      <w:r>
        <w:rPr>
          <w:rFonts w:ascii="Times New Roman;Times;serif" w:hAnsi="Times New Roman;Times;serif"/>
          <w:sz w:val="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2023 Dispositions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February 28, 2023, we closed on an agreement to sell WPVQ-AM located in our Greenfield, Massachusetts market to Hampden Communications Corp for $2,000. We recorded a $43,000 loss on the sale in our other operating (income) expense, net line item on our Condensed Consolidated Statement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20, 2023, we submitted a request to the FCC to cancel our FCC license for WHMQ-AM located in our Greenfield, Massachusetts market. We recorded a $22,000 loss on the disposal in our other operating (income) expense, net line item on our Condensed Consolidated Statement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pPr>
      <w:bookmarkStart w:id="669" w:name="Tc_RTvuK9ek_U-YDYEM5E7MeA_14_5"/>
      <w:bookmarkStart w:id="670" w:name="Tc_p8Pe8E9RK0mGYPAsFJpJgg_14_2"/>
      <w:bookmarkStart w:id="671" w:name="Tc_3VX_cebiYESJvh5NAzxTyg_14_0"/>
      <w:bookmarkStart w:id="672" w:name="Tc_7SfMXnK_MUieXvcL8imykw_13_0"/>
      <w:bookmarkStart w:id="673" w:name="Tc_7VQccmKcnEWrl63cow5tBA_12_0"/>
      <w:bookmarkStart w:id="674" w:name="Tc_USrwt-1_70yemlapxJahmw_11_0"/>
      <w:bookmarkStart w:id="675" w:name="Tc_9tKmm0guPkSjJWJiH1SVMw_10_0"/>
      <w:bookmarkStart w:id="676" w:name="Tc_VjzsCfbEukKLEVKaBYcEpA_9_0"/>
      <w:bookmarkStart w:id="677" w:name="Tc_c8If4Qv5D0q7WcGE-3DNHA_8_0"/>
      <w:bookmarkStart w:id="678" w:name="Tc_Sf7F-aXc6U2oN6GaRXnTBA_7_0"/>
      <w:bookmarkStart w:id="679" w:name="Tc_a7QWyl_qmUeR6Y2B33pgQQ_6_0"/>
      <w:bookmarkStart w:id="680" w:name="Tc_qIDE-lIgx02HIcFc8BJoIA_5_5"/>
      <w:bookmarkStart w:id="681" w:name="Tc_A2pO14ADmUapkq3QJ8QH4A_5_2"/>
      <w:bookmarkStart w:id="682" w:name="Tc_WM8RLY4yMEmRf_d9hZIboQ_5_0"/>
      <w:bookmarkStart w:id="683" w:name="Tc_WXD7F9e0OUuMLQA1uN70_Q_4_0"/>
      <w:bookmarkStart w:id="684" w:name="Tc_fLze0Gc_nkSJ_v2YmSeBUw_3_2"/>
      <w:bookmarkStart w:id="685" w:name="Tc_dFHVhGpW-0Kla4iXCRf50w_2_5"/>
      <w:bookmarkStart w:id="686" w:name="Tc_3HyjaJrtKkals87C5_zssA_2_2"/>
      <w:bookmarkStart w:id="687" w:name="Tc_OcT9qDHQ2UO3OStT2TV1dw_1_2"/>
      <w:bookmarkStart w:id="688" w:name="_9e4e5eb0_7800_420b_80a0_7034090a102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2022 Acquisitions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Condensed Consolidated Balance Sheet of 2023 and 2022 Acquisitions: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following unaudited condensed balance sheets represent the estimated fair value assigned to the related assets and liabilities of the 2023 and 2022 acquisitions.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 of 2023 and 2022 Acquisitions</w:t>
      </w:r>
    </w:p>
    <w:p>
      <w:pPr>
        <w:pStyle w:val="TextBody"/>
        <w:bidi w:val="0"/>
        <w:spacing w:before="0" w:after="0"/>
        <w:ind w:left="0" w:right="0" w:hanging="0"/>
        <w:jc w:val="left"/>
        <w:rPr/>
      </w:pPr>
      <w:r>
        <w:rPr/>
        <w:t>​</w:t>
      </w:r>
    </w:p>
    <w:tbl>
      <w:tblPr>
        <w:tblW w:w="3957" w:type="dxa"/>
        <w:jc w:val="left"/>
        <w:tblInd w:w="0" w:type="dxa"/>
        <w:tblLayout w:type="fixed"/>
        <w:tblCellMar>
          <w:top w:w="0" w:type="dxa"/>
          <w:left w:w="0" w:type="dxa"/>
          <w:bottom w:w="0" w:type="dxa"/>
          <w:right w:w="0" w:type="dxa"/>
        </w:tblCellMar>
      </w:tblPr>
      <w:tblGrid>
        <w:gridCol w:w="2116"/>
        <w:gridCol w:w="326"/>
        <w:gridCol w:w="211"/>
        <w:gridCol w:w="346"/>
        <w:gridCol w:w="326"/>
        <w:gridCol w:w="211"/>
        <w:gridCol w:w="42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43660" cy="175260"/>
                      <wp:effectExtent l="0" t="0" r="0" b="0"/>
                      <wp:wrapNone/>
                      <wp:docPr id="118" name="Frame11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7335" cy="175260"/>
                      <wp:effectExtent l="0" t="0" r="0" b="0"/>
                      <wp:wrapNone/>
                      <wp:docPr id="124" name="Frame1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Acquisitions in</w: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9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Broadcast licenses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8. 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 income tax expense of $1,110,000 was recorded for the three months ended September 30, 2023 compared to $1,295,000 for the three months ended September 30, 2022. The effective tax rate was approximately 28.9% for the three months ended September 30, 2023 compared to 108.7% for the three months ended September 30, 2022. An income tax expense of $2,710,000 was recorded for the nine months ended September 30, 2023 compared to $3,350,000 for the nine months ended September 30, 2022. The effective tax rate was approximately 27.9% for the nine months ended September 30, 2023 compared to 40.5% for the nine months ended September 30, 2022. Income tax provisions for interim (quarterly) periods are based on estimated annual income tax rates and are adjusted for the effects of significant, infrequent or unusual items (i.e. discrete items) occurring during the interim period. The prior year quarter rate was impacted by $3.8 million in expenses related to the compensation of our former CEO upon his death, in accordance with his employment agreement, that were permanent differences between our book and taxable income.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9. Stock-Based Compensation</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2005 Incentive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 (i) extended the date for making awards to September 6, 2023 and (ii) increased the number of authorized shares under the Plan by 90,000 shares of Class B Common Stock. The Second Restated 2005 Plan allowed for the granting of restricted stock, restricted stock units, incentive stock options, nonqualified stock options, and performance awards to eligible employees and non-employee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number of shares of Common Stock that was allowed to be issued under the Second Restated 2005 Plan was not to exceed 370,000 shares of Class B Common Stock, or 990,000 shares of Class A Common Stock of which up to 620,000 shares of Class A Common Stock were to be issued pursuant to incentive stock options and 370,000 shares of Class A Common Stock were to be issued upon conversion of Class B Common Stock. Awards denominated in Class A Common Stock were to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were to be for terms not exceeding ten (10) years from the date of grant and could not be exercised at a price which was less than 100% of the fair market value of shares at the date of grant.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2023 Incentive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8, 2023 our shareholders approved the 2023 Incentive Compensation Plan (the “2023 Plan”). The 2023 Plan replaces the Second Restated 2005 Plan. The Board of Directors does not intend to make any further awards under the Second Restated 2005 Plan. However, each outstanding award under the Second Restated 2005 Plan will remain outstanding under the Second Restated 2005 Plan and will continue to be governed under its terms and any applicable award agreement. The 2023 Plan allows for the granting of restricted stock, restricted stock units, incentive stock options, nonqualified stock options, and performance awards, including cash to eligible employees and non-employee directors of the Company and its subsidiaries. The number of shares of Common Stock that may be issued under the 2023 Plan may not exceed 600,000 shares of Class A Common Stock. The Form of Restricted Stock Option Agreements for Employees and Directors under the 2023 Plan have been filed as exhibits to this Form 10-Q are incorporated by reference.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stock options granted were fully vested and expensed at December 31, 2012; therefore, there was no compensation expense related to stock options for the three and nine months ended September 30, 2023 and 2022,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stock options granted during 2023 or 2022 and there were no stock options outstanding as of September 30, 2023. All outstanding stock options were exercised in 2017.</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pPr>
      <w:bookmarkStart w:id="689" w:name="Tc_snicTDEPckOse4fHxTMS2A_9_4"/>
      <w:bookmarkStart w:id="690" w:name="Tc_7S2aUmpbZEO0dNx5wC9aSA_9_0"/>
      <w:bookmarkStart w:id="691" w:name="Tc_ZhOLguCrE0aPF6sCDCPOPQ_8_0"/>
      <w:bookmarkStart w:id="692" w:name="Tc_jBrd150wu0CPhtJB9z1tmg_7_0"/>
      <w:bookmarkStart w:id="693" w:name="Tc_lsFKjP7Nn0Sh7X1Uq3oetg_6_4"/>
      <w:bookmarkStart w:id="694" w:name="Tc_MMBJepluU0WN2EK4BgUFrg_6_0"/>
      <w:bookmarkStart w:id="695" w:name="Tc_Ic218mKdfUO2NHfmoPw5Rg_5_4"/>
      <w:bookmarkStart w:id="696" w:name="Tc_gIM-ipLKE0uy9lZtJ5WS5w_5_2"/>
      <w:bookmarkStart w:id="697" w:name="Tc_2-jnaWbEP0C7c8lP6w6GUQ_4_4"/>
      <w:bookmarkStart w:id="698" w:name="Tc_ahXvZIrBxk2oE00CaiOTuQ_3_4"/>
      <w:bookmarkStart w:id="699" w:name="Tc_w135nPbIvk6dOCRS4aJogQ_2_4"/>
      <w:bookmarkStart w:id="700" w:name="Tc_aOPCrP6HHUKw2-9bIw5Pqw_1_4"/>
      <w:bookmarkStart w:id="701" w:name="_007d0668_5d96_45aa_b944_bc9dbf0074c1"/>
      <w:bookmarkEnd w:id="689"/>
      <w:bookmarkEnd w:id="690"/>
      <w:bookmarkEnd w:id="691"/>
      <w:bookmarkEnd w:id="692"/>
      <w:bookmarkEnd w:id="693"/>
      <w:bookmarkEnd w:id="694"/>
      <w:bookmarkEnd w:id="695"/>
      <w:bookmarkEnd w:id="696"/>
      <w:bookmarkEnd w:id="697"/>
      <w:bookmarkEnd w:id="698"/>
      <w:bookmarkEnd w:id="699"/>
      <w:bookmarkEnd w:id="700"/>
      <w:bookmarkEnd w:id="701"/>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summarizes the restricted stock transactions for the three and nine months ended September 30, 2023:</w:t>
      </w:r>
    </w:p>
    <w:p>
      <w:pPr>
        <w:pStyle w:val="TextBody"/>
        <w:bidi w:val="0"/>
        <w:spacing w:before="0" w:after="200"/>
        <w:ind w:left="0" w:right="0" w:firstLine="360"/>
        <w:jc w:val="left"/>
        <w:rPr/>
      </w:pPr>
      <w:r>
        <w:rPr/>
        <w:t>​</w:t>
      </w:r>
    </w:p>
    <w:tbl>
      <w:tblPr>
        <w:tblW w:w="6700" w:type="dxa"/>
        <w:jc w:val="left"/>
        <w:tblInd w:w="0" w:type="dxa"/>
        <w:tblLayout w:type="fixed"/>
        <w:tblCellMar>
          <w:top w:w="0" w:type="dxa"/>
          <w:left w:w="0" w:type="dxa"/>
          <w:bottom w:w="0" w:type="dxa"/>
          <w:right w:w="0" w:type="dxa"/>
        </w:tblCellMar>
      </w:tblPr>
      <w:tblGrid>
        <w:gridCol w:w="4276"/>
        <w:gridCol w:w="326"/>
        <w:gridCol w:w="676"/>
        <w:gridCol w:w="326"/>
        <w:gridCol w:w="260"/>
        <w:gridCol w:w="83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715260" cy="175260"/>
                      <wp:effectExtent l="0" t="0" r="0" b="0"/>
                      <wp:wrapNone/>
                      <wp:docPr id="125" name="Frame125"/>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5100" cy="175260"/>
                      <wp:effectExtent l="0" t="0" r="0" b="0"/>
                      <wp:wrapNone/>
                      <wp:docPr id="129" name="Frame12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0860" cy="175260"/>
                      <wp:effectExtent l="0" t="0" r="0" b="0"/>
                      <wp:wrapNone/>
                      <wp:docPr id="130" name="Frame13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4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4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4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4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Value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and outstanding at September 30, 2023</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27.15</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and nine months ended September 30, 2023 and 2022, we had $250,000, $743,000, $1,049,000 and $1,726,000, respectively, of total compensation expense related to restricted stock-based compensation arrangements. This expense is included in corporate general and administrative expenses in our results of operations. The three and nine months ended September 30, 2022 results were impacted by the immediate vesting of Mr. Christian’s restricted stock upon his passing per this employment agreement of approximately $700,000. The associated tax benefit recognized for the three and nine months ended September 30, 2023 and 2022 was $66,000, $195,000, $41,000 and $115,000, respectively.</w:t>
      </w:r>
    </w:p>
    <w:p>
      <w:pPr>
        <w:pStyle w:val="TextBody"/>
        <w:bidi w:val="0"/>
        <w:spacing w:before="0" w:after="200"/>
        <w:ind w:left="0" w:right="0" w:firstLine="36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Long-Term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no debt outstanding at December 31, 2022 or September 30, 2023. </w:t>
      </w:r>
    </w:p>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(5.31% at September 30,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September 30, 2023) which, among other things, require us to maintain specified financial ratios and impose certain limitations on us with respect to investments, additional indebtedness, dividends, distributions, guarantees, liens and encumbrances.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approximately $50 million of unused borrowing capacity under the Revolving Credit Facility at both September 30, 2023 and December 31, 2022.</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11. Litigation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Dividends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27, 2023, the Company’s Board of Directors declared a quarterly cash dividend of $0.25 per share on its Class A Common Stock. This dividend, totaling approximately $1,500,000 was paid on November 3, 2023 to shareholders of record on October 11, 2023 and is recorded in dividends payable in our Condensed Consolidated Balance Sheet at September 30,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9, 2023, the Company’s Board of Directors declared a quarterly cash dividend of $0.25 per share on its Class A Common Stock. This dividend, totaling approximately $1,500,000 was paid on June 16, 2023 to shareholders of record on May 22,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special cash dividend of $2.00 per share on its Class A Common Stock. This dividend, totaling approximately $13,600,000, was paid on October 21, 2022 to shareholders of record on October 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$1,200,000, was paid to our transfer agent on June 29, 2022. The dividend was paid by our transfer agent on July 1, 2022 to shareholders of record on June 13,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$970,000, was paid on April 8, 2022 to shareholders of record on March 21, 2022. </w:t>
      </w:r>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13. Other Income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first quarter of 2022, there was fire damage to a transmission line in our Des Moines, Iowa market. The Company’s insurance policy provided coverage for removal and replacement of the transmission line and related equipment. As part of the insurance settlement during the fourth quarter of 2022, the Company received cash proceeds of $445,000, resulting in a gain of $445,000 which is recorded in the other (income) expense, net, in the Company’s Consolidated Statements of Income in our annual report on Form 10-K for the year ended December 31, 2022.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2012, Congress mandated that the FCC conduct an incentive auction of broadcast television spectrum as set forth in the Middle Class Tax Relief and Job Creation Act of 2012 ("Spectrum Act"). The Spectrum Act authorized the FCC to conduct incentive auctions in which licensees could voluntarily relinquish their spectrum usage rights in order to permit the assignment by auction of new initial licenses subject to flexible use service rules, in exchange for a portion of the resulting auction proceeds. The Spectrum Act appropriated $1.75 billion to the TV Broadcaster Relocation Fund ("Reimbursement Fund") for costs reasonably incurred by Full Power and Class A broadcast television licensees reassigned to new channels ("repack"), as well as Multichannel Video Programming Distributors ("MVPDs") that incurred costs related to continuing to carry the signals of reassigned broadcast stations. The 2018 Reimbursement Expansion Act, appropriated $1 billion in additional funds for the Reimbursement Fund and expanded eligible entities for reimbursement to include FM stations affected by the repack. During 2022, the Company received approximately $116,000 in reimbursement for our FM stations, which is recorded in the other (income), expense, net, in the Company’s Consolidated Statements of Income in our annual report on Form 10-K for the year ended December 31, 2022. During the first quarter of 2023, we received approximately $115,000 in reimbursement for our FM stations, which is recorded in other (income), expense, net, in the Company’s Condensed Consolidated Statement of Operations. We do not anticipate receiving any additional reimbursements related to this. </w:t>
      </w:r>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14. Commitments and Contingencies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previously disclosed Mr. Christian passed away on August 19, 2022. As a result of his passing the Company was required to make several payments to his estate as outlined in his employment agreement, as described in our annual report on Form 10-K for the year ended December 31, 2022. In accordance with ASC 712-10-25, </w:t>
      </w:r>
      <w:r>
        <w:rPr>
          <w:rFonts w:ascii="Times New Roman;Times;serif" w:hAnsi="Times New Roman;Times;serif"/>
          <w:i/>
          <w:sz w:val="20"/>
        </w:rPr>
        <w:t>Nonretirement Postemployment Benefits</w:t>
      </w:r>
      <w:r>
        <w:rPr>
          <w:rFonts w:ascii="Times New Roman;Times;serif" w:hAnsi="Times New Roman;Times;serif"/>
          <w:sz w:val="20"/>
        </w:rPr>
        <w:t>, we accrued all necessary expenses as of September 30, 2022. However, under the agreement, the Company will be responsible to pay the estate’s income tax obligation relating to the payout of the life insurance policy. The estimate of the possible loss related to that tax obligation cannot be made at this time due to uncertainties related to the timing of the transfer.</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02" w:name="Item2ManagementsDiscussionandAnalysisofF"/>
      <w:bookmarkStart w:id="703" w:name="_09d55e8a_205f_4936_a5fa_548038a8f79d"/>
      <w:bookmarkEnd w:id="702"/>
      <w:bookmarkEnd w:id="703"/>
      <w:r>
        <w:rPr>
          <w:rFonts w:ascii="Times New Roman;Times;serif" w:hAnsi="Times New Roman;Times;serif"/>
          <w:b/>
          <w:i/>
          <w:sz w:val="20"/>
        </w:rPr>
        <w:t>Item 2. Management’s Discussion and Analysis of Financial Condition and Results of Operations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This report contains forward-looking statements that are based on management’s beliefs, assumptions, current expectations, estimates and projections about the radio broadcasting industry, the economy, and the Company. Words such as “anticipates,” “believes,” “can,” “could,” “endeavors” “expects,” “intends,” “is likely,” “may,” “plans,” “projects,” “seeks,” “will,” “would,”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Future Factors include, among others, adverse changes in interest rates and interest rate relationships; our financial leverage and debt service requirements; dependence on key personnel; dependence on key stations; U.S. national and local economic conditions or an economic recession;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wars in Ukraine and Middle East, the effects of widespread outbreak of illness or disease, inflation; increased energy costs; and risk factors described in our annual report on Form 10-K for the year ended December 31, 2022 or in this Report. These are representative of the Future Factors that could cause a difference between an ultimate actual outcome and a forward-looking statement.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2022. The following discussion is presented on a consolidated basis.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00"/>
        <w:ind w:left="0" w:right="0" w:firstLine="1"/>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33 AM radio stations and 80 metro signals.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our corporate general and administrative expense to decrease from 2022 significantly because of approximately $3.8 million in expenses incurred related to the passing of our former CEO, Edward Christian and payments required as a result of his death. This reduction will be partially offset, however, by an increase in directors’ fees of $312,000 and by investments we have made in additional corporate personnel directly attributable to sales and training initiatives.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Radio Stations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radio stations’ primary source of revenue is from the sale of advertising for broadcast on our stations. Depending on the format of a particular radio station, there are a predetermined number of advertisements available to be broadcast each hour.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Most advertising contracts are short-term and generally run for a few weeks only. The majority of our revenue is generated from local advertising, which is sold primarily by each radio market’s sales staff. For the nine months ended September 30, 2023 and 2022, approximately 90% and 90%, respectively, of our radio stations’ gross revenue was from local advertising. To generate national advertising sales, we engage independent advertising sales representative firms that specialize in national sales for each of our broadcast markets.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revenue varies throughout the year. Advertising expenditures, our primary source of revenue, generally have been lowest during the winter months, which include the first quarter of each year. Furthermore, we expect political revenue in 2023 to decrease from 2022 levels as a result of fewer elections at the national, state and local levels.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net operating revenue, station operating expense and operating income varies from market to market based upon each market’s rank or size which is based upon population and the available radio advertising revenue in that particular market.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primary operating expenses involved in owning and operating radio stations are employee salaries, sales commissions, sales survey and ratings expenses, health insurance expense, programming expenses including music licensing fees, depreciation, and advertising and promotion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continuing to expand our digital initiative to provide a seamless experience across multiple platforms. Our goal is to allow our listeners to connect with our brands on demand, wherever, however and whenever they choose. We continue to create and expand opportunities for revenue generation through targeted digital advertising, online community news, entertainment and events and an array of digital services that include online promotions, mobile messaging, and email marketing.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2023 and 2022 and the years ended December 31, 2022 and 2021, our Columbus, Ohio; Des Moines, Iowa; Milwaukee, Wisconsin; Norfolk, Virginia; and Portland, Maine markets, when combined, represented approximately 36%, 38%, 38% and 39%, respectively, of our consolidated net operating revenue. An adverse change in any of these radio markets or our relative market position in those markets could have a significant impact on our operating results as a whole.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describes the percentage of our consolidated net operating revenue represented by each of these markets:</w:t>
      </w:r>
    </w:p>
    <w:tbl>
      <w:tblPr>
        <w:tblW w:w="8142" w:type="dxa"/>
        <w:jc w:val="left"/>
        <w:tblInd w:w="0" w:type="dxa"/>
        <w:tblLayout w:type="fixed"/>
        <w:tblCellMar>
          <w:top w:w="0" w:type="dxa"/>
          <w:left w:w="0" w:type="dxa"/>
          <w:bottom w:w="0" w:type="dxa"/>
          <w:right w:w="0" w:type="dxa"/>
        </w:tblCellMar>
      </w:tblPr>
      <w:tblGrid>
        <w:gridCol w:w="1981"/>
        <w:gridCol w:w="326"/>
        <w:gridCol w:w="899"/>
        <w:gridCol w:w="617"/>
        <w:gridCol w:w="900"/>
        <w:gridCol w:w="361"/>
        <w:gridCol w:w="899"/>
        <w:gridCol w:w="617"/>
        <w:gridCol w:w="900"/>
        <w:gridCol w:w="271"/>
        <w:gridCol w:w="3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57935" cy="175260"/>
                      <wp:effectExtent l="0" t="0" r="0" b="0"/>
                      <wp:wrapNone/>
                      <wp:docPr id="131" name="Frame13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0865" cy="175260"/>
                      <wp:effectExtent l="0" t="0" r="0" b="0"/>
                      <wp:wrapNone/>
                      <wp:docPr id="133" name="Frame13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91795" cy="175260"/>
                      <wp:effectExtent l="0" t="0" r="0" b="0"/>
                      <wp:wrapNone/>
                      <wp:docPr id="134" name="Frame134"/>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1500" cy="175260"/>
                      <wp:effectExtent l="0" t="0" r="0" b="0"/>
                      <wp:wrapNone/>
                      <wp:docPr id="135" name="Frame13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136"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0865" cy="175260"/>
                      <wp:effectExtent l="0" t="0" r="0" b="0"/>
                      <wp:wrapNone/>
                      <wp:docPr id="137" name="Frame13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91795" cy="175260"/>
                      <wp:effectExtent l="0" t="0" r="0" b="0"/>
                      <wp:wrapNone/>
                      <wp:docPr id="138" name="Frame138"/>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71500" cy="175260"/>
                      <wp:effectExtent l="0" t="0" r="0" b="0"/>
                      <wp:wrapNone/>
                      <wp:docPr id="139" name="Frame13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2085" cy="175260"/>
                      <wp:effectExtent l="0" t="0" r="0" b="0"/>
                      <wp:wrapNone/>
                      <wp:docPr id="140" name="Frame14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5585" cy="175260"/>
                      <wp:effectExtent l="0" t="0" r="0" b="0"/>
                      <wp:wrapNone/>
                      <wp:docPr id="141" name="Frame14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 for</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Nine Months Ended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17"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17"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2023 and 2022 and the years ended December 31, 2022 and 2021, the radio stations in our five largest markets, when combined, represented approximately 40%, 44%, 44% and 43%, respectively, of our consolidated station operating income. The following table describes the percentage of our consolidated station operating income represented by each of these markets:</w:t>
      </w:r>
    </w:p>
    <w:tbl>
      <w:tblPr>
        <w:tblW w:w="8396" w:type="dxa"/>
        <w:jc w:val="left"/>
        <w:tblInd w:w="0" w:type="dxa"/>
        <w:tblLayout w:type="fixed"/>
        <w:tblCellMar>
          <w:top w:w="0" w:type="dxa"/>
          <w:left w:w="0" w:type="dxa"/>
          <w:bottom w:w="0" w:type="dxa"/>
          <w:right w:w="0" w:type="dxa"/>
        </w:tblCellMar>
      </w:tblPr>
      <w:tblGrid>
        <w:gridCol w:w="1981"/>
        <w:gridCol w:w="326"/>
        <w:gridCol w:w="954"/>
        <w:gridCol w:w="655"/>
        <w:gridCol w:w="957"/>
        <w:gridCol w:w="361"/>
        <w:gridCol w:w="938"/>
        <w:gridCol w:w="643"/>
        <w:gridCol w:w="939"/>
        <w:gridCol w:w="271"/>
        <w:gridCol w:w="3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57935" cy="175260"/>
                      <wp:effectExtent l="0" t="0" r="0" b="0"/>
                      <wp:wrapNone/>
                      <wp:docPr id="142" name="Frame14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05790" cy="175260"/>
                      <wp:effectExtent l="0" t="0" r="0" b="0"/>
                      <wp:wrapNone/>
                      <wp:docPr id="144" name="Frame144"/>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15925" cy="175260"/>
                      <wp:effectExtent l="0" t="0" r="0" b="0"/>
                      <wp:wrapNone/>
                      <wp:docPr id="145" name="Frame145"/>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07695" cy="175260"/>
                      <wp:effectExtent l="0" t="0" r="0" b="0"/>
                      <wp:wrapNone/>
                      <wp:docPr id="146" name="Frame14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9235" cy="175260"/>
                      <wp:effectExtent l="0" t="0" r="0" b="0"/>
                      <wp:wrapNone/>
                      <wp:docPr id="147" name="Frame1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5630" cy="175260"/>
                      <wp:effectExtent l="0" t="0" r="0" b="0"/>
                      <wp:wrapNone/>
                      <wp:docPr id="148" name="Frame148"/>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08305" cy="175260"/>
                      <wp:effectExtent l="0" t="0" r="0" b="0"/>
                      <wp:wrapNone/>
                      <wp:docPr id="149" name="Frame149"/>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6265" cy="175260"/>
                      <wp:effectExtent l="0" t="0" r="0" b="0"/>
                      <wp:wrapNone/>
                      <wp:docPr id="150" name="Frame15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2085" cy="175260"/>
                      <wp:effectExtent l="0" t="0" r="0" b="0"/>
                      <wp:wrapNone/>
                      <wp:docPr id="151" name="Frame1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5585" cy="175260"/>
                      <wp:effectExtent l="0" t="0" r="0" b="0"/>
                      <wp:wrapNone/>
                      <wp:docPr id="152" name="Frame15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Nine Months Ended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55" w:type="dxa"/>
            <w:tcBorders/>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43" w:type="dxa"/>
            <w:tcBorders/>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Operating income adjusted for corporate general and administrative expenses, depreciation and amortization, other operating (income) expenses, and impairment of intangible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Three Months Ended September 30, 2023 Compared to Three Months Ended September 30, 2022</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September 30, 2023 and 2022.</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Consolidated Results of Operations</w:t>
      </w:r>
    </w:p>
    <w:tbl>
      <w:tblPr>
        <w:tblW w:w="8423" w:type="dxa"/>
        <w:jc w:val="left"/>
        <w:tblInd w:w="0" w:type="dxa"/>
        <w:tblLayout w:type="fixed"/>
        <w:tblCellMar>
          <w:top w:w="0" w:type="dxa"/>
          <w:left w:w="0" w:type="dxa"/>
          <w:bottom w:w="0" w:type="dxa"/>
          <w:right w:w="0" w:type="dxa"/>
        </w:tblCellMar>
      </w:tblPr>
      <w:tblGrid>
        <w:gridCol w:w="3211"/>
        <w:gridCol w:w="326"/>
        <w:gridCol w:w="211"/>
        <w:gridCol w:w="676"/>
        <w:gridCol w:w="326"/>
        <w:gridCol w:w="211"/>
        <w:gridCol w:w="676"/>
        <w:gridCol w:w="326"/>
        <w:gridCol w:w="211"/>
        <w:gridCol w:w="691"/>
        <w:gridCol w:w="326"/>
        <w:gridCol w:w="916"/>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38985" cy="175260"/>
                      <wp:effectExtent l="0" t="0" r="0" b="0"/>
                      <wp:wrapNone/>
                      <wp:docPr id="153" name="Frame15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9"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81660" cy="175260"/>
                      <wp:effectExtent l="0" t="0" r="0" b="0"/>
                      <wp:wrapNone/>
                      <wp:docPr id="164" name="Frame16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0660" cy="175260"/>
                      <wp:effectExtent l="0" t="0" r="0" b="0"/>
                      <wp:wrapNone/>
                      <wp:docPr id="165" name="Frame1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84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September 30, 2023, consolidated net operating revenue was $29,149,000 compared with $29,980,000 for the three months ended September 30, 2022, a decrease of $831,000 or 2.8%. We had decreases in gross local revenue of $1,052,000 and gross political revenue of $624,000, partially offset by increases in gross interactive revenue of $696,000 and gross non-spot revenue of $156,000, from the third quarter of 2022. The decrease in gross local revenues was attributable to decreases at our Charleston, South Carolina; Clarksville, Tennessee; Columbus, Ohio; Milwaukee, Wisconsin; and Portland, Maine markets. The gross political revenue decreased due to a decrease in the number of national, state and local elections. The increase in gross interactive revenue is primarily due to an increase in our streaming revenue. The most significant increases in gross non-spot revenue occurred in our Asheville, North Carolina; Charleston, South Carolina; Ithaca, New York; Norfolk, Virginia and Yankton, South Dakota markets.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Station operating expense was $22,760,000 for the three months ended September 30, 2023, compared with $22,295,000 for the three months ended September 30, 2022, an increase of $465,000 or 2.1%. The increase in operating expense was primarily a result of increases in compensation-related expense, healthcare costs, sales rating survey expenses, utility expenses, building maintenance and repairs, and programming rights expenses, of $331,000, $211,000, $107,000, $87,000, $82,000 and $71,000, respectively, partially offset by a decrease in commission expenses of $360,000, from the third quarter of 2022.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had operating income for the three months ended September 30, 2023 of $3,492,000 compared to $1,055,000 for the three months ended September 30, 2022, an increase of $2,437,000. The increase in operating income was the result of a decrease in corporate general and administrative expenses of $3,815,000 partially offset by a decrease in net operating revenue and increase in station operating expense, noted above, and an increase in other operating (income) expense, net of $82,000. In the third quarter of 2022, we recorded a gain on sale of fixed assets of $37,000 compared to a loss on the sale of fixed assets in the third quarter of 2023 of $45,000 in other operating (income) expense, net. The decrease in corporate general and administrative expenses was primarily due to the $3.8 million expense recorded in the third quarter of 2022 related to the employment agreement we had with our founder and former CEO, Mr. Christian, that was required upon his death. Additionally, we had a decrease of $471,000 in compensation-related expense offset by an increase of $156,000 in travel and seminar related expenses, $150,000 in other legal and consulting fees, $104,000 in directors’ fees, and $43,000 in insurance costs.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generated net income of $2,729,000 ($0.45 per share on a fully diluted basis) during the three months ended September 30, 2023, compared to a net loss of $104,000 ( ($0.01 ) per share on a fully diluted basis) for the three months ended September 30, 2022, an increase of $2,833,000. The increase in net income is primarily due to the increase in operating income, described above, an increase in interest income of $257,000 and a decrease in income tax expense of $185,000 partially offset by an increase in interest expense of $12,000 and a decrease in other income of $34,000. The increase in interest income is related to higher rates of return on money market accounts reflected as cash equivalents and from our short-term investment accounts which began in May 2022. The decrease in our income tax expense is due to the permanent difference between book and taxable income related to the compensation paid to our founder and former CEO as described above and in footnote 8 (Income Taxes). The increase in interest expense is due to an increase in interest rates and amortization of bank fees. The decrease in other income is due to minimal other income earned in the third quarter of 2022 versus no other income earned in the third quarter of 2023.</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Nine Months Ended September 30, 2023 Compared to Nine Months Ended September 30, 2022</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nine months ended September 30, 2023 and 2022.</w:t>
      </w:r>
    </w:p>
    <w:tbl>
      <w:tblPr>
        <w:tblW w:w="8438" w:type="dxa"/>
        <w:jc w:val="left"/>
        <w:tblInd w:w="0" w:type="dxa"/>
        <w:tblLayout w:type="fixed"/>
        <w:tblCellMar>
          <w:top w:w="0" w:type="dxa"/>
          <w:left w:w="0" w:type="dxa"/>
          <w:bottom w:w="0" w:type="dxa"/>
          <w:right w:w="0" w:type="dxa"/>
        </w:tblCellMar>
      </w:tblPr>
      <w:tblGrid>
        <w:gridCol w:w="3211"/>
        <w:gridCol w:w="326"/>
        <w:gridCol w:w="211"/>
        <w:gridCol w:w="691"/>
        <w:gridCol w:w="326"/>
        <w:gridCol w:w="211"/>
        <w:gridCol w:w="676"/>
        <w:gridCol w:w="326"/>
        <w:gridCol w:w="211"/>
        <w:gridCol w:w="691"/>
        <w:gridCol w:w="326"/>
        <w:gridCol w:w="916"/>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38985" cy="175260"/>
                      <wp:effectExtent l="0" t="0" r="0" b="0"/>
                      <wp:wrapNone/>
                      <wp:docPr id="166" name="Frame166"/>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8785" cy="175260"/>
                      <wp:effectExtent l="0" t="0" r="0" b="0"/>
                      <wp:wrapNone/>
                      <wp:docPr id="169" name="Frame16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81660" cy="175260"/>
                      <wp:effectExtent l="0" t="0" r="0" b="0"/>
                      <wp:wrapNone/>
                      <wp:docPr id="177" name="Frame17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left"/>
              <w:rPr/>
            </w:pPr>
            <w:r>
              <w:rPr/>
              <w:t> </w:t>
            </w:r>
          </w:p>
        </w:tc>
      </w:tr>
      <w:tr>
        <w:trPr/>
        <w:tc>
          <w:tcPr>
            <w:tcW w:w="843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8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nine months ended September 30, 2023, consolidated net operating revenue was $83,628,000 compared with $84,768,000 for the nine months ended September 30, 2022, a decrease of $1,140,000 or 1.3%. We had decreases in gross local revenue of $2,003,000, gross political revenue of $1,229,000, and gross barter revenue of $92,000 and an increase in agency commissions of $50,000 partially offset by increases in gross interactive revenue of $1,233,000, gross non-spot revenue of $582,000 and gross national revenue of $512,000, from 2022. The decrease in gross local revenues was attributable to decreases at our Charleston, South Carolina; Clarksville, Tennessee; Columbus, Ohio; Des Moines, Iowa; Ithaca, New York; Milwaukee, Wisconsin; Portland, Maine and Springfield, Illinois markets partially offset by increases at our Asheville, North Carolina; Bellingham, Washington; Charlottesville, Virginia and Harrisonburg, Virginia markets. The gross political revenue decreased due to a decrease in the number of national, state and local elections. The decrease in our gross barter revenue is due to minor decreases in the majority of our markets. The increase in agency commissions is due to increases in our national revenue. The increase in gross interactive revenue is primarily due to an increase in our streaming revenue. The most significant increases in gross national revenue occurred in our Charleston, South Carolina; Charlottesville, Virginia; Des Moines, Iowa; Norfolk, Virginia; Ocala, Florida and Springfield, Massachusetts markets. The most significant increases in gross non-spot revenue occurred in our Asheville, North Carolina; Bellingham, Washington; Charleston, South Carolina; Ithaca, New York and Yankton, South Dakota markets.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Station operating expense was $66,870,000 for the nine months ended September 30, 2023, compared with $64,649,000 for the nine months ended September 30, 2022, an increase of $2,221,000 or 3.4%. The increase in operating expense was primarily a result of increases in compensation-related expense, utility expenses, building maintenance and repairs, healthcare costs, sales rating survey expenses, programming rights expense, and music licensing fees, of $1,219,000, $274,000, $273,000, $213,000, $194,000, $184,000, and $89,000, respectively, partially offset by commission expenses of $199,000 for the comparable period of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had operating income for the nine months ended September 30, 2023 of $8,693,000 compared to $8,146,000 for the nine months ended September 30, 2022, an increase of $547,000. The increase in operating income was the result of a decrease in corporate general and administrative expenses of $4,030,000 partially offset by a decrease in net operating revenue and increase in station operating expense, noted above, and an increase in other operating (income) expense, net of $122,000. We recorded a loss on sale of fixed assets of $125,000 in 2023 compared to a loss on the sale of fixed assets in the 2022 of $3,000 in other operating (income) expense, net. The decrease in corporate general and administrative expenses was primarily due to the $3.8 million expense recorded in the third quarter of 2022 related to the employment agreement we had with our founder and former CEO, Mr. Christian, that was required upon his death. Additionally, we had a decrease of $1,219,000 in compensation-related expense partially offset by an increase of $345,000 in other consulting fees, $202,000 in directors’ fees, $145,000 in insurance costs and $32,000 in travel and seminar related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generated net income of $6,999,000 ($1.15 per share on a fully diluted basis) during the nine months ended September 30, 2023, compared to $4,923,000 ($0.82 per share on a fully diluted basis) for the nine months ended September 30, 2022 ended, an increase of $2,076,000. The increase in net income is primarily due to the increase in operating income, described above, an increase in interest income of $840,000, an increase in other income of $83,000 and a decrease in income tax expense of $640,000, partially offset by an increase in interest expense of $34,000. The increase in interest income is related to higher rates of return on money market accounts reflected as cash equivalents and from our short-term investment accounts which began in May 2022. The decrease in our income tax expense is due to the permanent difference between book and taxable income related to the compensation paid to our founder and former CEO as described above and in footnote 8 (Income Taxes). The increase in other income is due to reimbursements from the FCC related to their spectrum auction of $115,000 described in footnote 13 (Other Income) versus the minimal other income earned in 2022. The increase in interest expense is due to an increase in interest rates and amortization of bank fees.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Debt Arrangements and Debt Service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(5.31% at September 30,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June 30, 2023) which, among other things, require us to maintain specified financial ratios and impose certain limitations on us with respect to investments, additional indebtedness, dividends, distributions, guarantees, liens and encumbrances.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no debt outstanding at December 31, 2022 or September 30, 2023.</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approximately $50 million of unused borrowing capacity under the Revolving Credit Facility at both September 30, 2023 and December 31, 2022.</w:t>
      </w:r>
    </w:p>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Sources and Uses of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2023 and 2022, we had net cash flows from operating activities of $13,921,000 and $14,362,000, respectively. We believe that cash flow from operations will be sufficient to meet quarterly debt service requirements for payments of interest and principal under our Credit Facility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March 2013, our board of directors authorized an increase to our Stock Buy-Back Program (the “Buy-Back Program”) to allow us to purchase up to $75.8 million of our Class A Common Stock. From its inception in 1998 through September 30, 2023, we have repurchased 2.2 million shares of our Class A Common Stock for $57.6 million. During the three and nine months ended September 30, 2023, we did not repurchase any shares related to the Buy-Back Program. We halted the directions issued for any additional buybacks under our plan in 2020. We continue to monitor economic conditions to determine if and when it makes sense to make additional buybacks under our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capital expenditures, exclusive of acquisitions, for the nine months ended September 30, 2023 were $3,397,000 ($4,731,000 in 2022). We anticipate capital expenditures in 2023 to be approximately $4.5 million to $5.0 million, which we expect to finance through funds generated from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September 27, 2023, the Company’s Board of Directors declared a quarterly cash dividend of $0.25 per share on its Class A Common Stock. This dividend, totaling approximately $1,500,000 was paid on November 3, 2023 to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shareholders of record on October 11, 2023 and is recorded in dividends payable in our Condensed Consolidated Balance Sheet at September 30,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9, 2023, the Company’s Board of Directors declared a quarterly cash dividend of $0.25 per share on its Class A Common Stock. This dividend, totaling approximately $1,500,000 was paid on June 16, 2023 to shareholders of record on May 22,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a special cash dividend of $2.00 per share on its Class A Common Stock. This dividend, totaling approximately $13,600,000, was paid on October 21, 2022 to shareholders of record on October 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B Common Stock. This dividend, totaling approximately $970,000, was paid on April 8, 2022 to shareholders of record on March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continue to actively seek and explore opportunities for expansion through the acquisitions of additional broadcast properties.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Summary Disclosures About Contractual Obligations and Commercial Commitments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that our contractual cash obligations will be financed through funds generated from operations or additional borrowings under the Credit Facility, or a combination thereof.</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Recent accounting pronouncements are described in Note 2 to the accompanying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04" w:name="Item3QuantitativeandQualitativeDisclosur"/>
      <w:bookmarkStart w:id="705" w:name="_7e55265c_589d_4bc8_9b23_7652a5bcbbcc"/>
      <w:bookmarkEnd w:id="704"/>
      <w:bookmarkEnd w:id="705"/>
      <w:r>
        <w:rPr>
          <w:rFonts w:ascii="Times New Roman;Times;serif" w:hAnsi="Times New Roman;Times;serif"/>
          <w:b/>
          <w:i/>
          <w:sz w:val="20"/>
        </w:rPr>
        <w:t>Item 3. Quantitative and Qualitative Disclosures about Market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2022 for a complete discussion of our market risk. There have been no material changes to the market risk information included in our 2022 annual report on Form 10-K.</w:t>
      </w:r>
    </w:p>
    <w:p>
      <w:pPr>
        <w:pStyle w:val="TextBody"/>
        <w:bidi w:val="0"/>
        <w:spacing w:before="0" w:after="200"/>
        <w:ind w:left="0" w:right="0" w:hanging="0"/>
        <w:jc w:val="left"/>
        <w:rPr>
          <w:rFonts w:ascii="Times New Roman;Times;serif" w:hAnsi="Times New Roman;Times;serif"/>
          <w:b/>
          <w:i/>
          <w:sz w:val="20"/>
        </w:rPr>
      </w:pPr>
      <w:bookmarkStart w:id="706" w:name="Item4ControlsandProcedures_643394"/>
      <w:bookmarkStart w:id="707" w:name="_59b64ef5_d427_400d_9686_2e0dd5f6341d"/>
      <w:bookmarkEnd w:id="706"/>
      <w:bookmarkEnd w:id="707"/>
      <w:r>
        <w:rPr>
          <w:rFonts w:ascii="Times New Roman;Times;serif" w:hAnsi="Times New Roman;Times;serif"/>
          <w:b/>
          <w:i/>
          <w:sz w:val="20"/>
        </w:rPr>
        <w:t>Item 4.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September 30, 2023, that have materially affected, or are reasonably likely to materially affect, the Company’s internal controls over financial reporting.</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708" w:name="PARTIIOTHERINFORMATION_865863"/>
      <w:bookmarkEnd w:id="708"/>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i/>
          <w:sz w:val="20"/>
        </w:rPr>
      </w:pPr>
      <w:bookmarkStart w:id="709" w:name="Item1LegalProceedings_143738"/>
      <w:bookmarkStart w:id="710" w:name="_6031c6fd_a51b_42a9_8fbc_b28f9ccad0c5"/>
      <w:bookmarkEnd w:id="709"/>
      <w:bookmarkEnd w:id="710"/>
      <w:r>
        <w:rPr>
          <w:rFonts w:ascii="Times New Roman;Times;serif" w:hAnsi="Times New Roman;Times;serif"/>
          <w:b/>
          <w:i/>
          <w:sz w:val="20"/>
        </w:rPr>
        <w:t>Item 1. 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rFonts w:ascii="Times New Roman;Times;serif" w:hAnsi="Times New Roman;Times;serif"/>
          <w:b/>
          <w:i/>
          <w:sz w:val="20"/>
        </w:rPr>
      </w:pPr>
      <w:bookmarkStart w:id="711" w:name="Item1ARiskFactors"/>
      <w:bookmarkStart w:id="712" w:name="_83d0cd8d_9923_44a3_96d5_949c3bd91b41"/>
      <w:bookmarkEnd w:id="711"/>
      <w:bookmarkEnd w:id="712"/>
      <w:r>
        <w:rPr>
          <w:rFonts w:ascii="Times New Roman;Times;serif" w:hAnsi="Times New Roman;Times;serif"/>
          <w:b/>
          <w:i/>
          <w:sz w:val="20"/>
        </w:rPr>
        <w:t>Item 1A.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the risk factors previously disclosed in response to Part 1, “Item 1A. Risk Factors,” of our annual report on Form 10-K for the year ended December 31, 2022.</w:t>
      </w:r>
    </w:p>
    <w:p>
      <w:pPr>
        <w:pStyle w:val="TextBody"/>
        <w:bidi w:val="0"/>
        <w:spacing w:before="0" w:after="200"/>
        <w:ind w:left="0" w:right="0" w:hanging="0"/>
        <w:jc w:val="left"/>
        <w:rPr>
          <w:rFonts w:ascii="Times New Roman;Times;serif" w:hAnsi="Times New Roman;Times;serif"/>
          <w:b/>
          <w:i/>
          <w:sz w:val="20"/>
        </w:rPr>
      </w:pPr>
      <w:bookmarkStart w:id="713" w:name="Item2UnregisteredSalesofEquitySecurities"/>
      <w:bookmarkStart w:id="714" w:name="_de888057_9964_4754_9bb2_95728854da14"/>
      <w:bookmarkEnd w:id="713"/>
      <w:bookmarkEnd w:id="714"/>
      <w:r>
        <w:rPr>
          <w:rFonts w:ascii="Times New Roman;Times;serif" w:hAnsi="Times New Roman;Times;serif"/>
          <w:b/>
          <w:i/>
          <w:sz w:val="20"/>
        </w:rPr>
        <w:t>Item 2. Unregistered Sales of Equity Securities, Use of Proceeds, and Purchases of Equity Securities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repurchases of our Class A Common Stock during the three months ended September 30, 2023.</w:t>
      </w:r>
    </w:p>
    <w:tbl>
      <w:tblPr>
        <w:tblW w:w="8808" w:type="dxa"/>
        <w:jc w:val="left"/>
        <w:tblInd w:w="0" w:type="dxa"/>
        <w:tblLayout w:type="fixed"/>
        <w:tblCellMar>
          <w:top w:w="0" w:type="dxa"/>
          <w:left w:w="0" w:type="dxa"/>
          <w:bottom w:w="0" w:type="dxa"/>
          <w:right w:w="0" w:type="dxa"/>
        </w:tblCellMar>
      </w:tblPr>
      <w:tblGrid>
        <w:gridCol w:w="2896"/>
        <w:gridCol w:w="326"/>
        <w:gridCol w:w="991"/>
        <w:gridCol w:w="326"/>
        <w:gridCol w:w="312"/>
        <w:gridCol w:w="514"/>
        <w:gridCol w:w="326"/>
        <w:gridCol w:w="1306"/>
        <w:gridCol w:w="326"/>
        <w:gridCol w:w="231"/>
        <w:gridCol w:w="12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38960" cy="175260"/>
                      <wp:effectExtent l="0" t="0" r="0" b="0"/>
                      <wp:wrapNone/>
                      <wp:docPr id="179" name="Frame179"/>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29285" cy="175260"/>
                      <wp:effectExtent l="0" t="0" r="0" b="0"/>
                      <wp:wrapNone/>
                      <wp:docPr id="181" name="Frame18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98120" cy="175260"/>
                      <wp:effectExtent l="0" t="0" r="0" b="0"/>
                      <wp:wrapNone/>
                      <wp:docPr id="183" name="Frame18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26390" cy="175260"/>
                      <wp:effectExtent l="0" t="0" r="0" b="0"/>
                      <wp:wrapNone/>
                      <wp:docPr id="184" name="Frame18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29310" cy="175260"/>
                      <wp:effectExtent l="0" t="0" r="0" b="0"/>
                      <wp:wrapNone/>
                      <wp:docPr id="186" name="Frame18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6685" cy="175260"/>
                      <wp:effectExtent l="0" t="0" r="0" b="0"/>
                      <wp:wrapNone/>
                      <wp:docPr id="188" name="Frame18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96290" cy="175260"/>
                      <wp:effectExtent l="0" t="0" r="0" b="0"/>
                      <wp:wrapNone/>
                      <wp:docPr id="189" name="Frame189"/>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Part of</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that May Yet be</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Publicly</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Announced</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w:t>
            </w:r>
          </w:p>
        </w:tc>
        <w:tc>
          <w:tcPr>
            <w:tcW w:w="326" w:type="dxa"/>
            <w:tcBorders/>
            <w:vAlign w:val="center"/>
          </w:tcPr>
          <w:p>
            <w:pPr>
              <w:pStyle w:val="TableContents"/>
              <w:bidi w:val="0"/>
              <w:spacing w:before="0" w:after="0"/>
              <w:ind w:left="0" w:right="0" w:hanging="0"/>
              <w:jc w:val="left"/>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Program(1)</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August 31, 2023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18,203,509</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Stock Buy-Back Program which allows us to purchase our Class A Common Stock. In February 2013, our Board of Directors authorized an increase in the amount committed to the Buy-Back Program from $60 million to approximately $75.8 million.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made no unregistered sales of equity securities during the quarter ended September 30, 2023.</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bookmarkStart w:id="715" w:name="Item6Exhibits_526642"/>
      <w:bookmarkStart w:id="716" w:name="_3b9c6342_841e_45a0_b545_a2c2ff46deb8"/>
      <w:bookmarkEnd w:id="715"/>
      <w:bookmarkEnd w:id="716"/>
      <w:r>
        <w:rPr>
          <w:rFonts w:ascii="Times New Roman;Times;serif" w:hAnsi="Times New Roman;Times;serif"/>
          <w:b/>
          <w:i/>
          <w:sz w:val="20"/>
        </w:rPr>
        <w:t>Item 6. Exhibits</w:t>
      </w:r>
    </w:p>
    <w:tbl>
      <w:tblPr>
        <w:tblW w:w="10205" w:type="dxa"/>
        <w:jc w:val="left"/>
        <w:tblInd w:w="0" w:type="dxa"/>
        <w:tblLayout w:type="fixed"/>
        <w:tblCellMar>
          <w:top w:w="0" w:type="dxa"/>
          <w:left w:w="0" w:type="dxa"/>
          <w:bottom w:w="0" w:type="dxa"/>
          <w:right w:w="0" w:type="dxa"/>
        </w:tblCellMar>
      </w:tblPr>
      <w:tblGrid>
        <w:gridCol w:w="666"/>
        <w:gridCol w:w="326"/>
        <w:gridCol w:w="9213"/>
      </w:tblGrid>
      <w:tr>
        <w:trPr/>
        <w:tc>
          <w:tcPr>
            <w:tcW w:w="6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29210"/>
                      <wp:effectExtent l="0" t="0" r="0" b="0"/>
                      <wp:wrapNone/>
                      <wp:docPr id="190" name="Frame19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13" w:type="dxa"/>
            <w:tcBorders/>
            <w:vAlign w:val="center"/>
          </w:tcPr>
          <w:p>
            <w:pPr>
              <w:pStyle w:val="TableContents"/>
              <w:bidi w:val="0"/>
              <w:spacing w:before="0" w:after="283"/>
              <w:ind w:left="0" w:right="0" w:hanging="0"/>
              <w:jc w:val="left"/>
              <w:rPr>
                <w:sz w:val="4"/>
                <w:szCs w:val="4"/>
              </w:rPr>
            </w:pPr>
            <w:r>
              <w:rPr>
                <w:sz w:val="4"/>
                <w:szCs w:val="4"/>
              </w:rPr>
            </w:r>
          </w:p>
        </w:tc>
      </w:tr>
      <w:tr>
        <w:trPr/>
        <w:tc>
          <w:tcPr>
            <w:tcW w:w="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pBdr/>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10.1</w:t>
              </w:r>
            </w:hyperlink>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Saga Communications, Inc. 2023 Incentive Compensation Plan, as filed with the Commission on August 10, 2023 and incorporated herein by reference</w:t>
              </w:r>
            </w:hyperlink>
          </w:p>
        </w:tc>
      </w:tr>
      <w:tr>
        <w:trPr/>
        <w:tc>
          <w:tcPr>
            <w:tcW w:w="66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pBdr/>
              <w:bidi w:val="0"/>
              <w:spacing w:before="0" w:after="0"/>
              <w:ind w:left="0" w:right="0" w:hanging="0"/>
              <w:jc w:val="left"/>
              <w:rPr/>
            </w:pPr>
            <w:hyperlink w:anchor="sga-20230930xex10d2.htm">
              <w:r>
                <w:rPr>
                  <w:rStyle w:val="InternetLink"/>
                  <w:rFonts w:ascii="Times New Roman;Times;serif" w:hAnsi="Times New Roman;Times;serif"/>
                  <w:b w:val="false"/>
                  <w:i w:val="false"/>
                  <w:caps w:val="false"/>
                  <w:smallCaps w:val="false"/>
                  <w:sz w:val="20"/>
                </w:rPr>
                <w:t>10.2</w:t>
              </w:r>
            </w:hyperlink>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hyperlink w:anchor="sga-20230930xex10d2.htm">
              <w:r>
                <w:rPr>
                  <w:rStyle w:val="InternetLink"/>
                  <w:rFonts w:ascii="Times New Roman;Times;serif" w:hAnsi="Times New Roman;Times;serif"/>
                  <w:b w:val="false"/>
                  <w:i w:val="false"/>
                  <w:caps w:val="false"/>
                  <w:smallCaps w:val="false"/>
                  <w:sz w:val="20"/>
                </w:rPr>
                <w:t>Form of Restricted Stock Option Agreement for Employees under the Saga Communications, Inc. 2023 Incentive Compensation Plan</w:t>
              </w:r>
            </w:hyperlink>
          </w:p>
        </w:tc>
      </w:tr>
      <w:tr>
        <w:trPr/>
        <w:tc>
          <w:tcPr>
            <w:tcW w:w="66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pBdr/>
              <w:bidi w:val="0"/>
              <w:spacing w:before="0" w:after="0"/>
              <w:ind w:left="0" w:right="0" w:hanging="0"/>
              <w:jc w:val="left"/>
              <w:rPr/>
            </w:pPr>
            <w:hyperlink w:anchor="sga-20230930xex10d3.htm">
              <w:r>
                <w:rPr>
                  <w:rStyle w:val="InternetLink"/>
                  <w:rFonts w:ascii="Times New Roman;Times;serif" w:hAnsi="Times New Roman;Times;serif"/>
                  <w:b w:val="false"/>
                  <w:i w:val="false"/>
                  <w:caps w:val="false"/>
                  <w:smallCaps w:val="false"/>
                  <w:sz w:val="20"/>
                </w:rPr>
                <w:t>10.3</w:t>
              </w:r>
            </w:hyperlink>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hyperlink w:anchor="sga-20230930xex10d3.htm">
              <w:r>
                <w:rPr>
                  <w:rStyle w:val="InternetLink"/>
                  <w:rFonts w:ascii="Times New Roman;Times;serif" w:hAnsi="Times New Roman;Times;serif"/>
                  <w:b w:val="false"/>
                  <w:i w:val="false"/>
                  <w:caps w:val="false"/>
                  <w:smallCaps w:val="false"/>
                  <w:sz w:val="20"/>
                </w:rPr>
                <w:t>Form of Restricted Stock Option Agreement for Directors under the Saga Communications, Inc. 2023 Incentive Compensation Plan</w:t>
              </w:r>
            </w:hyperlink>
          </w:p>
        </w:tc>
      </w:tr>
      <w:tr>
        <w:trPr/>
        <w:tc>
          <w:tcPr>
            <w:tcW w:w="66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pBdr/>
              <w:bidi w:val="0"/>
              <w:spacing w:before="0" w:after="0"/>
              <w:ind w:left="0" w:right="0" w:hanging="0"/>
              <w:jc w:val="left"/>
              <w:rPr/>
            </w:pPr>
            <w:hyperlink w:anchor="sga-20230930xex31d1.htm">
              <w:r>
                <w:rPr>
                  <w:rStyle w:val="InternetLink"/>
                  <w:rFonts w:ascii="Times New Roman;Times;serif" w:hAnsi="Times New Roman;Times;serif"/>
                  <w:b w:val="false"/>
                  <w:i w:val="false"/>
                  <w:caps w:val="false"/>
                  <w:smallCaps w:val="false"/>
                  <w:sz w:val="20"/>
                </w:rPr>
                <w:t>31.1</w:t>
              </w:r>
            </w:hyperlink>
          </w:p>
        </w:tc>
        <w:tc>
          <w:tcPr>
            <w:tcW w:w="326" w:type="dxa"/>
            <w:tcBorders/>
            <w:vAlign w:val="center"/>
          </w:tcPr>
          <w:p>
            <w:pPr>
              <w:pStyle w:val="TableContents"/>
              <w:bidi w:val="0"/>
              <w:spacing w:before="0" w:after="0"/>
              <w:ind w:left="0" w:right="0" w:hanging="0"/>
              <w:jc w:val="left"/>
              <w:rPr/>
            </w:pPr>
            <w:r>
              <w:rPr/>
              <w:t>    </w:t>
            </w:r>
          </w:p>
        </w:tc>
        <w:tc>
          <w:tcPr>
            <w:tcW w:w="9213" w:type="dxa"/>
            <w:tcBorders/>
            <w:vAlign w:val="center"/>
          </w:tcPr>
          <w:p>
            <w:pPr>
              <w:pStyle w:val="TableContents"/>
              <w:bidi w:val="0"/>
              <w:spacing w:before="0" w:after="0"/>
              <w:ind w:left="0" w:right="0" w:hanging="0"/>
              <w:jc w:val="left"/>
              <w:rPr/>
            </w:pPr>
            <w:hyperlink w:anchor="sga-20230930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Adopted Pursuant to Section 302 of the Sarbanes-Oxley Act of 2002.</w:t>
              </w:r>
            </w:hyperlink>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pPr>
            <w:hyperlink w:anchor="sga-20230930xex31d2.htm">
              <w:r>
                <w:rPr>
                  <w:rStyle w:val="InternetLink"/>
                  <w:rFonts w:ascii="Times New Roman;Times;serif" w:hAnsi="Times New Roman;Times;serif"/>
                  <w:b w:val="false"/>
                  <w:i w:val="false"/>
                  <w:caps w:val="false"/>
                  <w:smallCaps w:val="false"/>
                  <w:sz w:val="20"/>
                </w:rPr>
                <w:t>31.2</w:t>
              </w:r>
            </w:hyperlink>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hyperlink w:anchor="sga-20230930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Adopted Pursuant to Section 302 of the Sarbanes-Oxley Act of 2002.</w:t>
              </w:r>
            </w:hyperlink>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pPr>
            <w:hyperlink w:anchor="sga-20230930xex32.htm">
              <w:r>
                <w:rPr>
                  <w:rStyle w:val="InternetLink"/>
                  <w:rFonts w:ascii="Times New Roman;Times;serif" w:hAnsi="Times New Roman;Times;serif"/>
                  <w:b w:val="false"/>
                  <w:i w:val="false"/>
                  <w:caps w:val="false"/>
                  <w:smallCaps w:val="false"/>
                  <w:sz w:val="20"/>
                </w:rPr>
                <w:t>32</w:t>
              </w:r>
            </w:hyperlink>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hyperlink w:anchor="sga-202309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and Rule 13a-14(b) of the Securities Exchange Act of 1934, as Adopted Pursuant to Section 906 of the Sarbanes-Oxley Act of 2002.</w:t>
              </w:r>
            </w:hyperlink>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66"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 </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6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pPr>
            <w:r>
              <w:rPr/>
              <w:t>​</w:t>
            </w:r>
          </w:p>
        </w:tc>
      </w:tr>
      <w:tr>
        <w:trPr/>
        <w:tc>
          <w:tcPr>
            <w:tcW w:w="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717" w:name="SIGNATURES_832543"/>
      <w:bookmarkStart w:id="718" w:name="_70d4250e_971b_4053_b13e_a08478b7e1ec"/>
      <w:bookmarkEnd w:id="717"/>
      <w:bookmarkEnd w:id="718"/>
      <w:r>
        <w:rPr>
          <w:rFonts w:ascii="Times New Roman;Times;serif" w:hAnsi="Times New Roman;Times;serif"/>
          <w:b/>
          <w:sz w:val="20"/>
        </w:rPr>
        <w:t>SIGNATURES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967"/>
        <w:gridCol w:w="8238"/>
      </w:tblGrid>
      <w:tr>
        <w:trPr/>
        <w:tc>
          <w:tcPr>
            <w:tcW w:w="1967" w:type="dxa"/>
            <w:tcBorders/>
            <w:vAlign w:val="center"/>
          </w:tcPr>
          <w:p>
            <w:pPr>
              <w:pStyle w:val="TableContents"/>
              <w:bidi w:val="0"/>
              <w:spacing w:before="0" w:after="283"/>
              <w:ind w:left="0" w:right="0" w:hanging="0"/>
              <w:jc w:val="left"/>
              <w:rPr>
                <w:sz w:val="4"/>
                <w:szCs w:val="4"/>
              </w:rPr>
            </w:pPr>
            <w:r>
              <w:rPr>
                <w:sz w:val="4"/>
                <w:szCs w:val="4"/>
              </w:rPr>
            </w:r>
          </w:p>
        </w:tc>
        <w:tc>
          <w:tcPr>
            <w:tcW w:w="8238" w:type="dxa"/>
            <w:tcBorders/>
            <w:vAlign w:val="center"/>
          </w:tcPr>
          <w:p>
            <w:pPr>
              <w:pStyle w:val="TableContents"/>
              <w:bidi w:val="0"/>
              <w:spacing w:before="0" w:after="283"/>
              <w:ind w:left="0" w:right="0" w:hanging="0"/>
              <w:jc w:val="left"/>
              <w:rPr>
                <w:sz w:val="4"/>
                <w:szCs w:val="4"/>
              </w:rPr>
            </w:pPr>
            <w:r>
              <w:rPr>
                <w:sz w:val="4"/>
                <w:szCs w:val="4"/>
              </w:rPr>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SAGA COMMUNICATIONS, INC.</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pPr>
            <w:r>
              <w:rPr/>
              <w:t> </w:t>
            </w:r>
          </w:p>
        </w:tc>
      </w:tr>
      <w:tr>
        <w:trPr/>
        <w:tc>
          <w:tcPr>
            <w:tcW w:w="19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823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SAMUEL D. BUSH</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Samuel D. Bush</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pPr>
            <w:r>
              <w:rPr/>
              <w:t> </w:t>
            </w:r>
          </w:p>
        </w:tc>
      </w:tr>
      <w:tr>
        <w:trPr/>
        <w:tc>
          <w:tcPr>
            <w:tcW w:w="19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823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CATHERINE A. BOBINSKI</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Catherine A. Bobinski</w:t>
            </w:r>
          </w:p>
        </w:tc>
      </w:tr>
      <w:tr>
        <w:trPr/>
        <w:tc>
          <w:tcPr>
            <w:tcW w:w="1967" w:type="dxa"/>
            <w:tcBorders/>
            <w:vAlign w:val="center"/>
          </w:tcPr>
          <w:p>
            <w:pPr>
              <w:pStyle w:val="TableContents"/>
              <w:bidi w:val="0"/>
              <w:spacing w:before="0" w:after="0"/>
              <w:ind w:left="0" w:right="0" w:hanging="0"/>
              <w:jc w:val="left"/>
              <w:rPr/>
            </w:pPr>
            <w:r>
              <w:rPr/>
              <w:t> </w:t>
            </w:r>
          </w:p>
        </w:tc>
        <w:tc>
          <w:tcPr>
            <w:tcW w:w="8238"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Accounting Officer and Corporate Controller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lineRule="auto" w:line="285" w:before="0" w:after="0"/>
        <w:ind w:left="0" w:right="0" w:hanging="0"/>
        <w:jc w:val="right"/>
        <w:rPr>
          <w:rFonts w:ascii="Times New Roman;Times;serif" w:hAnsi="Times New Roman;Times;serif"/>
          <w:b/>
          <w:sz w:val="22"/>
        </w:rPr>
      </w:pPr>
      <w:bookmarkStart w:id="719" w:name="sga-20230930xex10d2.htm"/>
      <w:bookmarkStart w:id="720" w:name="kssga20230930xex10d2"/>
      <w:bookmarkEnd w:id="719"/>
      <w:bookmarkEnd w:id="720"/>
      <w:r>
        <w:rPr>
          <w:rFonts w:ascii="Times New Roman;Times;serif" w:hAnsi="Times New Roman;Times;serif"/>
          <w:b/>
          <w:sz w:val="22"/>
        </w:rPr>
        <w:t>EXHIBIT 10.2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center"/>
        <w:rPr>
          <w:rFonts w:ascii="Times New Roman;Times;serif" w:hAnsi="Times New Roman;Times;serif"/>
          <w:b/>
          <w:sz w:val="22"/>
        </w:rPr>
      </w:pPr>
      <w:r>
        <w:rPr>
          <w:rFonts w:ascii="Times New Roman;Times;serif" w:hAnsi="Times New Roman;Times;serif"/>
          <w:b/>
          <w:sz w:val="22"/>
        </w:rPr>
        <w:t>RESTRICTED STOCK AGREEMENT</w:t>
      </w:r>
    </w:p>
    <w:p>
      <w:pPr>
        <w:pStyle w:val="TextBody"/>
        <w:bidi w:val="0"/>
        <w:spacing w:lineRule="auto" w:line="285" w:before="0" w:after="240"/>
        <w:ind w:left="0" w:right="0" w:firstLine="720"/>
        <w:jc w:val="both"/>
        <w:rPr>
          <w:rFonts w:ascii="Times New Roman;Times;serif" w:hAnsi="Times New Roman;Times;serif"/>
          <w:sz w:val="22"/>
        </w:rPr>
      </w:pPr>
      <w:bookmarkStart w:id="721" w:name="_Hlk90304159"/>
      <w:bookmarkEnd w:id="721"/>
      <w:r>
        <w:rPr>
          <w:rFonts w:ascii="Times New Roman;Times;serif" w:hAnsi="Times New Roman;Times;serif"/>
          <w:b/>
          <w:sz w:val="22"/>
        </w:rPr>
        <w:t>THIS AGREEMENT</w:t>
      </w:r>
      <w:r>
        <w:rPr>
          <w:rFonts w:ascii="Times New Roman;Times;serif" w:hAnsi="Times New Roman;Times;serif"/>
          <w:sz w:val="22"/>
        </w:rPr>
        <w:t>, made as of ________, 20__, by and between SAGA COMMUNICATIONS, INC., a Florida corporation (the “Corporation”), and [[FIRSTNAME]] [[LASTNAME]] (the “Grantee”).</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W I T N E S S E T H</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WHEREAS, the Grantee is now employed as an Officer, General Manager or other qualified employee by the Corporation or a subsidiary of the Corporation and the Corporation desires to have the Grantee remain in such employment and to afford Grantee the opportunity to acquire, or enlarge, Grantee’s stock ownership in the Corporation so that the Grantee may have a direct proprietary interest in the Corporation’s success.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covenants and agreements herein contained, the parties hereto hereby agree as follows: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w:t>
      </w:r>
      <w:r>
        <w:rPr>
          <w:rFonts w:ascii="Times New Roman Bold" w:hAnsi="Times New Roman Bold"/>
          <w:sz w:val="22"/>
          <w:u w:val="single"/>
        </w:rPr>
        <w:t>Grant of Restricted Stock</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Corporation grants to the Grantee, and the Grantee accepts from the Corporation, </w:t>
      </w:r>
      <w:bookmarkStart w:id="722" w:name="_Hlk90304173"/>
      <w:bookmarkEnd w:id="722"/>
      <w:r>
        <w:rPr>
          <w:rFonts w:ascii="Times New Roman;Times;serif" w:hAnsi="Times New Roman;Times;serif"/>
          <w:b/>
          <w:sz w:val="22"/>
        </w:rPr>
        <w:t xml:space="preserve">[[SHARESGRANTED]] </w:t>
      </w:r>
      <w:r>
        <w:rPr>
          <w:rFonts w:ascii="Times New Roman;Times;serif" w:hAnsi="Times New Roman;Times;serif"/>
          <w:sz w:val="22"/>
        </w:rPr>
        <w:t>shares of Class A Common Stock of the Corporation (“Restricted Stock”) subject to the restrictions and terms contained in this Agreement and the Saga Communications, Inc. 2023 Incentive Compensation Plan (the “Plan”), as amended from time to time.  Capitalized terms used but not defined herein will have the meaning ascribed to them in the Plan.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w:t>
      </w:r>
      <w:r>
        <w:rPr>
          <w:rFonts w:ascii="Times New Roman Bold" w:hAnsi="Times New Roman Bold"/>
          <w:sz w:val="22"/>
          <w:u w:val="single"/>
        </w:rPr>
        <w:t xml:space="preserve">Restrictions on Transferability </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Restricted Stock may not be transferred, pledged, assigned or otherwise alienated or hypothecated until the Restricted Stock has vested as specified in Section 3 below.  Prior to the vesting of any Restricted Stock, all rights with respect to Restricted Stock shall be exercisable during the Grantee’s lifetime only by the Grantee or the Grantee’s legal representative.  The shares of Restricted Stock will be issued and held in book entry form under the name of the Plan, and Grantee will be listed as the beneficial owner of the Restricted Stock that has not been forfeited, or vested and issued as provided in paragraphs 3, 4 and 5 below.  Such book-entry shares may include restrictive instructions to the Corporation’s registrar and transfer agent in accordance with the Plan and the Agreement.  Grantee shall have voting rights and shall be entitled to receive dividends and other distributions (provided, however, that dividends or other distributions paid in any form other than cash shall be subject to the same restrictions, forfeitability, terms and conditions as are applicable to the Restricted Stock until such time as the Restricted Stock with respect to which such distributions have been made, paid or declared, shall have vested).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3.</w:t>
      </w:r>
      <w:r>
        <w:rPr>
          <w:rFonts w:ascii="Times New Roman Bold" w:hAnsi="Times New Roman Bold"/>
          <w:sz w:val="22"/>
          <w:u w:val="single"/>
        </w:rPr>
        <w:t>Vesting of Restricted Stock</w:t>
      </w:r>
    </w:p>
    <w:p>
      <w:pPr>
        <w:pStyle w:val="TextBody"/>
        <w:bidi w:val="0"/>
        <w:spacing w:lineRule="auto" w:line="285" w:before="0" w:after="240"/>
        <w:ind w:left="0" w:right="0" w:firstLine="990"/>
        <w:jc w:val="both"/>
        <w:rPr>
          <w:rFonts w:ascii="Times New Roman;Times;serif" w:hAnsi="Times New Roman;Times;serif"/>
          <w:sz w:val="22"/>
        </w:rPr>
      </w:pPr>
      <w:r>
        <w:rPr>
          <w:rFonts w:ascii="Times New Roman;Times;serif" w:hAnsi="Times New Roman;Times;serif"/>
          <w:sz w:val="22"/>
        </w:rPr>
        <w:t>Subject to the terms of this Agreement, the portions of Restricted Stock granted under this Agreement shall vest according to the following schedule:</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4127" w:type="dxa"/>
        <w:jc w:val="left"/>
        <w:tblInd w:w="0" w:type="dxa"/>
        <w:tblLayout w:type="fixed"/>
        <w:tblCellMar>
          <w:top w:w="0" w:type="dxa"/>
          <w:left w:w="0" w:type="dxa"/>
          <w:bottom w:w="0" w:type="dxa"/>
          <w:right w:w="0" w:type="dxa"/>
        </w:tblCellMar>
      </w:tblPr>
      <w:tblGrid>
        <w:gridCol w:w="1921"/>
        <w:gridCol w:w="2206"/>
      </w:tblGrid>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 xml:space="preserve">Date of Grant </w:t>
            </w:r>
          </w:p>
          <w:p>
            <w:pPr>
              <w:pStyle w:val="TableContents"/>
              <w:bidi w:val="0"/>
              <w:spacing w:lineRule="auto" w:line="307" w:before="0" w:after="160"/>
              <w:ind w:left="0" w:right="0" w:hanging="0"/>
              <w:jc w:val="left"/>
              <w:rPr/>
            </w:pPr>
            <w:r>
              <w:rPr/>
              <w:t>​</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Stock  Which Vests</w:t>
            </w:r>
          </w:p>
          <w:p>
            <w:pPr>
              <w:pStyle w:val="TableContents"/>
              <w:bidi w:val="0"/>
              <w:spacing w:lineRule="auto" w:line="307" w:before="0" w:after="160"/>
              <w:ind w:left="0" w:right="0" w:hanging="0"/>
              <w:jc w:val="both"/>
              <w:rPr/>
            </w:pPr>
            <w:r>
              <w:rPr/>
              <w:t>​</w:t>
            </w:r>
          </w:p>
          <w:p>
            <w:pPr>
              <w:pStyle w:val="TableContents"/>
              <w:bidi w:val="0"/>
              <w:spacing w:lineRule="auto" w:line="307" w:before="0" w:after="160"/>
              <w:ind w:left="0" w:right="0" w:hanging="0"/>
              <w:jc w:val="left"/>
              <w:rPr/>
            </w:pPr>
            <w:r>
              <w:rPr/>
              <w:t>​</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Anniversaries of</w:t>
            </w:r>
          </w:p>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 xml:space="preserve">Date of Grant </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Portion of Restricted</w:t>
            </w:r>
          </w:p>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Stock Which Vests</w:t>
            </w:r>
          </w:p>
          <w:p>
            <w:pPr>
              <w:pStyle w:val="TableContents"/>
              <w:bidi w:val="0"/>
              <w:spacing w:lineRule="auto" w:line="307" w:before="0" w:after="160"/>
              <w:ind w:left="0" w:right="0" w:hanging="0"/>
              <w:jc w:val="both"/>
              <w:rPr/>
            </w:pPr>
            <w:r>
              <w:rPr/>
              <w:t>​</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bl>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With respect to any fractional shares resulting from the application of the 33 1/3% times the total amount of the Restricted Stock, such fractional shares shall cumulate and be distributed on the last vesting date.  If this is not possible, Grantee will receive the cash value of any remaining fractional shares.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4.</w:t>
      </w:r>
      <w:r>
        <w:rPr>
          <w:rFonts w:ascii="Times New Roman Bold" w:hAnsi="Times New Roman Bold"/>
          <w:sz w:val="22"/>
          <w:u w:val="single"/>
        </w:rPr>
        <w:t>Termination of Employment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If the status of Grantee as an Employee of the Corporation terminates for any reason prior to an applicable date(s) of vesting, the shares of Restricted Stock with respect to such applicable date(s) shall be forfeited by Grantee, provided, however, that the Committee, in its sole discretion, may waive or change the restrictions or add additional restrictions with respect to the Restricted Stock that would otherwise be forfeited, as it deems appropriate.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term “subsidiary” as used in this Agreement shall mean any subsidiary of the Corporation as defined in Section 424(f) of the Code.  The term “parent” as used in this Agreement shall mean any parent of the Corporation as defined in Section 424(e) of the Code.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All Restricted Stock shall become fully vested upon the occurrence of a Change in Control, if Grantee is an Employee at the time of such Change in Control.  To the extent practicable, such acceleration of vesting shall occur in a manner and at a time which allows the Grantee the ability to participate in the Change in Control with respect to the shares of Class A Common Stock to be received by Grantee.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5.</w:t>
      </w:r>
      <w:r>
        <w:rPr>
          <w:rFonts w:ascii="Times New Roman Bold" w:hAnsi="Times New Roman Bold"/>
          <w:sz w:val="22"/>
          <w:u w:val="single"/>
        </w:rPr>
        <w:t>Issuance of Shares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Upon the vesting of any portion of Restricted Stock, Grantee shall be entitled to issuance of such portion of the Restricted Stock (and any applicable stock distributions) in the name of the Grantee in book-entry form.  Transfer by the Corporation of such shares shall occur as promptly as practicable after such vesting.</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6.</w:t>
      </w:r>
      <w:r>
        <w:rPr>
          <w:rFonts w:ascii="Times New Roman Bold" w:hAnsi="Times New Roman Bold"/>
          <w:sz w:val="22"/>
          <w:u w:val="single"/>
        </w:rPr>
        <w:t>Section 83(b) Election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Grantee may make an election under Code Section 83(b) (a "Section 83(b) Election") with respect to the Restricted Stock. Any such election must be made within thirty (30) days after the Grant Date. If the Grantee elects to make a Section 83(b) Election, the Grantee shall provide the Corporation with a copy of an executed version and satisfactory evidence of the timely filing of the executed Section 83(b) Election with the US Internal Revenue Service. The Grantee agrees to assume full responsibility for ensuring that the Section 83(b) Election is actually and timely filed with the US Internal Revenue Service and for all tax consequences resulting from the Section 83(b) Election.</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7.</w:t>
      </w:r>
      <w:r>
        <w:rPr>
          <w:rFonts w:ascii="Times New Roman Bold" w:hAnsi="Times New Roman Bold"/>
          <w:sz w:val="22"/>
          <w:u w:val="single"/>
        </w:rPr>
        <w:t>Withholding</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Grantee may satisfy applicable withholding for income and employment taxes by using any of the methods set forth in Section 2.3 of the Plan as provided in Section 7.7 of the Plan.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8.</w:t>
      </w:r>
      <w:r>
        <w:rPr>
          <w:rFonts w:ascii="Times New Roman Bold" w:hAnsi="Times New Roman Bold"/>
          <w:sz w:val="22"/>
          <w:u w:val="single"/>
        </w:rPr>
        <w:t>Compliance With Law and Regulations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Agreement and the obligation of the Corporation to deliver shares hereunder, shall be subject to all applicable Federal and State laws, rules and regulations and to such approvals by any government or regulatory agency as may be required. The Corporation shall not be required to issue or deliver any certificates for shares of stock prior to (a) the listing of such shares on any stock exchange in which the stock may then be listed and (b) the completion of any registration or qualification of such shares under any Federal or State law, or any rule or regulation of any government body which the Corporation shall, in its sole discretion, determine to be necessary or advisable. Moreover, the Corporation shall not be required to deliver shares if the transfer or the receipt of such shares of stock would be contrary to applicable law.</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9.</w:t>
      </w:r>
      <w:r>
        <w:rPr>
          <w:rFonts w:ascii="Times New Roman Bold" w:hAnsi="Times New Roman Bold"/>
          <w:sz w:val="22"/>
          <w:u w:val="single"/>
        </w:rPr>
        <w:t>Notice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Every notice or other communication relating to this Agreement shall be in writing, and shall be mailed to or delivered to the party for whom it is intended at such address as may from time to time be designated by it in a notice mailed or delivered to the other party as herein provided; provided that, unless and until some other address is so designated, all notices or communications by the Grantee to the Corporation shall be mailed or delivered to the Corporation at its office at 73 Kercheval Avenue, Grosse Pointe Farms, MI 48236, Attention: Chief Financial Officer, and all notices or communications by the Corporation to the Grantee may be given to the Grantee personally or may be mailed to him or her at the address shown below his or her signature to this Agreement.</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10.</w:t>
      </w:r>
      <w:r>
        <w:rPr>
          <w:rFonts w:ascii="Times New Roman Bold" w:hAnsi="Times New Roman Bold"/>
          <w:sz w:val="22"/>
          <w:u w:val="single"/>
        </w:rPr>
        <w:t>Adjustments</w:t>
      </w:r>
    </w:p>
    <w:p>
      <w:pPr>
        <w:pStyle w:val="TextBody"/>
        <w:bidi w:val="0"/>
        <w:spacing w:lineRule="auto" w:line="285" w:before="0" w:after="240"/>
        <w:ind w:left="0" w:right="0" w:firstLine="450"/>
        <w:jc w:val="both"/>
        <w:rPr>
          <w:rFonts w:ascii="Times New Roman;Times;serif" w:hAnsi="Times New Roman;Times;serif"/>
          <w:sz w:val="22"/>
        </w:rPr>
      </w:pPr>
      <w:r>
        <w:rPr>
          <w:rFonts w:ascii="Times New Roman;Times;serif" w:hAnsi="Times New Roman;Times;serif"/>
          <w:sz w:val="22"/>
        </w:rPr>
        <w:t>The provisions of Article VI of the Plan are incorporated herein.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11.</w:t>
      </w:r>
      <w:r>
        <w:rPr>
          <w:rFonts w:ascii="Times New Roman Bold" w:hAnsi="Times New Roman Bold"/>
          <w:sz w:val="22"/>
          <w:u w:val="single"/>
        </w:rPr>
        <w:t>No Right to Continued Employment</w:t>
      </w:r>
    </w:p>
    <w:p>
      <w:pPr>
        <w:pStyle w:val="TextBody"/>
        <w:bidi w:val="0"/>
        <w:spacing w:lineRule="auto" w:line="285" w:before="0" w:after="240"/>
        <w:ind w:left="0" w:right="0" w:firstLine="360"/>
        <w:jc w:val="both"/>
        <w:rPr>
          <w:rFonts w:ascii="Times New Roman;Times;serif" w:hAnsi="Times New Roman;Times;serif"/>
          <w:sz w:val="22"/>
        </w:rPr>
      </w:pPr>
      <w:r>
        <w:rPr>
          <w:rFonts w:ascii="Times New Roman;Times;serif" w:hAnsi="Times New Roman;Times;serif"/>
          <w:sz w:val="22"/>
        </w:rPr>
        <w:t>This grant of Restricted Stock shall not confer Grantee any right with respect to continuance of employment by the Corporation or any subsidiary or parent, nor shall it interfere in any way with the right of the Grantee’s employer to terminate Grantee’s employment at any time.</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12.</w:t>
      </w:r>
      <w:r>
        <w:rPr>
          <w:rFonts w:ascii="Times New Roman Bold" w:hAnsi="Times New Roman Bold"/>
          <w:sz w:val="22"/>
          <w:u w:val="single"/>
        </w:rPr>
        <w:t>Retention Requirement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Until Grantee is no longer an Employee, Grantee shall retain 50% of the Restricted Stock.  For purposes of clarity, the 50% is based on the total number of shares granted and is not reduced by any shares which have vested or which are sold or transferred, but is reduced by shares which have been netted out to pay withholding taxes.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13.</w:t>
      </w:r>
      <w:r>
        <w:rPr>
          <w:rFonts w:ascii="Times New Roman Bold" w:hAnsi="Times New Roman Bold"/>
          <w:sz w:val="22"/>
          <w:u w:val="single"/>
        </w:rPr>
        <w:t>Section 409A</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Awards made pursuant to the Plan and this Agreement are intended to be exempt from Code Section 409A and the applicable guidance promulgated thereunder.  Nevertheless, the terms of the Plan and Awards made pursuant to the Plan and this Agreement shall be interpreted in a manner that is consistent with Code Section 409A and the intent to be exempt from and, to the extent not exempt from, compliant with, Code Section 409A.</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14.</w:t>
      </w:r>
      <w:r>
        <w:rPr>
          <w:rFonts w:ascii="Times New Roman Bold" w:hAnsi="Times New Roman Bold"/>
          <w:sz w:val="22"/>
          <w:u w:val="single"/>
        </w:rPr>
        <w:t>Clawbacks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By accepting an Award, Grantee is agreeing to be bound by the Corporation’s Clawback Policy which may be amended from time to time by the Corporation in its discretion (including, without limitation, to comply with (i) the requirements of the Dodd-Frank Wall Street Reform and Consumer Protection Act of 2010, (ii) federal securities laws, regulations and rules, and (iii) regulations or rules of NASDAQ or any other stock exchange or stock market on which the Corporation’s Class A Common Stock is listed or traded) and is further agreeing that all of Grantee’s Awards and this Agreement may be unilaterally amended by the Corporation to the extent needed to comply with the Clawback Policy.</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15.</w:t>
      </w:r>
      <w:r>
        <w:rPr>
          <w:rFonts w:ascii="Times New Roman Bold" w:hAnsi="Times New Roman Bold"/>
          <w:sz w:val="22"/>
          <w:u w:val="single"/>
        </w:rPr>
        <w:t>Interpretation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Any dispute regarding the interpretation of this Agreement shall be submitted by the Grantee or the Corporation to the Committee for review. The resolution of such dispute by the Committee shall be final and binding on the Grantee and the Corporation.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16.</w:t>
      </w:r>
      <w:r>
        <w:rPr>
          <w:rFonts w:ascii="Times New Roman Bold" w:hAnsi="Times New Roman Bold"/>
          <w:sz w:val="22"/>
          <w:u w:val="single"/>
        </w:rPr>
        <w:t>Restricted Stock Subject to Plan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Agreement is subject to the Plan as approved by the Corporation's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17.</w:t>
      </w:r>
      <w:r>
        <w:rPr>
          <w:rFonts w:ascii="Times New Roman Bold" w:hAnsi="Times New Roman Bold"/>
          <w:sz w:val="22"/>
          <w:u w:val="single"/>
        </w:rPr>
        <w:t>Successors and Assigns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Corporation may assign any of its rights under this Agreement. This Agreement will be binding upon and inure to the benefit of the successors and assigns of the Corporation and is binding upon Grantee.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18.</w:t>
      </w:r>
      <w:r>
        <w:rPr>
          <w:rFonts w:ascii="Times New Roman Bold" w:hAnsi="Times New Roman Bold"/>
          <w:sz w:val="22"/>
          <w:u w:val="single"/>
        </w:rPr>
        <w:t>Severability</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19.</w:t>
      </w:r>
      <w:r>
        <w:rPr>
          <w:rFonts w:ascii="Times New Roman Bold" w:hAnsi="Times New Roman Bold"/>
          <w:sz w:val="22"/>
          <w:u w:val="single"/>
        </w:rPr>
        <w:t>No Impact on Other Benefits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value of the Grantee’s Restricted Stock is not part of Grantee’s normal or expected compensation for purposes of calculating any severance, retirement, welfare, insurance or similar employee benefit.</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20.</w:t>
      </w:r>
      <w:r>
        <w:rPr>
          <w:rFonts w:ascii="Times New Roman Bold" w:hAnsi="Times New Roman Bold"/>
          <w:sz w:val="22"/>
          <w:u w:val="single"/>
        </w:rPr>
        <w:t>Counterparts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Agreement may be executed in counterparts, each of which shall be deemed an original but all of which together will constitute one and the same instrument. Counterpart signature pages to this Agreement transmitted by facsimile transmission, by electronic mail,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21.</w:t>
      </w:r>
      <w:r>
        <w:rPr>
          <w:rFonts w:ascii="Times New Roman Bold" w:hAnsi="Times New Roman Bold"/>
          <w:sz w:val="22"/>
          <w:u w:val="single"/>
        </w:rPr>
        <w:t>Acceptance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Grantee hereby acknowledges receipt of a copy of the Plan and this Agreement. The Grantee has read and understands the terms and provisions thereof, and accepts the Restricted Stock subject to all of the terms and conditions of the Plan and this Agreement. The Grantee acknowledges that there may be adverse tax consequences upon vesting of the Restricted Stock or disposition of the Restricted Stock and that the Grantee should consult a tax advisor prior to such exercise or disposition.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b/>
          <w:sz w:val="22"/>
        </w:rPr>
        <w:t>IN WITNESS WHEREOF</w:t>
      </w:r>
      <w:r>
        <w:rPr>
          <w:rFonts w:ascii="Times New Roman;Times;serif" w:hAnsi="Times New Roman;Times;serif"/>
          <w:sz w:val="22"/>
        </w:rPr>
        <w:t xml:space="preserve">, the parties hereto have executed this Agreement on the day </w:t>
      </w:r>
      <w:bookmarkStart w:id="723" w:name="tmpWiDocID2"/>
      <w:bookmarkEnd w:id="723"/>
      <w:r>
        <w:rPr>
          <w:rFonts w:ascii="Times New Roman;Times;serif" w:hAnsi="Times New Roman;Times;serif"/>
          <w:sz w:val="22"/>
        </w:rPr>
        <w:t>and year first above written.</w:t>
      </w:r>
    </w:p>
    <w:p>
      <w:pPr>
        <w:pStyle w:val="TextBody"/>
        <w:bidi w:val="0"/>
        <w:spacing w:lineRule="auto" w:line="285" w:before="0" w:after="0"/>
        <w:ind w:left="4320" w:right="0" w:hanging="0"/>
        <w:jc w:val="both"/>
        <w:rPr>
          <w:rFonts w:ascii="Times New Roman;Times;serif" w:hAnsi="Times New Roman;Times;serif"/>
          <w:b/>
          <w:sz w:val="22"/>
        </w:rPr>
      </w:pPr>
      <w:r>
        <w:rPr>
          <w:rFonts w:ascii="Times New Roman;Times;serif" w:hAnsi="Times New Roman;Times;serif"/>
          <w:b/>
          <w:sz w:val="22"/>
        </w:rPr>
        <w:t>SAGA COMMUNICATIONS, INC.</w:t>
      </w:r>
    </w:p>
    <w:p>
      <w:pPr>
        <w:pStyle w:val="TextBody"/>
        <w:bidi w:val="0"/>
        <w:spacing w:lineRule="auto" w:line="285" w:before="0" w:after="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2"/>
        </w:rPr>
      </w:pPr>
      <w:r>
        <w:rPr>
          <w:rFonts w:ascii="Times New Roman;Times;serif" w:hAnsi="Times New Roman;Times;serif"/>
          <w:sz w:val="22"/>
        </w:rPr>
        <w:t xml:space="preserve">By:   </w:t>
      </w:r>
    </w:p>
    <w:p>
      <w:pPr>
        <w:pStyle w:val="TextBody"/>
        <w:bidi w:val="0"/>
        <w:spacing w:lineRule="auto" w:line="285" w:before="0" w:after="0"/>
        <w:ind w:left="4320" w:right="0" w:hanging="0"/>
        <w:jc w:val="both"/>
        <w:rPr>
          <w:rFonts w:ascii="Times New Roman;Times;serif" w:hAnsi="Times New Roman;Times;serif"/>
          <w:sz w:val="22"/>
        </w:rPr>
      </w:pPr>
      <w:r>
        <w:rPr>
          <w:rFonts w:ascii="Times New Roman;Times;serif" w:hAnsi="Times New Roman;Times;serif"/>
          <w:sz w:val="22"/>
        </w:rPr>
        <w:t>Samuel D. Bush</w:t>
      </w:r>
    </w:p>
    <w:p>
      <w:pPr>
        <w:pStyle w:val="TextBody"/>
        <w:bidi w:val="0"/>
        <w:spacing w:lineRule="auto" w:line="285" w:before="0" w:after="0"/>
        <w:ind w:left="4320" w:right="0" w:hanging="0"/>
        <w:jc w:val="both"/>
        <w:rPr>
          <w:rFonts w:ascii="Times New Roman;Times;serif" w:hAnsi="Times New Roman;Times;serif"/>
          <w:sz w:val="22"/>
        </w:rPr>
      </w:pPr>
      <w:r>
        <w:rPr>
          <w:rFonts w:ascii="Times New Roman;Times;serif" w:hAnsi="Times New Roman;Times;serif"/>
          <w:sz w:val="22"/>
        </w:rPr>
        <w:t>SVP/Treasurer/CFO</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GRANTEE</w:t>
      </w:r>
    </w:p>
    <w:p>
      <w:pPr>
        <w:pStyle w:val="TextBody"/>
        <w:bidi w:val="0"/>
        <w:spacing w:lineRule="auto" w:line="285" w:before="0" w:after="0"/>
        <w:ind w:left="0" w:right="0" w:hanging="0"/>
        <w:jc w:val="both"/>
        <w:rPr>
          <w:rFonts w:ascii="Times New Roman;Times;serif" w:hAnsi="Times New Roman;Times;serif"/>
          <w:sz w:val="22"/>
        </w:rPr>
      </w:pPr>
      <w:bookmarkStart w:id="724" w:name="_Hlk90304505"/>
      <w:bookmarkEnd w:id="724"/>
      <w:r>
        <w:rPr>
          <w:rFonts w:ascii="Times New Roman;Times;serif" w:hAnsi="Times New Roman;Times;serif"/>
          <w:sz w:val="22"/>
        </w:rPr>
        <w:t>[[SIGNATURE]]</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[[FIRSTNAME]] [[LASTNAME]]</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[[RESADDR1]]</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[[RESADDR2]]</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[[RESCITY]], [[RESSTATEORPROV]] [[RESPOSTALCODE]]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2"/>
        </w:rPr>
      </w:pPr>
      <w:bookmarkStart w:id="725" w:name="sga-20230930xex10d3.htm"/>
      <w:bookmarkStart w:id="726" w:name="kssga20230930xex10d3"/>
      <w:bookmarkEnd w:id="725"/>
      <w:bookmarkEnd w:id="726"/>
      <w:r>
        <w:rPr>
          <w:rFonts w:ascii="Times New Roman;Times;serif" w:hAnsi="Times New Roman;Times;serif"/>
          <w:b/>
          <w:sz w:val="22"/>
        </w:rPr>
        <w:t>EXHIBIT 10.3</w:t>
      </w:r>
      <w:r>
        <w:br w:type="page"/>
      </w:r>
    </w:p>
    <w:p>
      <w:pPr>
        <w:pStyle w:val="TextBody"/>
        <w:bidi w:val="0"/>
        <w:spacing w:lineRule="auto" w:line="307" w:before="0" w:after="160"/>
        <w:ind w:left="0" w:right="0" w:hanging="0"/>
        <w:jc w:val="center"/>
        <w:rPr>
          <w:rFonts w:ascii="Times New Roman;Times;serif" w:hAnsi="Times New Roman;Times;serif"/>
          <w:b/>
          <w:sz w:val="22"/>
        </w:rPr>
      </w:pPr>
      <w:r>
        <w:rPr>
          <w:rFonts w:ascii="Times New Roman;Times;serif" w:hAnsi="Times New Roman;Times;serif"/>
          <w:b/>
          <w:sz w:val="22"/>
        </w:rPr>
        <w:t>RESTRICTED STOCK AGREEMENT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b/>
          <w:sz w:val="22"/>
        </w:rPr>
        <w:t>THIS AGREEMENT</w:t>
      </w:r>
      <w:r>
        <w:rPr>
          <w:rFonts w:ascii="Times New Roman;Times;serif" w:hAnsi="Times New Roman;Times;serif"/>
          <w:sz w:val="22"/>
        </w:rPr>
        <w:t>, made as of _________, 20__, by and between SAGA COMMUNICATIONS, INC., a Florida corporation (the “Corporation”), and [[FIRSTNAME]] [[LASTNAME]] (the “Grantee”).</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W I T N E S S E T H</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WHEREAS, the Grantee serves as a director of the Corporation or a subsidiary of the Corporation and the Corporation desires to have the Grantee remain in such service and to afford Grantee the opportunity to acquire, or enlarge, Grantee’s stock ownership in the Corporation so that the Grantee may have a direct proprietary interest in the Corporation’s success.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covenants and agreements herein contained, the parties hereto hereby agree as follows: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w:t>
      </w:r>
      <w:r>
        <w:rPr>
          <w:rFonts w:ascii="Times New Roman Bold" w:hAnsi="Times New Roman Bold"/>
          <w:sz w:val="22"/>
          <w:u w:val="single"/>
        </w:rPr>
        <w:t>Grant of Restricted Stock</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Corporation grants to the Grantee, and the Grantee accepts from the Corporation, </w:t>
      </w:r>
      <w:r>
        <w:rPr>
          <w:rFonts w:ascii="Times New Roman;Times;serif" w:hAnsi="Times New Roman;Times;serif"/>
          <w:b/>
          <w:sz w:val="22"/>
        </w:rPr>
        <w:t xml:space="preserve">[[SHARESGRANTED]] </w:t>
      </w:r>
      <w:r>
        <w:rPr>
          <w:rFonts w:ascii="Times New Roman;Times;serif" w:hAnsi="Times New Roman;Times;serif"/>
          <w:sz w:val="22"/>
        </w:rPr>
        <w:t>shares of Class A Common Stock of the Corporation (“Restricted Stock”) subject to the restrictions and terms contained in this Agreement and the Saga Communications, Inc. 2023 Incentive Compensation Plan (the “Plan”), as amended from time to time.  Capitalized terms used but not defined herein will have the meaning ascribed to them in the Plan.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w:t>
      </w:r>
      <w:r>
        <w:rPr>
          <w:rFonts w:ascii="Times New Roman Bold" w:hAnsi="Times New Roman Bold"/>
          <w:sz w:val="22"/>
          <w:u w:val="single"/>
        </w:rPr>
        <w:t xml:space="preserve">Restrictions on Transferability </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Restricted Stock may not be transferred, pledged, assigned or otherwise alienated or hypothecated until the Restricted Stock has vested as specified in Section 3 below.  Prior to the vesting of any Restricted Stock, all rights with respect to Restricted Stock shall be exercisable during the Grantee’s lifetime only by the Grantee or the Grantee’s legal representative.  The shares of Restricted Stock will be issued and held in book entry form under the name of the Plan, and Grantee will be listed as the beneficial owner of the Restricted Stock that has not been forfeited, or vested and issued as provided in paragraphs 3, 4 and 5 below.  Such book-entry shares may include restrictive instructions to the Corporation’s registrar and transfer agent in accordance with the Plan and the Agreement.  Grantee shall have voting rights and shall be entitled to receive dividends and other distributions (provided, however, that dividends or other distributions paid in any form other than cash shall be subject to the same restrictions, forfeitability, terms and conditions as are applicable to the Restricted Stock until such time as the Restricted Stock with respect to which such distributions have been made, paid or declared, shall have vested).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3.</w:t>
      </w:r>
      <w:r>
        <w:rPr>
          <w:rFonts w:ascii="Times New Roman Bold" w:hAnsi="Times New Roman Bold"/>
          <w:sz w:val="22"/>
          <w:u w:val="single"/>
        </w:rPr>
        <w:t>Vesting of Restricted Stock</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Subject to the terms of this Agreement, the portions of Restricted Stock granted under this Agreement shall vest according to the following schedule:</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4127" w:type="dxa"/>
        <w:jc w:val="left"/>
        <w:tblInd w:w="0" w:type="dxa"/>
        <w:tblLayout w:type="fixed"/>
        <w:tblCellMar>
          <w:top w:w="0" w:type="dxa"/>
          <w:left w:w="0" w:type="dxa"/>
          <w:bottom w:w="0" w:type="dxa"/>
          <w:right w:w="0" w:type="dxa"/>
        </w:tblCellMar>
      </w:tblPr>
      <w:tblGrid>
        <w:gridCol w:w="1921"/>
        <w:gridCol w:w="220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Stock  Which Vests</w:t>
            </w:r>
          </w:p>
          <w:p>
            <w:pPr>
              <w:pStyle w:val="TableContents"/>
              <w:bidi w:val="0"/>
              <w:spacing w:lineRule="auto" w:line="307" w:before="0" w:after="160"/>
              <w:ind w:left="0" w:right="0" w:hanging="0"/>
              <w:jc w:val="left"/>
              <w:rPr/>
            </w:pPr>
            <w:r>
              <w:rPr/>
              <w:t>​</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 xml:space="preserve">Anniversaries of </w:t>
            </w:r>
          </w:p>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 xml:space="preserve">Date of Grant </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Portion of Restricted</w:t>
            </w:r>
          </w:p>
          <w:p>
            <w:pPr>
              <w:pStyle w:val="TableContents"/>
              <w:bidi w:val="0"/>
              <w:spacing w:lineRule="auto" w:line="307" w:before="0" w:after="160"/>
              <w:ind w:left="0" w:right="0" w:hanging="0"/>
              <w:jc w:val="both"/>
              <w:rPr>
                <w:rFonts w:ascii="Times New Roman;Times;serif" w:hAnsi="Times New Roman;Times;serif"/>
                <w:b/>
                <w:sz w:val="22"/>
              </w:rPr>
            </w:pPr>
            <w:r>
              <w:rPr>
                <w:rFonts w:ascii="Times New Roman;Times;serif" w:hAnsi="Times New Roman;Times;serif"/>
                <w:b/>
                <w:sz w:val="22"/>
              </w:rPr>
              <w:t>Stock  Which Vests</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r>
        <w:trPr/>
        <w:tc>
          <w:tcPr>
            <w:tcW w:w="1921"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__________, 20__</w:t>
            </w:r>
          </w:p>
        </w:tc>
        <w:tc>
          <w:tcPr>
            <w:tcW w:w="2206" w:type="dxa"/>
            <w:tcBorders/>
            <w:vAlign w:val="center"/>
          </w:tcPr>
          <w:p>
            <w:pPr>
              <w:pStyle w:val="TableContents"/>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33 1/3%</w:t>
            </w:r>
          </w:p>
        </w:tc>
      </w:tr>
    </w:tbl>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With respect to any fractional shares resulting from the application of the 33 1/3% times the total amount of the Restricted Stock, such fractional shares shall cumulate and be distributed on the last vesting date.  If this is not possible, Grantee will receive the cash value of any remaining fractional shares.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4.</w:t>
      </w:r>
      <w:r>
        <w:rPr>
          <w:rFonts w:ascii="Times New Roman Bold" w:hAnsi="Times New Roman Bold"/>
          <w:sz w:val="22"/>
          <w:u w:val="single"/>
        </w:rPr>
        <w:t>Termination of Service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If the status of Grantee as a director of the Corporation terminates for any reason prior to an applicable date(s) of vesting, the shares of Restricted Stock with respect to such applicable date(s) shall be forfeited by Grantee, provided, however, that the Committee, in its sole discretion, may waive or change the restrictions or add additional restrictions with respect to the Restricted Stock that would otherwise be forfeited, as it deems appropriate.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term “subsidiary” as used in this Agreement shall mean any subsidiary of the Corporation as defined in Section 424(f) of the Code.  The term “parent” as used in this Agreement shall mean any parent of the Corporation as defined in Section 424(e) of the Code.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All Restricted Stock shall become fully vested upon the occurrence of a Change in Control, if Grantee is a director at the time of such Change in Control.  To the extent practicable, such acceleration of vesting shall occur in a manner and at a time which allows the Grantee the ability to participate in the Change in Control with respect to the shares of Class A Common Stock to be received by Grantee.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5.</w:t>
      </w:r>
      <w:r>
        <w:rPr>
          <w:rFonts w:ascii="Times New Roman Bold" w:hAnsi="Times New Roman Bold"/>
          <w:sz w:val="22"/>
          <w:u w:val="single"/>
        </w:rPr>
        <w:t>Issuance of Shares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Upon the vesting of any portion of Restricted Stock, Grantee shall be entitled to issuance of such portion of the Restricted Stock (and any applicable stock distributions) in the name of the Grantee in book-entry form.  Transfer by the Corporation of such shares shall occur as promptly as practicable after such vesting.</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6.</w:t>
      </w:r>
      <w:r>
        <w:rPr>
          <w:rFonts w:ascii="Times New Roman Bold" w:hAnsi="Times New Roman Bold"/>
          <w:sz w:val="22"/>
          <w:u w:val="single"/>
        </w:rPr>
        <w:t>Section 83(b) Election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Grantee may make an election under Code Section 83(b) (a "Section 83(b) Election") with respect to the Restricted Stock. Any such election must be made within thirty (30) days after the Grant Date. If the Grantee elects to make a Section 83(b) Election, the Grantee shall provide the Corporation with a copy of an executed version and satisfactory evidence of the timely filing of the executed Section 83(b) Election with the US Internal Revenue Service. The Grantee agrees to assume full responsibility for ensuring that the Section 83(b) Election is actually and timely filed with the US Internal Revenue Service and for all tax consequences resulting from the Section 83(b) Election.</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7.</w:t>
      </w:r>
      <w:r>
        <w:rPr>
          <w:rFonts w:ascii="Times New Roman Bold" w:hAnsi="Times New Roman Bold"/>
          <w:sz w:val="22"/>
          <w:u w:val="single"/>
        </w:rPr>
        <w:t>Withholding</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Grantee may satisfy applicable withholding for income and employment taxes by using any of the methods set forth in Section 2.3 of the Plan as provided in Section 7.7 of the Plan.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8.</w:t>
      </w:r>
      <w:r>
        <w:rPr>
          <w:rFonts w:ascii="Times New Roman Bold" w:hAnsi="Times New Roman Bold"/>
          <w:sz w:val="22"/>
          <w:u w:val="single"/>
        </w:rPr>
        <w:t>Compliance with Law and Regulations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Agreement and the obligation of the Corporation to deliver shares hereunder, shall be subject to all applicable Federal and State laws, rules and regulations and to such approvals by any government or regulatory agency as may be required. The Corporation shall not be required to issue or deliver any certificates for shares of stock prior to (a) the listing of such shares on any stock exchange in which the stock may then be listed and (b) the completion of any registration or qualification of such shares under any Federal or State law, or any rule or regulation of any government body which the Corporation shall, in its sole discretion, determine to be necessary or advisable. Moreover, the Corporation shall not be required to deliver shares if the transfer or the receipt of such shares of stock would be contrary to applicable law.</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9.</w:t>
      </w:r>
      <w:r>
        <w:rPr>
          <w:rFonts w:ascii="Times New Roman Bold" w:hAnsi="Times New Roman Bold"/>
          <w:sz w:val="22"/>
          <w:u w:val="single"/>
        </w:rPr>
        <w:t>Notice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Every notice or other communication relating to this Agreement shall be in writing, and shall be mailed to or delivered to the party for whom it is intended at such address as may from time to time be designated by it in a notice mailed or delivered to the other party as herein provided; provided that, unless and until some other address is so designated, all notices or communications by the Grantee to the Corporation shall be mailed or delivered to the Corporation at its office at 73 Kercheval Avenue, Grosse Pointe Farms, MI 48236, Attention: Chief Financial Officer, and all notices or communications by the Corporation to the Grantee may be given to the Grantee personally or may be mailed to him or her at the address shown below his or her signature to this Agreement.</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10.</w:t>
      </w:r>
      <w:r>
        <w:rPr>
          <w:rFonts w:ascii="Times New Roman Bold" w:hAnsi="Times New Roman Bold"/>
          <w:sz w:val="22"/>
          <w:u w:val="single"/>
        </w:rPr>
        <w:t>Adjustments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provisions of Article VI of the Plan are incorporated herein.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11.</w:t>
      </w:r>
      <w:r>
        <w:rPr>
          <w:rFonts w:ascii="Times New Roman Bold" w:hAnsi="Times New Roman Bold"/>
          <w:sz w:val="22"/>
          <w:u w:val="single"/>
        </w:rPr>
        <w:t>No Right to Continued Service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grant of Restricted Stock shall not confer Grantee any right with respect to continuance of service as a director by the Corporation or any subsidiary or parent, nor shall it interfere in any way with the right of the Corporation and/or its stockholders to terminate Grantee’s services as a director of the Corporation at any time.</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12.</w:t>
      </w:r>
      <w:r>
        <w:rPr>
          <w:rFonts w:ascii="Times New Roman Bold" w:hAnsi="Times New Roman Bold"/>
          <w:sz w:val="22"/>
          <w:u w:val="single"/>
        </w:rPr>
        <w:t>Retention Requirement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Until Grantee is no longer a director of the Corporation, Grantee shall retain 50% of the Restricted Stock.  For purposes of clarity, the 50% is based on the total number of shares granted and is not reduced by any shares which have vested or which are sold or transferred, but is reduced by shares which have been netted out to pay withholding taxes.</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13.</w:t>
      </w:r>
      <w:r>
        <w:rPr>
          <w:rFonts w:ascii="Times New Roman Bold" w:hAnsi="Times New Roman Bold"/>
          <w:sz w:val="22"/>
          <w:u w:val="single"/>
        </w:rPr>
        <w:t>Section 409A</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Awards made pursuant to the Plan and this Agreement are intended to be exempt from Code Section 409A and the applicable guidance promulgated thereunder.  Nevertheless, the terms of the Plan and Awards made pursuant to the Plan and this Agreement shall be interpreted in a manner that is consistent with Code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Section 409A and the intent to be exempt from and, to the extent not exempt from, compliant with, Code Section 409A.</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14.</w:t>
      </w:r>
      <w:r>
        <w:rPr>
          <w:rFonts w:ascii="Times New Roman Bold" w:hAnsi="Times New Roman Bold"/>
          <w:sz w:val="22"/>
          <w:u w:val="single"/>
        </w:rPr>
        <w:t>Clawbacks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By accepting an Award, Grantee is agreeing to be bound by the Corporation’s Clawback Policy which may be amended from time to time by the Corporation in its discretion (including, without limitation, to comply with (i) the requirements of the Dodd-Frank Wall Street Reform and Consumer Protection Act of 2010, (ii) federal securities laws, regulations and rules, and (iii) regulations or rules of NASDAQ or any other stock exchange or stock market on which the Corporation’s Class A Common Stock is listed or traded) and is further agreeing that all of Grantee’s Awards and this Agreement may be unilaterally amended by the Corporation to the extent needed to comply with the Clawback Policy.</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15.</w:t>
      </w:r>
      <w:r>
        <w:rPr>
          <w:rFonts w:ascii="Times New Roman Bold" w:hAnsi="Times New Roman Bold"/>
          <w:sz w:val="22"/>
          <w:u w:val="single"/>
        </w:rPr>
        <w:t>Interpretation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Any dispute regarding the interpretation of this Agreement shall be submitted by the Grantee or the Corporation to the Committee for review. The resolution of such dispute by the Committee shall be final and binding on the Grantee and the Corporation.</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16.</w:t>
      </w:r>
      <w:r>
        <w:rPr>
          <w:rFonts w:ascii="Times New Roman Bold" w:hAnsi="Times New Roman Bold"/>
          <w:sz w:val="22"/>
          <w:u w:val="single"/>
        </w:rPr>
        <w:t>Restricted Stock Subject to Plan</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This Agreement is subject to the Plan as approved by the Corporation's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17.</w:t>
      </w:r>
      <w:r>
        <w:rPr>
          <w:rFonts w:ascii="Times New Roman Bold" w:hAnsi="Times New Roman Bold"/>
          <w:sz w:val="22"/>
          <w:u w:val="single"/>
        </w:rPr>
        <w:t>Successors and Assigns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Corporation may assign any of its rights under this Agreement. This Agreement will be binding upon and inure to the benefit of the successors and assigns of the Corporation and is binding upon Grantee. </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18.</w:t>
      </w:r>
      <w:r>
        <w:rPr>
          <w:rFonts w:ascii="Times New Roman Bold" w:hAnsi="Times New Roman Bold"/>
          <w:sz w:val="22"/>
          <w:u w:val="single"/>
        </w:rPr>
        <w:t>Severability</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19.</w:t>
      </w:r>
      <w:r>
        <w:rPr>
          <w:rFonts w:ascii="Times New Roman Bold" w:hAnsi="Times New Roman Bold"/>
          <w:sz w:val="22"/>
          <w:u w:val="single"/>
        </w:rPr>
        <w:t>No Impact on Other Benefits</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value of the Grantee’s Restricted Stock is not part of Grantee’s normal or expected compensation for purposes of calculating any severance, retirement, welfare, insurance or similar employee benefit.</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20.</w:t>
      </w:r>
      <w:r>
        <w:rPr>
          <w:rFonts w:ascii="Times New Roman Bold" w:hAnsi="Times New Roman Bold"/>
          <w:sz w:val="22"/>
          <w:u w:val="single"/>
        </w:rPr>
        <w:t>Counterparts</w:t>
      </w:r>
    </w:p>
    <w:p>
      <w:pPr>
        <w:pStyle w:val="TextBody"/>
        <w:bidi w:val="0"/>
        <w:spacing w:lineRule="auto" w:line="285" w:before="0" w:after="0"/>
        <w:ind w:left="0" w:right="0" w:firstLine="720"/>
        <w:jc w:val="both"/>
        <w:rPr>
          <w:rFonts w:ascii="Times New Roman;Times;serif" w:hAnsi="Times New Roman;Times;serif"/>
          <w:sz w:val="22"/>
        </w:rPr>
      </w:pPr>
      <w:r>
        <w:rPr>
          <w:rFonts w:ascii="Times New Roman;Times;serif" w:hAnsi="Times New Roman;Times;serif"/>
          <w:sz w:val="22"/>
        </w:rPr>
        <w:t xml:space="preserve">This Agreement may be executed in counterparts, each of which shall be deemed an original but all of which together will constitute one and the same instrument. Counterpart signature pages to this Agreement transmitted by facsimile transmission, by electronic mail, or by any other electronic means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intended to preserve the original graphic and pictorial appearance of a document, will have the same effect as physical delivery of the paper document bearing an original signature.</w:t>
      </w:r>
    </w:p>
    <w:p>
      <w:pPr>
        <w:pStyle w:val="TextBody"/>
        <w:bidi w:val="0"/>
        <w:spacing w:lineRule="auto" w:line="285" w:before="0" w:after="240"/>
        <w:ind w:left="0" w:right="0" w:hanging="0"/>
        <w:jc w:val="both"/>
        <w:rPr>
          <w:rFonts w:ascii="Times New Roman Bold" w:hAnsi="Times New Roman Bold"/>
          <w:sz w:val="24"/>
        </w:rPr>
      </w:pPr>
      <w:r>
        <w:rPr>
          <w:rFonts w:ascii="Times New Roman Bold" w:hAnsi="Times New Roman Bold"/>
          <w:sz w:val="24"/>
        </w:rPr>
        <w:t>21.</w:t>
      </w:r>
      <w:r>
        <w:rPr>
          <w:rFonts w:ascii="Times New Roman Bold" w:hAnsi="Times New Roman Bold"/>
          <w:sz w:val="22"/>
          <w:u w:val="single"/>
        </w:rPr>
        <w:t>Acceptance</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Grantee hereby acknowledges receipt of a copy of the Plan and this Agreement. The Grantee has read and understands the terms and provisions thereof, and accepts the Restricted Stock subject to all of the terms and conditions of the Plan and this Agreement. The Grantee acknowledges that there may be adverse tax consequences upon vesting of the Restricted Stock or disposition of the Restricted Stock and that the Grantee should consult a tax advisor prior to such exercise or disposition.</w:t>
      </w:r>
    </w:p>
    <w:p>
      <w:pPr>
        <w:pStyle w:val="TextBody"/>
        <w:bidi w:val="0"/>
        <w:spacing w:lineRule="auto" w:line="307" w:before="0" w:after="16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2"/>
        </w:rPr>
      </w:pPr>
      <w:r>
        <w:rPr>
          <w:rFonts w:ascii="Times New Roman;Times;serif" w:hAnsi="Times New Roman;Times;serif"/>
          <w:b/>
          <w:sz w:val="22"/>
        </w:rPr>
        <w:t>IN WITNESS WHEREOF</w:t>
      </w:r>
      <w:r>
        <w:rPr>
          <w:rFonts w:ascii="Times New Roman;Times;serif" w:hAnsi="Times New Roman;Times;serif"/>
          <w:sz w:val="22"/>
        </w:rPr>
        <w:t xml:space="preserve">, the parties hereto have executed this Agreement on the day </w:t>
      </w:r>
      <w:bookmarkStart w:id="727" w:name="tmpWiDocID21"/>
      <w:bookmarkEnd w:id="727"/>
      <w:r>
        <w:rPr>
          <w:rFonts w:ascii="Times New Roman;Times;serif" w:hAnsi="Times New Roman;Times;serif"/>
          <w:sz w:val="22"/>
        </w:rPr>
        <w:t>and year first above written.</w:t>
      </w:r>
    </w:p>
    <w:p>
      <w:pPr>
        <w:pStyle w:val="TextBody"/>
        <w:bidi w:val="0"/>
        <w:spacing w:lineRule="auto" w:line="285" w:before="0" w:after="0"/>
        <w:ind w:left="4320" w:right="0" w:hanging="0"/>
        <w:jc w:val="both"/>
        <w:rPr>
          <w:rFonts w:ascii="Times New Roman;Times;serif" w:hAnsi="Times New Roman;Times;serif"/>
          <w:b/>
          <w:sz w:val="22"/>
        </w:rPr>
      </w:pPr>
      <w:r>
        <w:rPr>
          <w:rFonts w:ascii="Times New Roman;Times;serif" w:hAnsi="Times New Roman;Times;serif"/>
          <w:b/>
          <w:sz w:val="22"/>
        </w:rPr>
        <w:t>SAGA COMMUNICATIONS, INC.</w:t>
      </w:r>
    </w:p>
    <w:p>
      <w:pPr>
        <w:pStyle w:val="TextBody"/>
        <w:bidi w:val="0"/>
        <w:spacing w:lineRule="auto" w:line="285" w:before="0" w:after="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2"/>
        </w:rPr>
      </w:pPr>
      <w:r>
        <w:rPr>
          <w:rFonts w:ascii="Times New Roman;Times;serif" w:hAnsi="Times New Roman;Times;serif"/>
          <w:sz w:val="22"/>
        </w:rPr>
        <w:t xml:space="preserve">By:   </w:t>
      </w:r>
    </w:p>
    <w:p>
      <w:pPr>
        <w:pStyle w:val="TextBody"/>
        <w:bidi w:val="0"/>
        <w:spacing w:lineRule="auto" w:line="285" w:before="0" w:after="0"/>
        <w:ind w:left="4320" w:right="0" w:hanging="0"/>
        <w:jc w:val="both"/>
        <w:rPr>
          <w:rFonts w:ascii="Times New Roman;Times;serif" w:hAnsi="Times New Roman;Times;serif"/>
          <w:sz w:val="22"/>
        </w:rPr>
      </w:pPr>
      <w:bookmarkStart w:id="728" w:name="_Hlk122510522"/>
      <w:bookmarkStart w:id="729" w:name="_Hlk122510437"/>
      <w:bookmarkEnd w:id="728"/>
      <w:bookmarkEnd w:id="729"/>
      <w:r>
        <w:rPr>
          <w:rFonts w:ascii="Times New Roman;Times;serif" w:hAnsi="Times New Roman;Times;serif"/>
          <w:sz w:val="22"/>
        </w:rPr>
        <w:t>Samuel D. Bush</w:t>
      </w:r>
    </w:p>
    <w:p>
      <w:pPr>
        <w:pStyle w:val="TextBody"/>
        <w:bidi w:val="0"/>
        <w:spacing w:lineRule="auto" w:line="285" w:before="0" w:after="0"/>
        <w:ind w:left="4320" w:right="0" w:hanging="0"/>
        <w:jc w:val="both"/>
        <w:rPr>
          <w:rFonts w:ascii="Times New Roman;Times;serif" w:hAnsi="Times New Roman;Times;serif"/>
          <w:sz w:val="22"/>
        </w:rPr>
      </w:pPr>
      <w:r>
        <w:rPr>
          <w:rFonts w:ascii="Times New Roman;Times;serif" w:hAnsi="Times New Roman;Times;serif"/>
          <w:sz w:val="22"/>
        </w:rPr>
        <w:t>SVP/Treasurer/CFO</w:t>
      </w:r>
    </w:p>
    <w:p>
      <w:pPr>
        <w:pStyle w:val="TextBody"/>
        <w:bidi w:val="0"/>
        <w:spacing w:lineRule="auto" w:line="285" w:before="0" w:after="0"/>
        <w:ind w:left="432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2"/>
        </w:rPr>
      </w:pPr>
      <w:r>
        <w:rPr>
          <w:rFonts w:ascii="Times New Roman;Times;serif" w:hAnsi="Times New Roman;Times;serif"/>
          <w:b/>
          <w:sz w:val="22"/>
        </w:rPr>
        <w:t>GRANTEE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[[SIGNATURE]]</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[[FIRSTNAME]] [[LASTNAME]]</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[[RESADDR1]]</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[[RESADDR2]]</w:t>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[[RESCITY]], [[RESSTATEORPROV]] [[RESPOSTALCODE]]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30" w:name="sga-20230930xex31d1.htm"/>
      <w:bookmarkStart w:id="731" w:name="kssga20230930xex31d1"/>
      <w:bookmarkEnd w:id="730"/>
      <w:bookmarkEnd w:id="731"/>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 RULE 13a-14(a)</w:t>
      </w:r>
      <w:r>
        <w:rPr>
          <w:rFonts w:ascii="Times New Roman;Times;serif" w:hAnsi="Times New Roman;Times;serif"/>
          <w:sz w:val="20"/>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Christopher S. Forgy, Chief Executive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left"/>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0" w:type="dxa"/>
            <w:tcBorders/>
            <w:vAlign w:val="center"/>
          </w:tcPr>
          <w:p>
            <w:pPr>
              <w:pStyle w:val="TableContents"/>
              <w:bidi w:val="0"/>
              <w:spacing w:before="0" w:after="283"/>
              <w:ind w:left="0" w:right="0" w:hanging="0"/>
              <w:jc w:val="left"/>
              <w:rPr>
                <w:sz w:val="4"/>
                <w:szCs w:val="4"/>
              </w:rPr>
            </w:pPr>
            <w:r>
              <w:rPr>
                <w:sz w:val="4"/>
                <w:szCs w:val="4"/>
              </w:rPr>
            </w:r>
          </w:p>
        </w:tc>
        <w:tc>
          <w:tcPr>
            <w:tcW w:w="982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307" w:before="0" w:after="160"/>
        <w:ind w:left="360" w:right="0" w:hanging="360"/>
        <w:jc w:val="left"/>
        <w:rPr/>
      </w:pPr>
      <w:r>
        <w:rPr/>
        <w:t>​</w:t>
      </w:r>
    </w:p>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left"/>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left"/>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4397" w:type="dxa"/>
        <w:jc w:val="center"/>
        <w:tblInd w:w="0" w:type="dxa"/>
        <w:tblLayout w:type="fixed"/>
        <w:tblCellMar>
          <w:top w:w="0" w:type="dxa"/>
          <w:left w:w="0" w:type="dxa"/>
          <w:bottom w:w="0" w:type="dxa"/>
          <w:right w:w="0" w:type="dxa"/>
        </w:tblCellMar>
      </w:tblPr>
      <w:tblGrid>
        <w:gridCol w:w="2101"/>
        <w:gridCol w:w="229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29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w:t>
            </w:r>
          </w:p>
        </w:tc>
      </w:tr>
      <w:tr>
        <w:trPr/>
        <w:tc>
          <w:tcPr>
            <w:tcW w:w="2101"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w:t>
            </w:r>
          </w:p>
        </w:tc>
      </w:tr>
      <w:tr>
        <w:trPr/>
        <w:tc>
          <w:tcPr>
            <w:tcW w:w="2101"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32" w:name="sga-20230930xex31d2.htm"/>
      <w:bookmarkStart w:id="733" w:name="kssga20230930xex31d2"/>
      <w:bookmarkEnd w:id="732"/>
      <w:bookmarkEnd w:id="733"/>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Samuel D. Bush, Chief Financial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both"/>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both"/>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lineRule="auto" w:line="285" w:before="0" w:after="0"/>
              <w:ind w:left="0" w:right="0" w:hanging="0"/>
              <w:jc w:val="both"/>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both"/>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both"/>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4112" w:type="dxa"/>
        <w:jc w:val="center"/>
        <w:tblInd w:w="0" w:type="dxa"/>
        <w:tblLayout w:type="fixed"/>
        <w:tblCellMar>
          <w:top w:w="0" w:type="dxa"/>
          <w:left w:w="0" w:type="dxa"/>
          <w:bottom w:w="0" w:type="dxa"/>
          <w:right w:w="0" w:type="dxa"/>
        </w:tblCellMar>
      </w:tblPr>
      <w:tblGrid>
        <w:gridCol w:w="2101"/>
        <w:gridCol w:w="201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201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2101"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2101"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734" w:name="sga-20230930xex32.htm"/>
      <w:bookmarkStart w:id="735" w:name="kssga20230930xex32"/>
      <w:bookmarkEnd w:id="734"/>
      <w:bookmarkEnd w:id="735"/>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Saga Communications, Inc. (the “Company”) on Form 10-Q for the period ended September 30, 2023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pStyle w:val="TextBody"/>
        <w:bidi w:val="0"/>
        <w:spacing w:lineRule="auto" w:line="285" w:before="0" w:after="0"/>
        <w:ind w:left="0" w:right="0" w:hanging="0"/>
        <w:jc w:val="left"/>
        <w:rPr/>
      </w:pPr>
      <w:r>
        <w:rPr/>
        <w:t> </w:t>
      </w:r>
    </w:p>
    <w:tbl>
      <w:tblPr>
        <w:tblW w:w="10138" w:type="dxa"/>
        <w:jc w:val="center"/>
        <w:tblInd w:w="0" w:type="dxa"/>
        <w:tblLayout w:type="fixed"/>
        <w:tblCellMar>
          <w:top w:w="0" w:type="dxa"/>
          <w:left w:w="0" w:type="dxa"/>
          <w:bottom w:w="0" w:type="dxa"/>
          <w:right w:w="0" w:type="dxa"/>
        </w:tblCellMar>
      </w:tblPr>
      <w:tblGrid>
        <w:gridCol w:w="161"/>
        <w:gridCol w:w="256"/>
        <w:gridCol w:w="972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lineRule="auto" w:line="285" w:before="0" w:after="0"/>
              <w:ind w:left="0" w:right="0" w:hanging="0"/>
              <w:jc w:val="left"/>
              <w:rPr/>
            </w:pPr>
            <w:r>
              <w:rPr/>
              <w:t> </w:t>
            </w:r>
          </w:p>
        </w:tc>
        <w:tc>
          <w:tcPr>
            <w:tcW w:w="2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firstLine="720"/>
        <w:jc w:val="left"/>
        <w:rPr/>
      </w:pPr>
      <w:r>
        <w:rPr/>
        <w:t> </w:t>
      </w:r>
    </w:p>
    <w:tbl>
      <w:tblPr>
        <w:tblW w:w="4457" w:type="dxa"/>
        <w:jc w:val="center"/>
        <w:tblInd w:w="0" w:type="dxa"/>
        <w:tblLayout w:type="fixed"/>
        <w:tblCellMar>
          <w:top w:w="0" w:type="dxa"/>
          <w:left w:w="0" w:type="dxa"/>
          <w:bottom w:w="0" w:type="dxa"/>
          <w:right w:w="0" w:type="dxa"/>
        </w:tblCellMar>
      </w:tblPr>
      <w:tblGrid>
        <w:gridCol w:w="2206"/>
        <w:gridCol w:w="225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November 9, 2023</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    </w:t>
            </w:r>
          </w:p>
        </w:tc>
      </w:tr>
      <w:tr>
        <w:trPr/>
        <w:tc>
          <w:tcPr>
            <w:tcW w:w="220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   </w:t>
            </w:r>
          </w:p>
        </w:tc>
      </w:tr>
      <w:tr>
        <w:trPr/>
        <w:tc>
          <w:tcPr>
            <w:tcW w:w="220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r>
        <w:trPr/>
        <w:tc>
          <w:tcPr>
            <w:tcW w:w="220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pPr>
            <w:r>
              <w:rPr/>
              <w:t> </w:t>
            </w:r>
          </w:p>
        </w:tc>
      </w:tr>
      <w:tr>
        <w:trPr/>
        <w:tc>
          <w:tcPr>
            <w:tcW w:w="22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November 9, 2023</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220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2206"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6136/000110465923089771/tm2323150d1_ex99-1.htm" TargetMode="External"/><Relationship Id="rId3" Type="http://schemas.openxmlformats.org/officeDocument/2006/relationships/hyperlink" Target="https://www.sec.gov/Archives/edgar/data/886136/000110465923089771/tm2323150d1_ex99-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19424</Words>
  <Characters>105555</Characters>
  <CharactersWithSpaces>126129</CharactersWithSpaces>
  <Paragraphs>4270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