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0" w:right="579" w:hanging="30"/>
        <w:spacing w:after="0" w:line="355" w:lineRule="auto"/>
        <w:tabs>
          <w:tab w:leader="none" w:pos="3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218"/>
        </w:trPr>
        <w:tc>
          <w:tcPr>
            <w:tcW w:w="2960" w:type="dxa"/>
            <w:vAlign w:val="bottom"/>
            <w:tcBorders>
              <w:top w:val="single" w:sz="8" w:color="auto"/>
              <w:left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737235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188595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 w:name="page2"/>
    <w:bookmarkEnd w:id="1"/>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May 7, 2026, Saga Communications, Inc. issued a press release announcing its financial results for the three months ended March 31, 2026. The press release, dated May 7, 2026, is attached as Exhibit 99.1 to this Form 8-K.</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40" w:hanging="642"/>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7"/>
          <w:szCs w:val="17"/>
          <w:u w:val="single" w:color="auto"/>
          <w:color w:val="0000EE"/>
        </w:rPr>
        <w:t>Press Release dated May 7, 2026.</w:t>
      </w:r>
    </w:p>
    <w:p>
      <w:pPr>
        <w:spacing w:after="0" w:line="2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405"/>
        </w:trPr>
        <w:tc>
          <w:tcPr>
            <w:tcW w:w="2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780" w:type="dxa"/>
            <w:vAlign w:val="bottom"/>
            <w:gridSpan w:val="2"/>
          </w:tcPr>
          <w:p>
            <w:pPr>
              <w:spacing w:after="0"/>
              <w:rPr>
                <w:sz w:val="24"/>
                <w:szCs w:val="24"/>
                <w:color w:val="auto"/>
              </w:rPr>
            </w:pPr>
          </w:p>
        </w:tc>
      </w:tr>
      <w:tr>
        <w:trPr>
          <w:trHeight w:val="277"/>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24"/>
                <w:szCs w:val="24"/>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0000EE"/>
              </w:rPr>
              <w:t>Press Release dated May 7,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208"/>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2026</w:t>
            </w:r>
          </w:p>
        </w:tc>
        <w:tc>
          <w:tcPr>
            <w:tcW w:w="59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2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1208"/>
        </w:trPr>
        <w:tc>
          <w:tcPr>
            <w:tcW w:w="2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ind w:left="90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164465</wp:posOffset>
            </wp:positionV>
            <wp:extent cx="1937385" cy="848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Saga Communications, Inc.</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Reports 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20"/>
          <w:szCs w:val="20"/>
          <w:b w:val="1"/>
          <w:bCs w:val="1"/>
          <w:color w:val="auto"/>
        </w:rPr>
        <w:t xml:space="preserve"> Quarter 2026 Results</w:t>
      </w:r>
    </w:p>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Samuel D. Bush</w:t>
      </w:r>
    </w:p>
    <w:p>
      <w:pPr>
        <w:jc w:val="right"/>
        <w:spacing w:after="0"/>
        <w:rPr>
          <w:sz w:val="20"/>
          <w:szCs w:val="20"/>
          <w:color w:val="auto"/>
        </w:rPr>
      </w:pPr>
      <w:r>
        <w:rPr>
          <w:rFonts w:ascii="Times New Roman" w:cs="Times New Roman" w:eastAsia="Times New Roman" w:hAnsi="Times New Roman"/>
          <w:sz w:val="20"/>
          <w:szCs w:val="20"/>
          <w:color w:val="auto"/>
        </w:rPr>
        <w:t>(313) 886-7070</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Grosse Pointe Farms, MI – May 7, 2026 – Saga Communications, Inc. (Nasdaq - SGA) (the “Company” or “Saga”) today reported that net revenue decreased 5.6% to $22.9 million for the quarter ended March 31, 2026 compared to $24.2 million for the same period last year. Station operating expense decreased 0.2% for the quarter to $22.0 million compared to the same period last year. For the quarter, we had an operating loss of $3.3 million compared to $2.3 million for the same quarter last year and station operating income (a non-GAAP financial measure) decreased 62.0% to $0.9 million. Capital expenditures were $0.8 million for the quarter compared to $0.7 million for the same period last year. We had a net loss of $2.4 million for the quarter compared to $1.6 million for the first quarter last year. Diluted loss per share was $0.38 in the first quarter of 2026.</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paid a quarterly dividend of $0.25 per share on March 20, 2026. The aggregate amount of the quarterly dividend was approximately $1.6 million. Simultaneous with this earnings release the Company issued a press release declaring a quarterly dividend of $0.25 per share with a record date of May 22, 2026 and a payable date of June 12, 2026. With payment of this most recent declaration Saga will have paid over $145 million in dividends to shareholders since the first special dividend was paid in 2012. The Company intends to pay regular quarterly cash dividends in the future.</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balance sheet reflects $30.4 million in cash and short-term investments as of March 31, 2026 and $27.8 million as of May 4, 2026. For the quarter ended March 31, 2026 the Company recorded capital expenditures of $780 thousand compared to $700 thousand for the same period last year. The Company expects to spend approximately $3.5 million on capital expenditures during 2026.</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Saga’s 2026 First Quarter conference call will be held on Thursday, May 7, 2026 at 11:00 a.m. The dial-in number for the call is (973) 528-0008. Enter conference code 226287. A recording and transcript of the call will be posted to the Company’s website as soon as it is available after the call.</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requests that all parties that have a question that they would like to submit to the Company please email the inquiry by 10:00 a.m. on May 7, 2026 to SagaIR@sagacom.com. The Company will discuss, during the limited period of the conference call, those inquiries it deems of general relevance and interest. Only inquiries made in compliance with the foregoing directions will be discussed during the call.</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Saga utilizes certain financial measures that are not calculated in accordance with generally accepted accounting principles (GAAP) to assess its financial performance. The attached Selected Supplemental Financial Data tables disclose the Company’s reconciliation of non-GAAP measures: GAAP operating income to station operating income, GAAP net income to trailing twelve-month consolidated EBITDA as well as other financial data. Such non-GAAP measures include station operating income, trailing 12-month consolidated EBITDA, and consolidated net leverage ratio. These non-GAAP measures are generally recognized by the broadcasting industry as measures of performance and are used by Saga to assess its financial performance including, but not limited to, evaluating individual station and market-level performance, evaluating overall operations, as a primary measure for incentive-based compensation of executives and other members of management and as a measure of financial position. Saga’s management believes these non-GAAP measures are used by analysts who report on the industry and by investors to provide meaningful comparisons between broadcasting groups, as well as an indicator of their market value. These measures are not measures of liquidity or of performance in accordance with GAAP and should be viewed as a supplement to and not as a substitute for the results of operations presented on a GAAP basis including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operating revenue, operating income, and net income. Reconciliations for all the non-GAAP financial measures to the most directly comparable GAAP measure are attached in the Selected Supplemental Financial Data tables.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within the meaning of the U.S. Private Securities Litigation Reform Act of 1995 that are based upon current expectations and involve certain risks and uncertainties. Words such as “will,” “may,” “believes,” “intends,” “expects,” “anticipates,” “guidance,” and similar expressions are intended to identify forward-looking statements. The material risks facing our business are described in the reports Saga periodically files with the U.S. Securities and Exchange Commission, including, in particular, Item 1A of our Annual Report on Form 10-K. Readers should note that forward-looking statements may be impacted by several factors, including global, national, and local economic changes and changes in the radio broadcast industry in general as well as Saga’s actual performance. Actual results may vary materially from those described herein and Saga undertakes no obligation to update any information contained herein that constitutes a forward-looking statement.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Saga is a media company whose business provides radio, digital, e-commerce, on-line news and non-traditional revenue initiatives. We provide services to national, regional and local advertisers to help them meet their growing advertising needs. For additional information, contact us at (313) 886-7070 or visit our website at www.sagacom.com.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 w:name="page7"/>
    <w:bookmarkEnd w:id="6"/>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March 31, 2026 and 2025</w:t>
      </w:r>
    </w:p>
    <w:p>
      <w:pPr>
        <w:spacing w:after="0" w:line="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(amounts in 000’s except per share data)</w:t>
      </w:r>
    </w:p>
    <w:p>
      <w:pPr>
        <w:spacing w:after="0" w:line="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Net 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Station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10" w:lineRule="exact"/>
        <w:rPr>
          <w:sz w:val="20"/>
          <w:szCs w:val="20"/>
          <w:color w:val="auto"/>
        </w:rPr>
      </w:pPr>
    </w:p>
    <w:p>
      <w:pPr>
        <w:spacing w:after="0"/>
        <w:tabs>
          <w:tab w:leader="none" w:pos="738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r>
      <w:tr>
        <w:trPr>
          <w:trHeight w:val="229"/>
        </w:trPr>
        <w:tc>
          <w:tcPr>
            <w:tcW w:w="12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8"/>
        </w:trPr>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403"/>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22,867</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2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22,012</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2,976</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7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(3,262)</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(2,298)</w:t>
            </w:r>
          </w:p>
        </w:tc>
        <w:tc>
          <w:tcPr>
            <w:tcW w:w="20" w:type="dxa"/>
            <w:vAlign w:val="bottom"/>
          </w:tcPr>
          <w:p>
            <w:pPr>
              <w:spacing w:after="0"/>
              <w:rPr>
                <w:sz w:val="16"/>
                <w:szCs w:val="16"/>
                <w:color w:val="auto"/>
              </w:rPr>
            </w:pPr>
          </w:p>
        </w:tc>
        <w:tc>
          <w:tcPr>
            <w:tcW w:w="22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r>
      <w:tr>
        <w:trPr>
          <w:trHeight w:val="228"/>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-2091055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1600" w:hanging="1296"/>
        <w:spacing w:after="0"/>
        <w:tabs>
          <w:tab w:leader="none" w:pos="16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 w:lineRule="exact"/>
        <w:rPr>
          <w:sz w:val="20"/>
          <w:szCs w:val="20"/>
          <w:color w:val="auto"/>
        </w:rPr>
      </w:pPr>
    </w:p>
    <w:p>
      <w:pPr>
        <w:ind w:left="160"/>
        <w:spacing w:after="0"/>
        <w:tabs>
          <w:tab w:leader="none" w:pos="940" w:val="left"/>
          <w:tab w:leader="none" w:pos="1440" w:val="left"/>
        </w:tabs>
        <w:rPr>
          <w:sz w:val="20"/>
          <w:szCs w:val="20"/>
          <w:color w:val="auto"/>
        </w:rPr>
      </w:pPr>
      <w:r>
        <w:rPr>
          <w:rFonts w:ascii="Times New Roman" w:cs="Times New Roman" w:eastAsia="Times New Roman" w:hAnsi="Times New Roman"/>
          <w:sz w:val="18"/>
          <w:szCs w:val="18"/>
          <w:b w:val="1"/>
          <w:bCs w:val="1"/>
          <w:color w:val="auto"/>
        </w:rPr>
        <w:t>(2,394)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sectPr>
          <w:pgSz w:w="11900" w:h="16838" w:orient="portrait"/>
          <w:cols w:equalWidth="0" w:num="2">
            <w:col w:w="7500" w:space="240"/>
            <w:col w:w="2220"/>
          </w:cols>
          <w:pgMar w:left="980" w:top="117" w:right="959" w:bottom="1440" w:gutter="0" w:footer="0" w:header="0"/>
        </w:sect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(0.38)</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6"/>
        </w:trPr>
        <w:tc>
          <w:tcPr>
            <w:tcW w:w="674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(0.38)</w:t>
            </w: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40" w:type="dxa"/>
            <w:vAlign w:val="bottom"/>
          </w:tcPr>
          <w:p>
            <w:pPr>
              <w:spacing w:after="0"/>
              <w:rPr>
                <w:sz w:val="22"/>
                <w:szCs w:val="22"/>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6,074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6,123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Working capital</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30,742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28,838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fixed assets</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intangible assets and other assets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105,463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122,362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219,305</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163,560</w:t>
            </w:r>
          </w:p>
        </w:tc>
        <w:tc>
          <w:tcPr>
            <w:tcW w:w="0" w:type="dxa"/>
            <w:vAlign w:val="bottom"/>
          </w:tcPr>
          <w:p>
            <w:pPr>
              <w:spacing w:after="0"/>
              <w:rPr>
                <w:sz w:val="1"/>
                <w:szCs w:val="1"/>
                <w:color w:val="auto"/>
              </w:rPr>
            </w:pPr>
          </w:p>
        </w:tc>
      </w:tr>
      <w:tr>
        <w:trPr>
          <w:trHeight w:val="993"/>
        </w:trPr>
        <w:tc>
          <w:tcPr>
            <w:tcW w:w="6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117" w:right="959" w:bottom="1440" w:gutter="0" w:footer="0" w:header="0"/>
          <w:type w:val="continuous"/>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March 31,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000’s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center"/>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costs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 related to restricted stock awards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insurance claims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rent expense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Barter revenue (net)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and other compensation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decrease in current assets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adjustments</w:t>
            </w: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 (Capital Expenditures)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and disposal of assets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insurance claims, redemption of investments and other</w:t>
            </w: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dividends paid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6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333" w:right="9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Supplemental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Operating Loss to Station Operating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non-GAAP financial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920"/>
          </w:cols>
          <w:pgMar w:left="980" w:top="7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60" w:type="dxa"/>
            <w:vAlign w:val="bottom"/>
          </w:tcPr>
          <w:p>
            <w:pPr>
              <w:spacing w:after="0"/>
              <w:rPr>
                <w:sz w:val="14"/>
                <w:szCs w:val="14"/>
                <w:color w:val="auto"/>
              </w:rPr>
            </w:pPr>
          </w:p>
        </w:tc>
        <w:tc>
          <w:tcPr>
            <w:tcW w:w="24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Station operating income</w:t>
            </w: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-556895</wp:posOffset>
            </wp:positionV>
            <wp:extent cx="62922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-281940</wp:posOffset>
            </wp:positionV>
            <wp:extent cx="629221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-839470</wp:posOffset>
            </wp:positionV>
            <wp:extent cx="629221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(3,262)</w:t>
            </w:r>
          </w:p>
        </w:tc>
        <w:tc>
          <w:tcPr>
            <w:tcW w:w="1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(2,298)</w:t>
            </w:r>
          </w:p>
        </w:tc>
        <w:tc>
          <w:tcPr>
            <w:tcW w:w="2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-565150</wp:posOffset>
            </wp:positionV>
            <wp:extent cx="1431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ind w:left="1720" w:hanging="1308"/>
        <w:spacing w:after="0"/>
        <w:tabs>
          <w:tab w:leader="none" w:pos="1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w:t>
      </w:r>
    </w:p>
    <w:p>
      <w:pPr>
        <w:spacing w:after="0" w:line="9"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1,174</w:t>
      </w:r>
      <w:r>
        <w:rPr>
          <w:rFonts w:ascii="Times New Roman" w:cs="Times New Roman" w:eastAsia="Times New Roman" w:hAnsi="Times New Roman"/>
          <w:sz w:val="17"/>
          <w:szCs w:val="17"/>
          <w:color w:val="auto"/>
        </w:rPr>
        <w:t>1,326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5715</wp:posOffset>
            </wp:positionV>
            <wp:extent cx="1431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ind w:left="380"/>
        <w:spacing w:after="0"/>
        <w:tabs>
          <w:tab w:leader="none" w:pos="900" w:val="left"/>
          <w:tab w:leader="none" w:pos="1480" w:val="left"/>
          <w:tab w:leader="none" w:pos="2020" w:val="left"/>
        </w:tabs>
        <w:rPr>
          <w:sz w:val="20"/>
          <w:szCs w:val="20"/>
          <w:color w:val="auto"/>
        </w:rPr>
      </w:pPr>
      <w:r>
        <w:rPr>
          <w:rFonts w:ascii="Times New Roman" w:cs="Times New Roman" w:eastAsia="Times New Roman" w:hAnsi="Times New Roman"/>
          <w:sz w:val="18"/>
          <w:szCs w:val="18"/>
          <w:b w:val="1"/>
          <w:bCs w:val="1"/>
          <w:color w:val="auto"/>
        </w:rPr>
        <w:t>855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2,249</w:t>
        <w:tab/>
        <w:t>​</w:t>
      </w:r>
    </w:p>
    <w:p>
      <w:pPr>
        <w:spacing w:after="0" w:line="23" w:lineRule="exact"/>
        <w:rPr>
          <w:sz w:val="20"/>
          <w:szCs w:val="20"/>
          <w:color w:val="auto"/>
        </w:rPr>
      </w:pPr>
    </w:p>
    <w:p>
      <w:pPr>
        <w:sectPr>
          <w:pgSz w:w="11900" w:h="16838" w:orient="portrait"/>
          <w:cols w:equalWidth="0" w:num="2">
            <w:col w:w="7460" w:space="220"/>
            <w:col w:w="2240"/>
          </w:cols>
          <w:pgMar w:left="980" w:top="765" w:right="9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04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Radio Stations</w:t>
            </w:r>
          </w:p>
        </w:tc>
        <w:tc>
          <w:tcPr>
            <w:tcW w:w="1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0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Compensation expense related to restricted stock awards </w:t>
            </w:r>
            <w:r>
              <w:rPr>
                <w:rFonts w:ascii="Times New Roman" w:cs="Times New Roman" w:eastAsia="Times New Roman" w:hAnsi="Times New Roman"/>
                <w:sz w:val="26"/>
                <w:szCs w:val="26"/>
                <w:color w:val="auto"/>
                <w:vertAlign w:val="superscript"/>
              </w:rPr>
              <w:t>(1)</w:t>
            </w:r>
          </w:p>
        </w:tc>
        <w:tc>
          <w:tcPr>
            <w:tcW w:w="1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518</w:t>
            </w:r>
          </w:p>
        </w:tc>
        <w:tc>
          <w:tcPr>
            <w:tcW w:w="2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527</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4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Other operating (income) expense, net </w:t>
            </w:r>
            <w:r>
              <w:rPr>
                <w:rFonts w:ascii="Times New Roman" w:cs="Times New Roman" w:eastAsia="Times New Roman" w:hAnsi="Times New Roman"/>
                <w:sz w:val="22"/>
                <w:szCs w:val="22"/>
                <w:color w:val="auto"/>
                <w:vertAlign w:val="superscript"/>
              </w:rPr>
              <w:t>(2)</w:t>
            </w: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6"/>
                <w:szCs w:val="26"/>
                <w:color w:val="auto"/>
                <w:vertAlign w:val="superscript"/>
              </w:rPr>
              <w:t>(2)</w:t>
            </w:r>
          </w:p>
        </w:tc>
        <w:tc>
          <w:tcPr>
            <w:tcW w:w="1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4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4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Deferred income tax (benefit) expense </w:t>
            </w:r>
            <w:r>
              <w:rPr>
                <w:rFonts w:ascii="Times New Roman" w:cs="Times New Roman" w:eastAsia="Times New Roman" w:hAnsi="Times New Roman"/>
                <w:sz w:val="22"/>
                <w:szCs w:val="22"/>
                <w:color w:val="auto"/>
                <w:vertAlign w:val="superscript"/>
              </w:rPr>
              <w:t>(2)</w:t>
            </w: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(745)</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Non-cash rent expense </w:t>
            </w:r>
            <w:r>
              <w:rPr>
                <w:rFonts w:ascii="Times New Roman" w:cs="Times New Roman" w:eastAsia="Times New Roman" w:hAnsi="Times New Roman"/>
                <w:sz w:val="26"/>
                <w:szCs w:val="26"/>
                <w:color w:val="auto"/>
                <w:vertAlign w:val="superscript"/>
              </w:rPr>
              <w:t>(1)</w:t>
            </w:r>
          </w:p>
        </w:tc>
        <w:tc>
          <w:tcPr>
            <w:tcW w:w="1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4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4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Acquisition of property and equipment (Capital Expenditures) </w:t>
            </w:r>
            <w:r>
              <w:rPr>
                <w:rFonts w:ascii="Times New Roman" w:cs="Times New Roman" w:eastAsia="Times New Roman" w:hAnsi="Times New Roman"/>
                <w:sz w:val="22"/>
                <w:szCs w:val="22"/>
                <w:color w:val="auto"/>
                <w:vertAlign w:val="superscript"/>
              </w:rPr>
              <w:t>(1)</w:t>
            </w: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779</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1568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in the Statement of Cash Flows in the Selected Consolidated Financial Data tables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in the Operating Results in the Selected Consolidated Financial Data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type w:val="continuous"/>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Selected Supplemental Financial Data</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Reconciliation of GAAP Net Loss to Trailing 12 Month Consolidated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 and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Net Leverage Ratio (non-GAAP financial measures)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(amounts in 000's)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spacing w:after="0"/>
              <w:rPr>
                <w:sz w:val="14"/>
                <w:szCs w:val="14"/>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Plus: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Trailing</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12 Months Ended</w:t>
            </w:r>
          </w:p>
        </w:tc>
        <w:tc>
          <w:tcPr>
            <w:tcW w:w="14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 Months Ended</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 Months Ended</w:t>
            </w:r>
          </w:p>
        </w:tc>
        <w:tc>
          <w:tcPr>
            <w:tcW w:w="120" w:type="dxa"/>
            <w:vAlign w:val="bottom"/>
          </w:tcPr>
          <w:p>
            <w:pPr>
              <w:spacing w:after="0"/>
              <w:rPr>
                <w:sz w:val="14"/>
                <w:szCs w:val="14"/>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12 Months Ended</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(19,229)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exclusions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6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Consolidated adjusted net loss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(1,830)</w:t>
            </w: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(1,005)</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Non-cash lease charges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360" w:type="dxa"/>
            <w:vAlign w:val="bottom"/>
            <w:tcBorders>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Trailing twelve month consolidated EBITDA </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including current maturities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Less: Unrestricted cash in excess of $10,000,000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(11,054)</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Debt net of unrestricted cash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Divided by trailing twelve month consolidated EBITDA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0" w:type="dxa"/>
            <w:vAlign w:val="bottom"/>
          </w:tcPr>
          <w:p>
            <w:pPr>
              <w:spacing w:after="0"/>
              <w:rPr>
                <w:sz w:val="21"/>
                <w:szCs w:val="21"/>
                <w:color w:val="auto"/>
              </w:rPr>
            </w:pPr>
          </w:p>
        </w:tc>
        <w:tc>
          <w:tcPr>
            <w:tcW w:w="436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Consolidated net leverage ratio </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As defined in the Company's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20"/>
      </w:cols>
      <w:pgMar w:left="980" w:top="1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670"/>
    </w:lvl>
  </w:abstractNum>
  <w:abstractNum w:abstractNumId="3">
    <w:nsid w:val="238E1F29"/>
    <w:multiLevelType w:val="hybridMultilevel"/>
    <w:lvl w:ilvl="0">
      <w:lvlJc w:val="left"/>
      <w:lvlText w:val="(%1)"/>
      <w:numFmt w:val="decimal"/>
      <w:start w:val="3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2026-05-07T08:06:54Z</dcterms:created>
  <dcterms:modified xsi:type="dcterms:W3CDTF">2026-05-07T08:06:54Z</dcterms:modified>
</cp:coreProperties>
</file>