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sga-20260630x10q.htm"/>
        <w:bookmarkStart w:id="1" w:name="kssga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bookmarkStart w:id="2" w:name="_4ca1d592_9e49_4c93_bb50_717927e7875b"/>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20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 One)</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3" w:name="Tc_XR6PxQYHp0SAQTYHfsgXLw_1_1"/>
      <w:bookmarkStart w:id="4" w:name="_b171dd25_b998_4273_b83d_b2f5c8574a6d"/>
      <w:bookmarkStart w:id="5" w:name="Tc_XR6PxQYHp0SAQTYHfsgXLw_1_1"/>
      <w:bookmarkStart w:id="6" w:name="_b171dd25_b998_4273_b83d_b2f5c8574a6d"/>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982335" cy="175260"/>
                      <wp:effectExtent l="0" t="0" r="0" b="0"/>
                      <wp:wrapNone/>
                      <wp:docPr id="1" name="Frame1"/>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7" w:name="Tc_CilynPQcB0SaIc8OOH7kRw_1_1"/>
      <w:bookmarkStart w:id="8" w:name="_ac7827a3_afce_465a_862f_6a1efba30ad1"/>
      <w:bookmarkStart w:id="9" w:name="Tc_CilynPQcB0SaIc8OOH7kRw_1_1"/>
      <w:bookmarkStart w:id="10" w:name="_ac7827a3_afce_465a_862f_6a1efba30ad1"/>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982335" cy="175260"/>
                      <wp:effectExtent l="0" t="0" r="0" b="0"/>
                      <wp:wrapNone/>
                      <wp:docPr id="2" name="Frame2"/>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1-11588</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Saga Communications, Inc.</w:t>
      </w:r>
    </w:p>
    <w:p>
      <w:pPr>
        <w:pStyle w:val="TextBody"/>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(Exact name of registrant as specified in its charter)</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1" w:name="Tc_AnXkucQcOEaTcziNpJ1K3A_4_1"/>
      <w:bookmarkStart w:id="12" w:name="Tc_pMmrm0srr0GOc1xfQZjLBw_4_0"/>
      <w:bookmarkStart w:id="13" w:name="Tc_YmHCmYl-LEyk8Z2r_7O3sg_2_1"/>
      <w:bookmarkStart w:id="14" w:name="Tc_pcLy4wprgUmSRXZPz1j_tg_2_0"/>
      <w:bookmarkStart w:id="15" w:name="_3ad23b83_45fd_491b_948c_80001b6be781"/>
      <w:bookmarkStart w:id="16" w:name="Tc_AnXkucQcOEaTcziNpJ1K3A_4_1"/>
      <w:bookmarkStart w:id="17" w:name="Tc_pMmrm0srr0GOc1xfQZjLBw_4_0"/>
      <w:bookmarkStart w:id="18" w:name="Tc_YmHCmYl-LEyk8Z2r_7O3sg_2_1"/>
      <w:bookmarkStart w:id="19" w:name="Tc_pcLy4wprgUmSRXZPz1j_tg_2_0"/>
      <w:bookmarkStart w:id="20" w:name="_3ad23b83_45fd_491b_948c_80001b6be781"/>
      <w:bookmarkEnd w:id="16"/>
      <w:bookmarkEnd w:id="17"/>
      <w:bookmarkEnd w:id="18"/>
      <w:bookmarkEnd w:id="19"/>
      <w:bookmarkEnd w:id="20"/>
    </w:p>
    <w:tbl>
      <w:tblPr>
        <w:tblW w:w="4307" w:type="dxa"/>
        <w:jc w:val="left"/>
        <w:tblInd w:w="0" w:type="dxa"/>
        <w:tblLayout w:type="fixed"/>
        <w:tblCellMar>
          <w:top w:w="0" w:type="dxa"/>
          <w:left w:w="0" w:type="dxa"/>
          <w:bottom w:w="0" w:type="dxa"/>
          <w:right w:w="0" w:type="dxa"/>
        </w:tblCellMar>
      </w:tblPr>
      <w:tblGrid>
        <w:gridCol w:w="2866"/>
        <w:gridCol w:w="144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Florida</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38-3042953</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(State or other jurisdiction of</w:t>
            </w:r>
            <w:r>
              <w:rPr>
                <w:rFonts w:ascii="Times New Roman;Times;serif" w:hAnsi="Times New Roman;Times;serif"/>
                <w:sz w:val="18"/>
              </w:rPr>
              <w:br/>
            </w:r>
            <w:r>
              <w:rPr>
                <w:rFonts w:ascii="Times New Roman;Times;serif" w:hAnsi="Times New Roman;Times;serif"/>
                <w:i/>
                <w:sz w:val="18"/>
              </w:rPr>
              <w:t>incorporation or organization)</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(I.R.S. Employer</w:t>
            </w:r>
            <w:r>
              <w:rPr>
                <w:rFonts w:ascii="Times New Roman;Times;serif" w:hAnsi="Times New Roman;Times;serif"/>
                <w:sz w:val="18"/>
              </w:rPr>
              <w:br/>
            </w:r>
            <w:r>
              <w:rPr>
                <w:rFonts w:ascii="Times New Roman;Times;serif" w:hAnsi="Times New Roman;Times;serif"/>
                <w:i/>
                <w:sz w:val="18"/>
              </w:rPr>
              <w:t>Identification No.)</w:t>
            </w:r>
          </w:p>
        </w:tc>
      </w:tr>
      <w:tr>
        <w:trPr/>
        <w:tc>
          <w:tcPr>
            <w:tcW w:w="286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73 Kercheval Avenue</w:t>
            </w:r>
            <w:r>
              <w:rPr>
                <w:rFonts w:ascii="Times New Roman;Times;serif" w:hAnsi="Times New Roman;Times;serif"/>
                <w:sz w:val="18"/>
              </w:rPr>
              <w:br/>
            </w:r>
            <w:r>
              <w:rPr>
                <w:rFonts w:ascii="Times New Roman;Times;serif" w:hAnsi="Times New Roman;Times;serif"/>
                <w:b/>
                <w:sz w:val="18"/>
              </w:rPr>
              <w:t>Grosse Pointe Farms, Michigan</w:t>
            </w:r>
            <w:r>
              <w:rPr>
                <w:rFonts w:ascii="Times New Roman;Times;serif" w:hAnsi="Times New Roman;Times;serif"/>
                <w:sz w:val="18"/>
              </w:rPr>
              <w:br/>
            </w:r>
            <w:r>
              <w:rPr>
                <w:rFonts w:ascii="Times New Roman;Times;serif" w:hAnsi="Times New Roman;Times;serif"/>
                <w:i/>
                <w:sz w:val="18"/>
              </w:rPr>
              <w:t>(Address of principal executive offices)</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48236</w:t>
            </w:r>
            <w:r>
              <w:rPr>
                <w:rFonts w:ascii="Times New Roman;Times;serif" w:hAnsi="Times New Roman;Times;serif"/>
                <w:sz w:val="18"/>
              </w:rPr>
              <w:br/>
            </w:r>
            <w:r>
              <w:rPr>
                <w:rFonts w:ascii="Times New Roman;Times;serif" w:hAnsi="Times New Roman;Times;serif"/>
                <w:i/>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(313) 886-7070</w:t>
      </w:r>
    </w:p>
    <w:p>
      <w:pPr>
        <w:pStyle w:val="TextBody"/>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(Registrant’s telephone number, including area code)</w:t>
      </w:r>
    </w:p>
    <w:p>
      <w:pPr>
        <w:pStyle w:val="TextBody"/>
        <w:bidi w:val="0"/>
        <w:spacing w:before="0" w:after="200"/>
        <w:ind w:left="0" w:right="0" w:hanging="0"/>
        <w:jc w:val="center"/>
        <w:rPr/>
      </w:pPr>
      <w:r>
        <w:rPr/>
        <w:t>​</w:t>
      </w:r>
    </w:p>
    <w:p>
      <w:pPr>
        <w:pStyle w:val="TextBody"/>
        <w:bidi w:val="0"/>
        <w:spacing w:before="0" w:after="20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1" w:name="Tc_PHZS-DQPikuYsUqcb7qkbQ_1_2"/>
      <w:bookmarkStart w:id="22" w:name="Tc_-4hepqKBOEOGqegdDdYhYw_1_1"/>
      <w:bookmarkStart w:id="23" w:name="Tc_S92dMp3-NUGGViIVJHk7sQ_1_0"/>
      <w:bookmarkStart w:id="24" w:name="_2d93a8f3_3c55_42f1_b3fa_e8cb30fe8795"/>
      <w:bookmarkStart w:id="25" w:name="Tc_PHZS-DQPikuYsUqcb7qkbQ_1_2"/>
      <w:bookmarkStart w:id="26" w:name="Tc_-4hepqKBOEOGqegdDdYhYw_1_1"/>
      <w:bookmarkStart w:id="27" w:name="Tc_S92dMp3-NUGGViIVJHk7sQ_1_0"/>
      <w:bookmarkStart w:id="28" w:name="_2d93a8f3_3c55_42f1_b3fa_e8cb30fe8795"/>
      <w:bookmarkEnd w:id="25"/>
      <w:bookmarkEnd w:id="26"/>
      <w:bookmarkEnd w:id="27"/>
      <w:bookmarkEnd w:id="28"/>
    </w:p>
    <w:tbl>
      <w:tblPr>
        <w:tblW w:w="8418" w:type="dxa"/>
        <w:jc w:val="left"/>
        <w:tblInd w:w="0" w:type="dxa"/>
        <w:tblLayout w:type="fixed"/>
        <w:tblCellMar>
          <w:top w:w="0" w:type="dxa"/>
          <w:left w:w="0" w:type="dxa"/>
          <w:bottom w:w="0" w:type="dxa"/>
          <w:right w:w="0" w:type="dxa"/>
        </w:tblCellMar>
      </w:tblPr>
      <w:tblGrid>
        <w:gridCol w:w="3721"/>
        <w:gridCol w:w="1426"/>
        <w:gridCol w:w="327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362835" cy="29210"/>
                      <wp:effectExtent l="0" t="0" r="0" b="0"/>
                      <wp:wrapNone/>
                      <wp:docPr id="3" name="Frame3"/>
                      <a:graphic xmlns:a="http://schemas.openxmlformats.org/drawingml/2006/main">
                        <a:graphicData uri="http://schemas.microsoft.com/office/word/2010/wordprocessingShape">
                          <wps:wsp>
                            <wps:cNvSpPr txBox="1"/>
                            <wps:spPr>
                              <a:xfrm>
                                <a:off x="0" y="0"/>
                                <a:ext cx="2362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05510" cy="29210"/>
                      <wp:effectExtent l="0" t="0" r="0" b="0"/>
                      <wp:wrapNone/>
                      <wp:docPr id="4" name="Frame4"/>
                      <a:graphic xmlns:a="http://schemas.openxmlformats.org/drawingml/2006/main">
                        <a:graphicData uri="http://schemas.microsoft.com/office/word/2010/wordprocessingShape">
                          <wps:wsp>
                            <wps:cNvSpPr txBox="1"/>
                            <wps:spPr>
                              <a:xfrm>
                                <a:off x="0" y="0"/>
                                <a:ext cx="905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7085" cy="29210"/>
                      <wp:effectExtent l="0" t="0" r="0" b="0"/>
                      <wp:wrapNone/>
                      <wp:docPr id="5" name="Frame5"/>
                      <a:graphic xmlns:a="http://schemas.openxmlformats.org/drawingml/2006/main">
                        <a:graphicData uri="http://schemas.microsoft.com/office/word/2010/wordprocessingShape">
                          <wps:wsp>
                            <wps:cNvSpPr txBox="1"/>
                            <wps:spPr>
                              <a:xfrm>
                                <a:off x="0" y="0"/>
                                <a:ext cx="2077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72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26"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372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 par value $0.01 per share</w:t>
            </w:r>
          </w:p>
        </w:tc>
        <w:tc>
          <w:tcPr>
            <w:tcW w:w="1426"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SGA</w:t>
            </w:r>
          </w:p>
        </w:tc>
        <w:tc>
          <w:tcPr>
            <w:tcW w:w="327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00"/>
        <w:ind w:left="0" w:right="0" w:firstLine="360"/>
        <w:jc w:val="left"/>
        <w:rPr/>
      </w:pPr>
      <w:r>
        <w:rPr/>
        <w:t>​</w:t>
      </w:r>
    </w:p>
    <w:tbl>
      <w:tblPr>
        <w:tblW w:w="6483" w:type="dxa"/>
        <w:jc w:val="left"/>
        <w:tblInd w:w="0" w:type="dxa"/>
        <w:tblLayout w:type="fixed"/>
        <w:tblCellMar>
          <w:top w:w="0" w:type="dxa"/>
          <w:left w:w="0" w:type="dxa"/>
          <w:bottom w:w="0" w:type="dxa"/>
          <w:right w:w="0" w:type="dxa"/>
        </w:tblCellMar>
      </w:tblPr>
      <w:tblGrid>
        <w:gridCol w:w="2371"/>
        <w:gridCol w:w="2266"/>
        <w:gridCol w:w="1846"/>
      </w:tblGrid>
      <w:tr>
        <w:trPr/>
        <w:tc>
          <w:tcPr>
            <w:tcW w:w="23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p>
            <w:pPr>
              <w:pStyle w:val="TableContents"/>
              <w:bidi w:val="0"/>
              <w:spacing w:before="0" w:after="200"/>
              <w:ind w:left="0" w:right="0" w:hanging="0"/>
              <w:jc w:val="left"/>
              <w:rPr/>
            </w:pPr>
            <w:r>
              <w:rPr/>
              <w:t>​</w:t>
            </w:r>
          </w:p>
        </w:tc>
        <w:tc>
          <w:tcPr>
            <w:tcW w:w="22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 ☐</w:t>
            </w:r>
          </w:p>
        </w:tc>
        <w:tc>
          <w:tcPr>
            <w:tcW w:w="18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tc>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ableContents"/>
              <w:bidi w:val="0"/>
              <w:spacing w:before="0" w:after="200"/>
              <w:ind w:left="0" w:right="0" w:hanging="0"/>
              <w:jc w:val="left"/>
              <w:rPr/>
            </w:pPr>
            <w:r>
              <w:rPr/>
              <w:t>​</w:t>
            </w:r>
          </w:p>
        </w:tc>
        <w:tc>
          <w:tcPr>
            <w:tcW w:w="1846" w:type="dxa"/>
            <w:tcBorders/>
            <w:vAlign w:val="center"/>
          </w:tcPr>
          <w:p>
            <w:pPr>
              <w:pStyle w:val="TableContents"/>
              <w:bidi w:val="0"/>
              <w:spacing w:before="0" w:after="200"/>
              <w:ind w:left="0" w:right="0" w:hanging="0"/>
              <w:jc w:val="center"/>
              <w:rPr/>
            </w:pPr>
            <w:r>
              <w:rPr/>
              <w:t>​</w:t>
            </w:r>
          </w:p>
        </w:tc>
      </w:tr>
    </w:tbl>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The number of shares of the registrant’s Class A Common Stock, $.01 par value, outstanding as of August 10, 2026 was 6,357,988.</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200"/>
        <w:ind w:left="0" w:right="0" w:firstLine="360"/>
        <w:jc w:val="center"/>
        <w:rPr/>
      </w:pPr>
      <w:r>
        <w:rPr/>
        <w:t>​</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9" w:name="TOC"/>
      <w:bookmarkStart w:id="30" w:name="_21067aed_374b_4d89_85b6_9b6572de5591"/>
      <w:bookmarkEnd w:id="29"/>
      <w:bookmarkEnd w:id="30"/>
      <w:r>
        <w:rPr>
          <w:rFonts w:ascii="Times New Roman;Times;serif" w:hAnsi="Times New Roman;Times;serif"/>
          <w:b/>
          <w:sz w:val="20"/>
        </w:rPr>
        <w:t>INDEX</w:t>
      </w:r>
    </w:p>
    <w:tbl>
      <w:tblPr>
        <w:tblW w:w="9992" w:type="dxa"/>
        <w:jc w:val="left"/>
        <w:tblInd w:w="0" w:type="dxa"/>
        <w:tblLayout w:type="fixed"/>
        <w:tblCellMar>
          <w:top w:w="0" w:type="dxa"/>
          <w:left w:w="0" w:type="dxa"/>
          <w:bottom w:w="0" w:type="dxa"/>
          <w:right w:w="0" w:type="dxa"/>
        </w:tblCellMar>
      </w:tblPr>
      <w:tblGrid>
        <w:gridCol w:w="9421"/>
        <w:gridCol w:w="571"/>
      </w:tblGrid>
      <w:tr>
        <w:trPr/>
        <w:tc>
          <w:tcPr>
            <w:tcW w:w="9421"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421" w:type="dxa"/>
            <w:tcBorders/>
            <w:shd w:fill="CCEEFF" w:val="clear"/>
            <w:vAlign w:val="center"/>
          </w:tcPr>
          <w:p>
            <w:pPr>
              <w:pStyle w:val="TableContents"/>
              <w:bidi w:val="0"/>
              <w:spacing w:before="0" w:after="0"/>
              <w:ind w:left="0" w:right="0" w:hanging="0"/>
              <w:jc w:val="left"/>
              <w:rPr/>
            </w:pPr>
            <w:hyperlink w:anchor="PARTIFINANCIALINFORMATION_512157">
              <w:r>
                <w:rPr>
                  <w:rStyle w:val="InternetLink"/>
                  <w:rFonts w:ascii="Times New Roman;Times;serif" w:hAnsi="Times New Roman;Times;serif"/>
                  <w:b w:val="false"/>
                  <w:i w:val="false"/>
                  <w:caps w:val="false"/>
                  <w:smallCaps w:val="false"/>
                  <w:sz w:val="20"/>
                </w:rPr>
                <w:t>PART I. FINANCIAL INFORMATION</w:t>
              </w:r>
            </w:hyperlink>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Item1FinancialStatements_648444">
              <w:r>
                <w:rPr>
                  <w:rStyle w:val="InternetLink"/>
                  <w:rFonts w:ascii="Times New Roman;Times;serif" w:hAnsi="Times New Roman;Times;serif"/>
                  <w:b w:val="false"/>
                  <w:i w:val="false"/>
                  <w:caps w:val="false"/>
                  <w:smallCaps w:val="false"/>
                  <w:sz w:val="20"/>
                </w:rPr>
                <w:t>Item 1. 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CONDENSEDCONSOLIDATEDBALANCESHEETS_94992">
              <w:r>
                <w:rPr>
                  <w:rStyle w:val="InternetLink"/>
                  <w:rFonts w:ascii="Times New Roman;Times;serif" w:hAnsi="Times New Roman;Times;serif"/>
                  <w:b w:val="false"/>
                  <w:i w:val="false"/>
                  <w:caps w:val="false"/>
                  <w:smallCaps w:val="false"/>
                  <w:sz w:val="20"/>
                </w:rPr>
                <w:t>Condensed consolidated balance sheets — June 30, 2026 and December 31, 2025</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 xml:space="preserve">Condensed consolidated statements of operations — Three and six months ended June 30, 2026 and 2025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Condensed consolidated statements of stockholders’ equity – Three and six months ended June 30, 2026 and 2025</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 Six months ended June 30, 2026 and 2025</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Item4ControlsandProcedures_643394">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PARTIIOTHERINFORMATION_865863">
              <w:r>
                <w:rPr>
                  <w:rStyle w:val="InternetLink"/>
                  <w:rFonts w:ascii="Times New Roman;Times;serif" w:hAnsi="Times New Roman;Times;serif"/>
                  <w:b w:val="false"/>
                  <w:i w:val="false"/>
                  <w:caps w:val="false"/>
                  <w:smallCaps w:val="false"/>
                  <w:sz w:val="20"/>
                </w:rPr>
                <w:t>PART II 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Item1LegalProceedings_143738">
              <w:r>
                <w:rPr>
                  <w:rStyle w:val="InternetLink"/>
                  <w:rFonts w:ascii="Times New Roman;Times;serif" w:hAnsi="Times New Roman;Times;serif"/>
                  <w:b w:val="false"/>
                  <w:i w:val="false"/>
                  <w:caps w:val="false"/>
                  <w:smallCaps w:val="false"/>
                  <w:sz w:val="20"/>
                </w:rPr>
                <w:t>Item 1. 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Item_5_Other">
              <w:r>
                <w:rPr>
                  <w:rStyle w:val="InternetLink"/>
                  <w:rFonts w:ascii="Times New Roman;Times;serif" w:hAnsi="Times New Roman;Times;serif"/>
                  <w:b w:val="false"/>
                  <w:i w:val="false"/>
                  <w:caps w:val="false"/>
                  <w:smallCaps w:val="false"/>
                  <w:sz w:val="20"/>
                </w:rPr>
                <w:t>Item 5. 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Item6Exhibits_526642">
              <w:r>
                <w:rPr>
                  <w:rStyle w:val="InternetLink"/>
                  <w:rFonts w:ascii="Times New Roman;Times;serif" w:hAnsi="Times New Roman;Times;serif"/>
                  <w:b w:val="false"/>
                  <w:i w:val="false"/>
                  <w:caps w:val="false"/>
                  <w:smallCaps w:val="false"/>
                  <w:sz w:val="20"/>
                </w:rPr>
                <w:t>Item 6. 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21" w:type="dxa"/>
            <w:tcBorders/>
            <w:shd w:fill="CCEEFF" w:val="clear"/>
            <w:vAlign w:val="center"/>
          </w:tcPr>
          <w:p>
            <w:pPr>
              <w:pStyle w:val="TableContents"/>
              <w:bidi w:val="0"/>
              <w:spacing w:before="0" w:after="0"/>
              <w:ind w:left="0" w:right="0" w:hanging="0"/>
              <w:jc w:val="left"/>
              <w:rPr/>
            </w:pPr>
            <w:hyperlink w:anchor="SIGNATURES_832543">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EX-31.1</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EX-31.2</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EX-32</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INSTANCE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SCHEMA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CALCULATION LINKBASE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LABELS LINKBASE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PRESENTATION LINKBASE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DEFINITION LINKBASE DOCUMENT</w:t>
            </w:r>
          </w:p>
        </w:tc>
        <w:tc>
          <w:tcPr>
            <w:tcW w:w="5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31" w:name="PARTIFINANCIALINFORMATION_512157"/>
      <w:bookmarkStart w:id="32" w:name="_61fafc7b_4648_41b9_a85c_57829ab01f08"/>
      <w:bookmarkEnd w:id="31"/>
      <w:bookmarkEnd w:id="32"/>
      <w:r>
        <w:rPr>
          <w:rFonts w:ascii="Times New Roman;Times;serif" w:hAnsi="Times New Roman;Times;serif"/>
          <w:b/>
          <w:sz w:val="20"/>
        </w:rPr>
        <w:t>PART I — FINANCIAL INFORMATION</w:t>
      </w:r>
    </w:p>
    <w:p>
      <w:pPr>
        <w:pStyle w:val="TextBody"/>
        <w:bidi w:val="0"/>
        <w:spacing w:before="0" w:after="200"/>
        <w:ind w:left="0" w:right="0" w:hanging="0"/>
        <w:jc w:val="left"/>
        <w:rPr>
          <w:rFonts w:ascii="Times New Roman;Times;serif" w:hAnsi="Times New Roman;Times;serif"/>
          <w:b/>
          <w:sz w:val="20"/>
        </w:rPr>
      </w:pPr>
      <w:bookmarkStart w:id="33" w:name="Item1FinancialStatements_648444"/>
      <w:bookmarkEnd w:id="33"/>
      <w:r>
        <w:rPr>
          <w:rFonts w:ascii="Times New Roman;Times;serif" w:hAnsi="Times New Roman;Times;serif"/>
          <w:b/>
          <w:sz w:val="20"/>
        </w:rPr>
        <w:t xml:space="preserve">Item 1. </w:t>
      </w:r>
      <w:r>
        <w:rPr>
          <w:rFonts w:ascii="Times New Roman;Times;serif" w:hAnsi="Times New Roman;Times;serif"/>
          <w:b/>
          <w:i/>
          <w:sz w:val="20"/>
        </w:rPr>
        <w:t>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34" w:name="CONDENSEDCONSOLIDATEDBALANCESHEETS_94992"/>
      <w:bookmarkEnd w:id="34"/>
      <w:r>
        <w:rPr>
          <w:rFonts w:ascii="Times New Roman;Times;serif" w:hAnsi="Times New Roman;Times;serif"/>
          <w:b/>
          <w:sz w:val="20"/>
        </w:rPr>
        <w:t>CONDENSED CONSOLIDATED BALANCE SHEETS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 w:name="Tc_-54YRy4ls0yE3m8SAGlgKQ_43_5"/>
      <w:bookmarkStart w:id="36" w:name="Tc_9oS23uvdj0mE9Jc3DdU-LQ_43_2"/>
      <w:bookmarkStart w:id="37" w:name="Tc_lMFUWF7xQ0SpfpQ9NCTZkg_43_0"/>
      <w:bookmarkStart w:id="38" w:name="Tc_0ZjCGvEeWkiVzkSHKco2ww_42_0"/>
      <w:bookmarkStart w:id="39" w:name="Tc_Q_F7yDPq40-_XuZis6awxA_41_0"/>
      <w:bookmarkStart w:id="40" w:name="Tc_lIExEneLZkWnMSN3DMHEOQ_40_0"/>
      <w:bookmarkStart w:id="41" w:name="Tc_QXNRIIT0ZUSF1Kju0oHU5Q_39_0"/>
      <w:bookmarkStart w:id="42" w:name="Tc_kc8bV_HhEUGC15P-x0urQg_38_0"/>
      <w:bookmarkStart w:id="43" w:name="Tc_ADbADoa8JkaerBLcDyFNlw_37_0"/>
      <w:bookmarkStart w:id="44" w:name="Tc_ZSsz2ldV7E-IZpQMVoTp-g_36_0"/>
      <w:bookmarkStart w:id="45" w:name="Tc_fDzgDouN30qSjEeCbimoiQ_35_0"/>
      <w:bookmarkStart w:id="46" w:name="Tc_y1O8xk3glEGPg8iydI8KpA_34_0"/>
      <w:bookmarkStart w:id="47" w:name="Tc_MkX0xXwKt0qK5yoUwTCuZw_33_0"/>
      <w:bookmarkStart w:id="48" w:name="Tc_WSTZ8uq1d0-u98k3oyTAkg_32_0"/>
      <w:bookmarkStart w:id="49" w:name="Tc_qzgxWVCJXEGCt8ux-8S2aA_31_0"/>
      <w:bookmarkStart w:id="50" w:name="Tc_RK9OmAcqO0Oy9vzmlgRB0g_30_6"/>
      <w:bookmarkStart w:id="51" w:name="Tc_CgMNC98OtEea7RT_xB2Eog_30_0"/>
      <w:bookmarkStart w:id="52" w:name="Tc_LuIllR4bD0eTpFYGoyWGTw_29_0"/>
      <w:bookmarkStart w:id="53" w:name="Tc_Yc1Q0z2cb0S3MgjA_sG5NA_28_0"/>
      <w:bookmarkStart w:id="54" w:name="Tc_OpSePdub30ayxrYCYUFuiA_27_0"/>
      <w:bookmarkStart w:id="55" w:name="Tc_pVPA_UMpQkuG0ppzfX66Fw_26_0"/>
      <w:bookmarkStart w:id="56" w:name="Tc_mb6CSllJ4kqHDDpx7r4crQ_25_5"/>
      <w:bookmarkStart w:id="57" w:name="Tc_5bKGsfRa00-IMqg5VAveaQ_25_2"/>
      <w:bookmarkStart w:id="58" w:name="Tc_S6uUCRAUDUO5IcwIAUrq-w_25_0"/>
      <w:bookmarkStart w:id="59" w:name="Tc_5lfXoMRWkUaL3R31V8dQzw_24_0"/>
      <w:bookmarkStart w:id="60" w:name="Tc_1PmtV9QtSke6_Dlk8us1Ww_23_0"/>
      <w:bookmarkStart w:id="61" w:name="Tc_WfH8GiMPlUaUgODEdk84rg_21_5"/>
      <w:bookmarkStart w:id="62" w:name="Tc_qJ4JW1vMgUaWIbF3JtYMdA_21_2"/>
      <w:bookmarkStart w:id="63" w:name="Tc_J7Ca_GRSd02-Y3r8QBF90Q_21_0"/>
      <w:bookmarkStart w:id="64" w:name="Tc_UzB_sFlZ8kqIMBIvg0Vv9g_20_0"/>
      <w:bookmarkStart w:id="65" w:name="Tc_34K1IGEOxUee42M6ELkzVQ_19_0"/>
      <w:bookmarkStart w:id="66" w:name="Tc_UDqkS1ZrzUuo7XJkcX-yBQ_18_0"/>
      <w:bookmarkStart w:id="67" w:name="Tc_j7H4yrMFBkOUMzG7KP7ANw_17_0"/>
      <w:bookmarkStart w:id="68" w:name="Tc_PHGm_f6ExEmpPGpM_KkC6A_16_0"/>
      <w:bookmarkStart w:id="69" w:name="Tc_j29gf2-IT0-FvXmadeuAWQ_15_0"/>
      <w:bookmarkStart w:id="70" w:name="Tc_WRSlIgt2OkuxoG9lRLIhWA_14_0"/>
      <w:bookmarkStart w:id="71" w:name="Tc_u-dp6Jmdi0yrdXHgVdFkiw_13_0"/>
      <w:bookmarkStart w:id="72" w:name="Tc_3Mz5n3KxtE2SYizL4u_nmg_12_0"/>
      <w:bookmarkStart w:id="73" w:name="Tc_fFu07rqAWkKDJSAXV9H4Wg_11_0"/>
      <w:bookmarkStart w:id="74" w:name="Tc_CSrFukHMYUCoY8kC96vWnA_10_0"/>
      <w:bookmarkStart w:id="75" w:name="Tc_YR8LcTKTd0iYlogrLinUzg_9_0"/>
      <w:bookmarkStart w:id="76" w:name="Tc_UEPl71cGxkmSXLOn6uKI8g_8_6"/>
      <w:bookmarkStart w:id="77" w:name="Tc_PHSp2QIznEuPOw4MKy6pTQ_8_0"/>
      <w:bookmarkStart w:id="78" w:name="Tc_xADIFYAs3EywUOH6XlLOQA_7_5"/>
      <w:bookmarkStart w:id="79" w:name="Tc_EY00qM2FKUqW6MFaoABiog_7_2"/>
      <w:bookmarkStart w:id="80" w:name="Tc_d3pDrvKgl0asCFCQoNIntw_7_0"/>
      <w:bookmarkStart w:id="81" w:name="Tc_zWzI3ndQp0KYI5l33dYuzg_6_0"/>
      <w:bookmarkStart w:id="82" w:name="Tc_QPZo7viPhEKRtWtrmRuoPg_5_0"/>
      <w:bookmarkStart w:id="83" w:name="Tc_QP5djYWjDE6E2sUuFctCeA_4_2"/>
      <w:bookmarkStart w:id="84" w:name="Tc_p4TMn943vE6KwnEhExAlrg_3_5"/>
      <w:bookmarkStart w:id="85" w:name="Tc_VVZvrXPcTEq-NFtFmxPOow_3_2"/>
      <w:bookmarkStart w:id="86" w:name="Tc_-0butI2-x0eSykL3cuC6Fg_2_5"/>
      <w:bookmarkStart w:id="87" w:name="Tc_BBPo__0T-U6fRwBIYUVy6w_2_2"/>
      <w:bookmarkStart w:id="88" w:name="Tc_W49B8raxXEeSLL2THux1-Q_1_5"/>
      <w:bookmarkStart w:id="89" w:name="Tc_iv83Rjf25UKqZRQh35zRcA_1_2"/>
      <w:bookmarkStart w:id="90" w:name="_5a937207_957e_4740_b563_ed7562fffa48"/>
      <w:bookmarkStart w:id="91" w:name="Tc_-54YRy4ls0yE3m8SAGlgKQ_43_5"/>
      <w:bookmarkStart w:id="92" w:name="Tc_9oS23uvdj0mE9Jc3DdU-LQ_43_2"/>
      <w:bookmarkStart w:id="93" w:name="Tc_lMFUWF7xQ0SpfpQ9NCTZkg_43_0"/>
      <w:bookmarkStart w:id="94" w:name="Tc_0ZjCGvEeWkiVzkSHKco2ww_42_0"/>
      <w:bookmarkStart w:id="95" w:name="Tc_Q_F7yDPq40-_XuZis6awxA_41_0"/>
      <w:bookmarkStart w:id="96" w:name="Tc_lIExEneLZkWnMSN3DMHEOQ_40_0"/>
      <w:bookmarkStart w:id="97" w:name="Tc_QXNRIIT0ZUSF1Kju0oHU5Q_39_0"/>
      <w:bookmarkStart w:id="98" w:name="Tc_kc8bV_HhEUGC15P-x0urQg_38_0"/>
      <w:bookmarkStart w:id="99" w:name="Tc_ADbADoa8JkaerBLcDyFNlw_37_0"/>
      <w:bookmarkStart w:id="100" w:name="Tc_ZSsz2ldV7E-IZpQMVoTp-g_36_0"/>
      <w:bookmarkStart w:id="101" w:name="Tc_fDzgDouN30qSjEeCbimoiQ_35_0"/>
      <w:bookmarkStart w:id="102" w:name="Tc_y1O8xk3glEGPg8iydI8KpA_34_0"/>
      <w:bookmarkStart w:id="103" w:name="Tc_MkX0xXwKt0qK5yoUwTCuZw_33_0"/>
      <w:bookmarkStart w:id="104" w:name="Tc_WSTZ8uq1d0-u98k3oyTAkg_32_0"/>
      <w:bookmarkStart w:id="105" w:name="Tc_qzgxWVCJXEGCt8ux-8S2aA_31_0"/>
      <w:bookmarkStart w:id="106" w:name="Tc_RK9OmAcqO0Oy9vzmlgRB0g_30_6"/>
      <w:bookmarkStart w:id="107" w:name="Tc_CgMNC98OtEea7RT_xB2Eog_30_0"/>
      <w:bookmarkStart w:id="108" w:name="Tc_LuIllR4bD0eTpFYGoyWGTw_29_0"/>
      <w:bookmarkStart w:id="109" w:name="Tc_Yc1Q0z2cb0S3MgjA_sG5NA_28_0"/>
      <w:bookmarkStart w:id="110" w:name="Tc_OpSePdub30ayxrYCYUFuiA_27_0"/>
      <w:bookmarkStart w:id="111" w:name="Tc_pVPA_UMpQkuG0ppzfX66Fw_26_0"/>
      <w:bookmarkStart w:id="112" w:name="Tc_mb6CSllJ4kqHDDpx7r4crQ_25_5"/>
      <w:bookmarkStart w:id="113" w:name="Tc_5bKGsfRa00-IMqg5VAveaQ_25_2"/>
      <w:bookmarkStart w:id="114" w:name="Tc_S6uUCRAUDUO5IcwIAUrq-w_25_0"/>
      <w:bookmarkStart w:id="115" w:name="Tc_5lfXoMRWkUaL3R31V8dQzw_24_0"/>
      <w:bookmarkStart w:id="116" w:name="Tc_1PmtV9QtSke6_Dlk8us1Ww_23_0"/>
      <w:bookmarkStart w:id="117" w:name="Tc_WfH8GiMPlUaUgODEdk84rg_21_5"/>
      <w:bookmarkStart w:id="118" w:name="Tc_qJ4JW1vMgUaWIbF3JtYMdA_21_2"/>
      <w:bookmarkStart w:id="119" w:name="Tc_J7Ca_GRSd02-Y3r8QBF90Q_21_0"/>
      <w:bookmarkStart w:id="120" w:name="Tc_UzB_sFlZ8kqIMBIvg0Vv9g_20_0"/>
      <w:bookmarkStart w:id="121" w:name="Tc_34K1IGEOxUee42M6ELkzVQ_19_0"/>
      <w:bookmarkStart w:id="122" w:name="Tc_UDqkS1ZrzUuo7XJkcX-yBQ_18_0"/>
      <w:bookmarkStart w:id="123" w:name="Tc_j7H4yrMFBkOUMzG7KP7ANw_17_0"/>
      <w:bookmarkStart w:id="124" w:name="Tc_PHGm_f6ExEmpPGpM_KkC6A_16_0"/>
      <w:bookmarkStart w:id="125" w:name="Tc_j29gf2-IT0-FvXmadeuAWQ_15_0"/>
      <w:bookmarkStart w:id="126" w:name="Tc_WRSlIgt2OkuxoG9lRLIhWA_14_0"/>
      <w:bookmarkStart w:id="127" w:name="Tc_u-dp6Jmdi0yrdXHgVdFkiw_13_0"/>
      <w:bookmarkStart w:id="128" w:name="Tc_3Mz5n3KxtE2SYizL4u_nmg_12_0"/>
      <w:bookmarkStart w:id="129" w:name="Tc_fFu07rqAWkKDJSAXV9H4Wg_11_0"/>
      <w:bookmarkStart w:id="130" w:name="Tc_CSrFukHMYUCoY8kC96vWnA_10_0"/>
      <w:bookmarkStart w:id="131" w:name="Tc_YR8LcTKTd0iYlogrLinUzg_9_0"/>
      <w:bookmarkStart w:id="132" w:name="Tc_UEPl71cGxkmSXLOn6uKI8g_8_6"/>
      <w:bookmarkStart w:id="133" w:name="Tc_PHSp2QIznEuPOw4MKy6pTQ_8_0"/>
      <w:bookmarkStart w:id="134" w:name="Tc_xADIFYAs3EywUOH6XlLOQA_7_5"/>
      <w:bookmarkStart w:id="135" w:name="Tc_EY00qM2FKUqW6MFaoABiog_7_2"/>
      <w:bookmarkStart w:id="136" w:name="Tc_d3pDrvKgl0asCFCQoNIntw_7_0"/>
      <w:bookmarkStart w:id="137" w:name="Tc_zWzI3ndQp0KYI5l33dYuzg_6_0"/>
      <w:bookmarkStart w:id="138" w:name="Tc_QPZo7viPhEKRtWtrmRuoPg_5_0"/>
      <w:bookmarkStart w:id="139" w:name="Tc_QP5djYWjDE6E2sUuFctCeA_4_2"/>
      <w:bookmarkStart w:id="140" w:name="Tc_p4TMn943vE6KwnEhExAlrg_3_5"/>
      <w:bookmarkStart w:id="141" w:name="Tc_VVZvrXPcTEq-NFtFmxPOow_3_2"/>
      <w:bookmarkStart w:id="142" w:name="Tc_-0butI2-x0eSykL3cuC6Fg_2_5"/>
      <w:bookmarkStart w:id="143" w:name="Tc_BBPo__0T-U6fRwBIYUVy6w_2_2"/>
      <w:bookmarkStart w:id="144" w:name="Tc_W49B8raxXEeSLL2THux1-Q_1_5"/>
      <w:bookmarkStart w:id="145" w:name="Tc_iv83Rjf25UKqZRQh35zRcA_1_2"/>
      <w:bookmarkStart w:id="146" w:name="_5a937207_957e_4740_b563_ed7562fffa48"/>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tbl>
      <w:tblPr>
        <w:tblW w:w="7969" w:type="dxa"/>
        <w:jc w:val="left"/>
        <w:tblInd w:w="0" w:type="dxa"/>
        <w:tblLayout w:type="fixed"/>
        <w:tblCellMar>
          <w:top w:w="0" w:type="dxa"/>
          <w:left w:w="0" w:type="dxa"/>
          <w:bottom w:w="0" w:type="dxa"/>
          <w:right w:w="0" w:type="dxa"/>
        </w:tblCellMar>
      </w:tblPr>
      <w:tblGrid>
        <w:gridCol w:w="4486"/>
        <w:gridCol w:w="346"/>
        <w:gridCol w:w="232"/>
        <w:gridCol w:w="863"/>
        <w:gridCol w:w="346"/>
        <w:gridCol w:w="277"/>
        <w:gridCol w:w="1028"/>
        <w:gridCol w:w="391"/>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848610" cy="175260"/>
                      <wp:effectExtent l="0" t="0" r="0" b="0"/>
                      <wp:wrapNone/>
                      <wp:docPr id="6" name="Frame6"/>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7320" cy="175260"/>
                      <wp:effectExtent l="0" t="0" r="0" b="0"/>
                      <wp:wrapNone/>
                      <wp:docPr id="8" name="Frame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48005" cy="175260"/>
                      <wp:effectExtent l="0" t="0" r="0" b="0"/>
                      <wp:wrapNone/>
                      <wp:docPr id="9" name="Frame9"/>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75895" cy="175260"/>
                      <wp:effectExtent l="0" t="0" r="0" b="0"/>
                      <wp:wrapNone/>
                      <wp:docPr id="11" name="Frame1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2780" cy="175260"/>
                      <wp:effectExtent l="0" t="0" r="0" b="0"/>
                      <wp:wrapNone/>
                      <wp:docPr id="12" name="Frame12"/>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48285" cy="175260"/>
                      <wp:effectExtent l="0" t="0" r="0" b="0"/>
                      <wp:wrapNone/>
                      <wp:docPr id="13" name="Frame1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1" w:type="dxa"/>
            <w:tcBorders/>
            <w:vAlign w:val="center"/>
          </w:tcPr>
          <w:p>
            <w:pPr>
              <w:pStyle w:val="TableContents"/>
              <w:bidi w:val="0"/>
              <w:spacing w:before="0" w:after="0"/>
              <w:ind w:left="0" w:right="0" w:hanging="0"/>
              <w:jc w:val="left"/>
              <w:rPr/>
            </w:pPr>
            <w:r>
              <w:rPr/>
              <w:t>  ​ ​ ​</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w:t>
            </w:r>
          </w:p>
        </w:tc>
        <w:tc>
          <w:tcPr>
            <w:tcW w:w="391" w:type="dxa"/>
            <w:tcBorders/>
            <w:vAlign w:val="center"/>
          </w:tcPr>
          <w:p>
            <w:pPr>
              <w:pStyle w:val="TableContents"/>
              <w:bidi w:val="0"/>
              <w:spacing w:before="0" w:after="0"/>
              <w:ind w:left="0" w:right="0" w:hanging="0"/>
              <w:jc w:val="left"/>
              <w:rPr/>
            </w:pPr>
            <w:r>
              <w:rPr/>
              <w:t>​</w:t>
            </w:r>
          </w:p>
        </w:tc>
      </w:tr>
      <w:tr>
        <w:trPr/>
        <w:tc>
          <w:tcPr>
            <w:tcW w:w="7969"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18,378</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9,466</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13,208</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14,031</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Barter transactions</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46,235</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49,168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140,679</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144,276</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96,037</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97,863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44,642</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46,413</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Broadcast licenses</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90,310</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90,311</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10,209</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intangibles, deferred costs and investments, net </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5,411</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5,177</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196,807</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201,322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 and payroll taxes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5,128</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6,645</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7,123</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Barter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long-term debt</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20,643</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21,332</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21,927</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6,603</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6,757</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48,578</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49,842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6, 9 and 10)</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76,280</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75,749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109,274</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113,884</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(37,408)</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148,229</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151,480</w:t>
            </w:r>
          </w:p>
        </w:tc>
        <w:tc>
          <w:tcPr>
            <w:tcW w:w="391"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196,807</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201,322</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 The balance sheet at December 31, 2025 has been derived from the audited financial statements at that date but does not include all of the information and footnotes required by accounting principles generally accepted in the United States for complete financial statements.</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47" w:name="_6b48c200_2f42_4d72_b0ca_4842e44dcf32"/>
      <w:bookmarkEnd w:id="147"/>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148" w:name="CONDENSEDCONSOLIDATEDSTATEMENTSOFINCOME_"/>
      <w:bookmarkEnd w:id="148"/>
      <w:r>
        <w:rPr>
          <w:rFonts w:ascii="Times New Roman;Times;serif" w:hAnsi="Times New Roman;Times;serif"/>
          <w:b/>
          <w:sz w:val="20"/>
        </w:rPr>
        <w:t>CONDENSED CONSOLIDATED STATEMENTS OF OPERATIONS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49" w:name="Tc_VZqsPrfIZ0a6U46zs0JuBg_29_11"/>
      <w:bookmarkStart w:id="150" w:name="Tc_ZudXkF0SfEKp550ODlaKTw_29_8"/>
      <w:bookmarkStart w:id="151" w:name="Tc_fwl_sxEOoUiXwAoTxAAEOQ_29_5"/>
      <w:bookmarkStart w:id="152" w:name="Tc_CIc7viHoh0ajvjQ5Hib7cg_29_2"/>
      <w:bookmarkStart w:id="153" w:name="Tc_a3Jn3cZn4UG_X2LEYPu3WQ_29_0"/>
      <w:bookmarkStart w:id="154" w:name="Tc_Alu0wEuE2EiccHTm72sBNA_27_0"/>
      <w:bookmarkStart w:id="155" w:name="Tc_GAZ6v7UWMEyOqggtUerakQ_26_0"/>
      <w:bookmarkStart w:id="156" w:name="Tc_DWOJ9MBStkCN7S39a2d17Q_24_11"/>
      <w:bookmarkStart w:id="157" w:name="Tc_M1a-Uyz65E-_tSRRIfuqUQ_24_8"/>
      <w:bookmarkStart w:id="158" w:name="Tc_eY5XqJq55kaf4oWHlFrj1Q_24_5"/>
      <w:bookmarkStart w:id="159" w:name="Tc_JC6XEfW5QEyS7sGg0avD1Q_24_2"/>
      <w:bookmarkStart w:id="160" w:name="Tc_aspAVduHvEGZrkYEH7QCpQ_24_0"/>
      <w:bookmarkStart w:id="161" w:name="Tc_UblVG_HJEkuU04bZnhYMMg_23_11"/>
      <w:bookmarkStart w:id="162" w:name="Tc_o2G1d2ZR0UWLQGsGBhG1Ug_23_8"/>
      <w:bookmarkStart w:id="163" w:name="Tc_6VVRDfsdekChG1hw1x5Azw_23_5"/>
      <w:bookmarkStart w:id="164" w:name="Tc_GnxMzbO1_kepYMu2RF0NDg_23_2"/>
      <w:bookmarkStart w:id="165" w:name="Tc_-5gSo5DaMkWEwuWE7dATHg_23_0"/>
      <w:bookmarkStart w:id="166" w:name="Tc_mEd7xWPMw0ScqCe6F22ucQ_22_0"/>
      <w:bookmarkStart w:id="167" w:name="Tc_PX-G575J1kmBvPpvRGSGxA_20_11"/>
      <w:bookmarkStart w:id="168" w:name="Tc_kQrER6-HnkqbPkF6gO7zkw_20_8"/>
      <w:bookmarkStart w:id="169" w:name="Tc_7vyyDoCReEOmGqUti6L0Tg_20_5"/>
      <w:bookmarkStart w:id="170" w:name="Tc_m714TeZKZUCnaCpZpQpBjg_20_2"/>
      <w:bookmarkStart w:id="171" w:name="Tc_JolP0NdwFkqc93i0xcwulw_20_0"/>
      <w:bookmarkStart w:id="172" w:name="Tc_PBy_avySWUiBylcGTimZJQ_18_0"/>
      <w:bookmarkStart w:id="173" w:name="Tc_0TGa7Tlo0EyaKFlOywG8rw_17_3"/>
      <w:bookmarkStart w:id="174" w:name="Tc__XdskydpdUKp28ujvKXS3Q_17_0"/>
      <w:bookmarkStart w:id="175" w:name="Tc_byZdhZ_I8Uaa2WAJdjGPMQ_16_0"/>
      <w:bookmarkStart w:id="176" w:name="Tc_91-EF5NS9EOaTiHmUfjoAQ_15_0"/>
      <w:bookmarkStart w:id="177" w:name="Tc_Od6IHrLibke49dfS4F0euw_14_0"/>
      <w:bookmarkStart w:id="178" w:name="Tc_w-GqXvszUUSPUFdnx0LU1A_13_0"/>
      <w:bookmarkStart w:id="179" w:name="Tc_UkmPpl_O9U2CURluifa7dg_12_0"/>
      <w:bookmarkStart w:id="180" w:name="Tc_pIk3OJkpy0WZTGU-0Un79Q_11_0"/>
      <w:bookmarkStart w:id="181" w:name="Tc_SPXIPDuW1ECRbYBPtTPvWw_10_0"/>
      <w:bookmarkStart w:id="182" w:name="Tc_RcnTsogx3UyvUvHGMC70LA_9_0"/>
      <w:bookmarkStart w:id="183" w:name="Tc_HrKT8Y4kKU25QzzDl0HMVA_8_0"/>
      <w:bookmarkStart w:id="184" w:name="Tc_HLsUYMr7hkqPTys26h_SdQ_7_0"/>
      <w:bookmarkStart w:id="185" w:name="Tc_LP65sSiHE0-K_EWDn6F_Lw_6_11"/>
      <w:bookmarkStart w:id="186" w:name="Tc_Kd-wT1bIAEyXY5ZPFYBdoA_6_8"/>
      <w:bookmarkStart w:id="187" w:name="Tc_AafSl-dcw0SOILE1cId63w_6_5"/>
      <w:bookmarkStart w:id="188" w:name="Tc_Pg9mB-z4t0GnLJX6g5v6_g_6_2"/>
      <w:bookmarkStart w:id="189" w:name="Tc_Z1Zfz9mqY0SKaVjjzo9dAQ_6_0"/>
      <w:bookmarkStart w:id="190" w:name="Tc_C5oQxQ7Ejk6PGZ6Fvbvsaw_5_2"/>
      <w:bookmarkStart w:id="191" w:name="Tc_RNAEgO64A0eMse9v9PNw7g_4_2"/>
      <w:bookmarkStart w:id="192" w:name="Tc_3dYS_UsJJ0eO9coA9vhfRA_3_11"/>
      <w:bookmarkStart w:id="193" w:name="Tc_JqKtss6PpEGHPeXSVSSqdA_3_8"/>
      <w:bookmarkStart w:id="194" w:name="Tc_Z5NVqiaD9k2FpPkBJVIuBw_3_5"/>
      <w:bookmarkStart w:id="195" w:name="Tc_5J6so_rljki42H6pjtNBtw_3_2"/>
      <w:bookmarkStart w:id="196" w:name="Tc_kvR9oWZQ6EywpHK86oeDCA_2_8"/>
      <w:bookmarkStart w:id="197" w:name="Tc_NM4ToRTvk0iDc5eMR895sQ_2_2"/>
      <w:bookmarkStart w:id="198" w:name="Tc_02OZDRrMhEWsg8OejlNFlA_1_8"/>
      <w:bookmarkStart w:id="199" w:name="Tc_UxTHnaqPBEqgPA5qkiI5rg_1_2"/>
      <w:bookmarkStart w:id="200" w:name="_978ddacc_f173_4dc8_a0c6_efa0beebfbf6"/>
      <w:bookmarkStart w:id="201" w:name="Tc_VZqsPrfIZ0a6U46zs0JuBg_29_11"/>
      <w:bookmarkStart w:id="202" w:name="Tc_ZudXkF0SfEKp550ODlaKTw_29_8"/>
      <w:bookmarkStart w:id="203" w:name="Tc_fwl_sxEOoUiXwAoTxAAEOQ_29_5"/>
      <w:bookmarkStart w:id="204" w:name="Tc_CIc7viHoh0ajvjQ5Hib7cg_29_2"/>
      <w:bookmarkStart w:id="205" w:name="Tc_a3Jn3cZn4UG_X2LEYPu3WQ_29_0"/>
      <w:bookmarkStart w:id="206" w:name="Tc_Alu0wEuE2EiccHTm72sBNA_27_0"/>
      <w:bookmarkStart w:id="207" w:name="Tc_GAZ6v7UWMEyOqggtUerakQ_26_0"/>
      <w:bookmarkStart w:id="208" w:name="Tc_DWOJ9MBStkCN7S39a2d17Q_24_11"/>
      <w:bookmarkStart w:id="209" w:name="Tc_M1a-Uyz65E-_tSRRIfuqUQ_24_8"/>
      <w:bookmarkStart w:id="210" w:name="Tc_eY5XqJq55kaf4oWHlFrj1Q_24_5"/>
      <w:bookmarkStart w:id="211" w:name="Tc_JC6XEfW5QEyS7sGg0avD1Q_24_2"/>
      <w:bookmarkStart w:id="212" w:name="Tc_aspAVduHvEGZrkYEH7QCpQ_24_0"/>
      <w:bookmarkStart w:id="213" w:name="Tc_UblVG_HJEkuU04bZnhYMMg_23_11"/>
      <w:bookmarkStart w:id="214" w:name="Tc_o2G1d2ZR0UWLQGsGBhG1Ug_23_8"/>
      <w:bookmarkStart w:id="215" w:name="Tc_6VVRDfsdekChG1hw1x5Azw_23_5"/>
      <w:bookmarkStart w:id="216" w:name="Tc_GnxMzbO1_kepYMu2RF0NDg_23_2"/>
      <w:bookmarkStart w:id="217" w:name="Tc_-5gSo5DaMkWEwuWE7dATHg_23_0"/>
      <w:bookmarkStart w:id="218" w:name="Tc_mEd7xWPMw0ScqCe6F22ucQ_22_0"/>
      <w:bookmarkStart w:id="219" w:name="Tc_PX-G575J1kmBvPpvRGSGxA_20_11"/>
      <w:bookmarkStart w:id="220" w:name="Tc_kQrER6-HnkqbPkF6gO7zkw_20_8"/>
      <w:bookmarkStart w:id="221" w:name="Tc_7vyyDoCReEOmGqUti6L0Tg_20_5"/>
      <w:bookmarkStart w:id="222" w:name="Tc_m714TeZKZUCnaCpZpQpBjg_20_2"/>
      <w:bookmarkStart w:id="223" w:name="Tc_JolP0NdwFkqc93i0xcwulw_20_0"/>
      <w:bookmarkStart w:id="224" w:name="Tc_PBy_avySWUiBylcGTimZJQ_18_0"/>
      <w:bookmarkStart w:id="225" w:name="Tc_0TGa7Tlo0EyaKFlOywG8rw_17_3"/>
      <w:bookmarkStart w:id="226" w:name="Tc__XdskydpdUKp28ujvKXS3Q_17_0"/>
      <w:bookmarkStart w:id="227" w:name="Tc_byZdhZ_I8Uaa2WAJdjGPMQ_16_0"/>
      <w:bookmarkStart w:id="228" w:name="Tc_91-EF5NS9EOaTiHmUfjoAQ_15_0"/>
      <w:bookmarkStart w:id="229" w:name="Tc_Od6IHrLibke49dfS4F0euw_14_0"/>
      <w:bookmarkStart w:id="230" w:name="Tc_w-GqXvszUUSPUFdnx0LU1A_13_0"/>
      <w:bookmarkStart w:id="231" w:name="Tc_UkmPpl_O9U2CURluifa7dg_12_0"/>
      <w:bookmarkStart w:id="232" w:name="Tc_pIk3OJkpy0WZTGU-0Un79Q_11_0"/>
      <w:bookmarkStart w:id="233" w:name="Tc_SPXIPDuW1ECRbYBPtTPvWw_10_0"/>
      <w:bookmarkStart w:id="234" w:name="Tc_RcnTsogx3UyvUvHGMC70LA_9_0"/>
      <w:bookmarkStart w:id="235" w:name="Tc_HrKT8Y4kKU25QzzDl0HMVA_8_0"/>
      <w:bookmarkStart w:id="236" w:name="Tc_HLsUYMr7hkqPTys26h_SdQ_7_0"/>
      <w:bookmarkStart w:id="237" w:name="Tc_LP65sSiHE0-K_EWDn6F_Lw_6_11"/>
      <w:bookmarkStart w:id="238" w:name="Tc_Kd-wT1bIAEyXY5ZPFYBdoA_6_8"/>
      <w:bookmarkStart w:id="239" w:name="Tc_AafSl-dcw0SOILE1cId63w_6_5"/>
      <w:bookmarkStart w:id="240" w:name="Tc_Pg9mB-z4t0GnLJX6g5v6_g_6_2"/>
      <w:bookmarkStart w:id="241" w:name="Tc_Z1Zfz9mqY0SKaVjjzo9dAQ_6_0"/>
      <w:bookmarkStart w:id="242" w:name="Tc_C5oQxQ7Ejk6PGZ6Fvbvsaw_5_2"/>
      <w:bookmarkStart w:id="243" w:name="Tc_RNAEgO64A0eMse9v9PNw7g_4_2"/>
      <w:bookmarkStart w:id="244" w:name="Tc_3dYS_UsJJ0eO9coA9vhfRA_3_11"/>
      <w:bookmarkStart w:id="245" w:name="Tc_JqKtss6PpEGHPeXSVSSqdA_3_8"/>
      <w:bookmarkStart w:id="246" w:name="Tc_Z5NVqiaD9k2FpPkBJVIuBw_3_5"/>
      <w:bookmarkStart w:id="247" w:name="Tc_5J6so_rljki42H6pjtNBtw_3_2"/>
      <w:bookmarkStart w:id="248" w:name="Tc_kvR9oWZQ6EywpHK86oeDCA_2_8"/>
      <w:bookmarkStart w:id="249" w:name="Tc_NM4ToRTvk0iDc5eMR895sQ_2_2"/>
      <w:bookmarkStart w:id="250" w:name="Tc_02OZDRrMhEWsg8OejlNFlA_1_8"/>
      <w:bookmarkStart w:id="251" w:name="Tc_UxTHnaqPBEqgPA5qkiI5rg_1_2"/>
      <w:bookmarkStart w:id="252" w:name="_978ddacc_f173_4dc8_a0c6_efa0beebfbf6"/>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tbl>
      <w:tblPr>
        <w:tblW w:w="9898" w:type="dxa"/>
        <w:jc w:val="left"/>
        <w:tblInd w:w="0" w:type="dxa"/>
        <w:tblLayout w:type="fixed"/>
        <w:tblCellMar>
          <w:top w:w="0" w:type="dxa"/>
          <w:left w:w="0" w:type="dxa"/>
          <w:bottom w:w="0" w:type="dxa"/>
          <w:right w:w="0" w:type="dxa"/>
        </w:tblCellMar>
      </w:tblPr>
      <w:tblGrid>
        <w:gridCol w:w="4891"/>
        <w:gridCol w:w="346"/>
        <w:gridCol w:w="211"/>
        <w:gridCol w:w="691"/>
        <w:gridCol w:w="346"/>
        <w:gridCol w:w="211"/>
        <w:gridCol w:w="676"/>
        <w:gridCol w:w="346"/>
        <w:gridCol w:w="211"/>
        <w:gridCol w:w="691"/>
        <w:gridCol w:w="346"/>
        <w:gridCol w:w="211"/>
        <w:gridCol w:w="721"/>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105785" cy="175260"/>
                      <wp:effectExtent l="0" t="0" r="0" b="0"/>
                      <wp:wrapNone/>
                      <wp:docPr id="14" name="Frame14"/>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38785" cy="175260"/>
                      <wp:effectExtent l="0" t="0" r="0" b="0"/>
                      <wp:wrapNone/>
                      <wp:docPr id="17" name="Frame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9260" cy="175260"/>
                      <wp:effectExtent l="0" t="0" r="0" b="0"/>
                      <wp:wrapNone/>
                      <wp:docPr id="20" name="Frame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38785" cy="175260"/>
                      <wp:effectExtent l="0" t="0" r="0" b="0"/>
                      <wp:wrapNone/>
                      <wp:docPr id="23" name="Frame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57835" cy="175260"/>
                      <wp:effectExtent l="0" t="0" r="0" b="0"/>
                      <wp:wrapNone/>
                      <wp:docPr id="26" name="Frame2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3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 </w:t>
            </w:r>
          </w:p>
        </w:tc>
        <w:tc>
          <w:tcPr>
            <w:tcW w:w="218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 </w:t>
            </w:r>
          </w:p>
        </w:tc>
        <w:tc>
          <w:tcPr>
            <w:tcW w:w="2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989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26,402</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49,269</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52,441</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Station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44,189</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sale of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(loss) before income tax expense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(benefit) expense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and common equivalent shares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r>
      <w:tr>
        <w:trPr/>
        <w:tc>
          <w:tcPr>
            <w:tcW w:w="48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0.50</w:t>
            </w:r>
          </w:p>
        </w:tc>
      </w:tr>
    </w:tbl>
    <w:p>
      <w:pPr>
        <w:pStyle w:val="TextBody"/>
        <w:bidi w:val="0"/>
        <w:spacing w:before="0" w:after="0"/>
        <w:ind w:left="0" w:right="0" w:hanging="0"/>
        <w:jc w:val="left"/>
        <w:rPr/>
      </w:pPr>
      <w:r>
        <w:rPr/>
        <w:t>​</w:t>
      </w:r>
    </w:p>
    <w:p>
      <w:pPr>
        <w:pStyle w:val="TextBody"/>
        <w:bidi w:val="0"/>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53" w:name="_0ffedcf7_9b76_4b8e_98da_77b83b0418fd"/>
      <w:bookmarkEnd w:id="253"/>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254" w:name="CONSOLIDATEDSTATEMENTSOFSTOCKHOLDERSEQUI"/>
      <w:bookmarkEnd w:id="254"/>
      <w:r>
        <w:rPr>
          <w:rFonts w:ascii="Times New Roman;Times;serif" w:hAnsi="Times New Roman;Times;serif"/>
          <w:b/>
          <w:sz w:val="20"/>
        </w:rPr>
        <w:t>CONDENSED CONSOLIDATED STATEMENTS OF STOCKHOLDERS’ EQUITY</w:t>
      </w:r>
    </w:p>
    <w:p>
      <w:pPr>
        <w:pStyle w:val="TextBody"/>
        <w:bidi w:val="0"/>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For the three and six months ended June 30, 2026 and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5" w:name="Tc_EBUvDOoYw0CpIn98MATNLg_16_21"/>
      <w:bookmarkStart w:id="256" w:name="Tc_Cu6_iYbHfk61TRw5b65P8w_16_18"/>
      <w:bookmarkStart w:id="257" w:name="Tc_vNCij6AgR0uLAXX_inn1Ng_16_15"/>
      <w:bookmarkStart w:id="258" w:name="Tc_LUzRRut4c06v2oJzM95T9w_16_12"/>
      <w:bookmarkStart w:id="259" w:name="Tc_UTl2pOvNaUuPOqthuJjp_A_16_9"/>
      <w:bookmarkStart w:id="260" w:name="Tc_mEpm3MVMK0uz3IgliGdHAw_16_4"/>
      <w:bookmarkStart w:id="261" w:name="Tc_MJ5BnBNhSkWODxI7ICUVWQ_16_0"/>
      <w:bookmarkStart w:id="262" w:name="Tc_JJxPaouhT029A5TwscdauA_15_0"/>
      <w:bookmarkStart w:id="263" w:name="Tc_0-MU89aigEKkvFDA3ThJqw_14_0"/>
      <w:bookmarkStart w:id="264" w:name="Tc_P2QKVsZjpEGtFxr_6SUbwA_13_0"/>
      <w:bookmarkStart w:id="265" w:name="Tc_wK3uLDfqo0-NRSiIgyLMPQ_12_0"/>
      <w:bookmarkStart w:id="266" w:name="Tc_m6ugK2Hfu0y3pIp1Utftrg_11_21"/>
      <w:bookmarkStart w:id="267" w:name="Tc_IXGxxQtJ8Uy8ziu9d1UhmQ_11_18"/>
      <w:bookmarkStart w:id="268" w:name="Tc_HnDZNmtuJ0KEkfii1lPMiA_11_15"/>
      <w:bookmarkStart w:id="269" w:name="Tc_MDNCeuBunkqNsrelUFH41A_11_12"/>
      <w:bookmarkStart w:id="270" w:name="Tc_Dg8s6leP90ih0RroRd-WCw_11_9"/>
      <w:bookmarkStart w:id="271" w:name="Tc_vHbwqSWMlE-hwiQliFBmVg_11_4"/>
      <w:bookmarkStart w:id="272" w:name="Tc_PaQ4QCu_eUe0sCd_xpV2dg_11_0"/>
      <w:bookmarkStart w:id="273" w:name="Tc_6iByIj7amE2b_O0dt7BfGw_10_0"/>
      <w:bookmarkStart w:id="274" w:name="Tc_oXMSesIYyUCM3irVf3ZUAQ_9_0"/>
      <w:bookmarkStart w:id="275" w:name="Tc_jpx7pBfy80SiWL31DY_98w_8_0"/>
      <w:bookmarkStart w:id="276" w:name="Tc_ODTFlZJAAEKXo-uGT2t5Jw_7_0"/>
      <w:bookmarkStart w:id="277" w:name="Tc__V-RvpKDKUOmrOITwNgDdQ_6_21"/>
      <w:bookmarkStart w:id="278" w:name="Tc_5nbWKl3p9Uybhqu2Hfh6Kw_6_18"/>
      <w:bookmarkStart w:id="279" w:name="Tc_UJGMwjbmO0GID2vGDRQZ-A_6_15"/>
      <w:bookmarkStart w:id="280" w:name="Tc_fBi05fKWtkeAGuZUFjTf3w_6_12"/>
      <w:bookmarkStart w:id="281" w:name="Tc_ufqDO9ngpUqM1ywjQcLbaA_6_9"/>
      <w:bookmarkStart w:id="282" w:name="Tc_X5P7R5K3nkiTCsKMvU5ElQ_6_4"/>
      <w:bookmarkStart w:id="283" w:name="Tc_HZQCMFFf-EOzhQHkKVC8Mw_6_0"/>
      <w:bookmarkStart w:id="284" w:name="Tc_40zA9X4ZuEKNNdpNIH4SxQ_4_2"/>
      <w:bookmarkStart w:id="285" w:name="Tc_QVdZRfYG5EejwGQkvw7gYA_3_21"/>
      <w:bookmarkStart w:id="286" w:name="Tc_6RdFioRqM02rNlloY_g68A_3_18"/>
      <w:bookmarkStart w:id="287" w:name="Tc_22mIxqNt0UKt-dJdBbZt4g_3_15"/>
      <w:bookmarkStart w:id="288" w:name="Tc_F9MCPmtwRUe0pF_C6t4Csg_3_12"/>
      <w:bookmarkStart w:id="289" w:name="Tc_ZdNUaHVPNkqEcyrLp8NWAw_3_9"/>
      <w:bookmarkStart w:id="290" w:name="Tc_-RNSCeW0_UGoCV7TpoK8Zw_3_7"/>
      <w:bookmarkStart w:id="291" w:name="Tc_Gh6Xq_CCg06Vxrt5Hzx0Hg_3_4"/>
      <w:bookmarkStart w:id="292" w:name="Tc_LWY-nLXMvEOB9286qj_50A_3_2"/>
      <w:bookmarkStart w:id="293" w:name="Tc_8GNsT8xfkk6abA9QgIIPDA_2_21"/>
      <w:bookmarkStart w:id="294" w:name="Tc_ue35xT_jV0-s7uQGuHQavQ_2_18"/>
      <w:bookmarkStart w:id="295" w:name="Tc_XkaUBacBqkCxYDK54Wn_LA_2_15"/>
      <w:bookmarkStart w:id="296" w:name="Tc_oh-ADtgZkEiLtpTo0mDagA_2_12"/>
      <w:bookmarkStart w:id="297" w:name="Tc_gQwZCW_gAk2HvxPWojQQbQ_2_7"/>
      <w:bookmarkStart w:id="298" w:name="Tc_g9LAft7Vp0qOoyAkmEV05Q_2_2"/>
      <w:bookmarkStart w:id="299" w:name="Tc_AWQDUO-MLEe8n8OoEwFRDg_1_21"/>
      <w:bookmarkStart w:id="300" w:name="Tc_0GQlsAUkaUeMaVEGZVBLWg_1_12"/>
      <w:bookmarkStart w:id="301" w:name="Tc_9ru7l0rGzUeSFpIejfXyyw_1_7"/>
      <w:bookmarkStart w:id="302" w:name="Tc_5LHY2S89aU-z5K-P6PJb0Q_1_2"/>
      <w:bookmarkStart w:id="303" w:name="_2d377a29_5e4a_4e3c_a76a_85025b8b9d52"/>
      <w:bookmarkStart w:id="304" w:name="Tc_EBUvDOoYw0CpIn98MATNLg_16_21"/>
      <w:bookmarkStart w:id="305" w:name="Tc_Cu6_iYbHfk61TRw5b65P8w_16_18"/>
      <w:bookmarkStart w:id="306" w:name="Tc_vNCij6AgR0uLAXX_inn1Ng_16_15"/>
      <w:bookmarkStart w:id="307" w:name="Tc_LUzRRut4c06v2oJzM95T9w_16_12"/>
      <w:bookmarkStart w:id="308" w:name="Tc_UTl2pOvNaUuPOqthuJjp_A_16_9"/>
      <w:bookmarkStart w:id="309" w:name="Tc_mEpm3MVMK0uz3IgliGdHAw_16_4"/>
      <w:bookmarkStart w:id="310" w:name="Tc_MJ5BnBNhSkWODxI7ICUVWQ_16_0"/>
      <w:bookmarkStart w:id="311" w:name="Tc_JJxPaouhT029A5TwscdauA_15_0"/>
      <w:bookmarkStart w:id="312" w:name="Tc_0-MU89aigEKkvFDA3ThJqw_14_0"/>
      <w:bookmarkStart w:id="313" w:name="Tc_P2QKVsZjpEGtFxr_6SUbwA_13_0"/>
      <w:bookmarkStart w:id="314" w:name="Tc_wK3uLDfqo0-NRSiIgyLMPQ_12_0"/>
      <w:bookmarkStart w:id="315" w:name="Tc_m6ugK2Hfu0y3pIp1Utftrg_11_21"/>
      <w:bookmarkStart w:id="316" w:name="Tc_IXGxxQtJ8Uy8ziu9d1UhmQ_11_18"/>
      <w:bookmarkStart w:id="317" w:name="Tc_HnDZNmtuJ0KEkfii1lPMiA_11_15"/>
      <w:bookmarkStart w:id="318" w:name="Tc_MDNCeuBunkqNsrelUFH41A_11_12"/>
      <w:bookmarkStart w:id="319" w:name="Tc_Dg8s6leP90ih0RroRd-WCw_11_9"/>
      <w:bookmarkStart w:id="320" w:name="Tc_vHbwqSWMlE-hwiQliFBmVg_11_4"/>
      <w:bookmarkStart w:id="321" w:name="Tc_PaQ4QCu_eUe0sCd_xpV2dg_11_0"/>
      <w:bookmarkStart w:id="322" w:name="Tc_6iByIj7amE2b_O0dt7BfGw_10_0"/>
      <w:bookmarkStart w:id="323" w:name="Tc_oXMSesIYyUCM3irVf3ZUAQ_9_0"/>
      <w:bookmarkStart w:id="324" w:name="Tc_jpx7pBfy80SiWL31DY_98w_8_0"/>
      <w:bookmarkStart w:id="325" w:name="Tc_ODTFlZJAAEKXo-uGT2t5Jw_7_0"/>
      <w:bookmarkStart w:id="326" w:name="Tc__V-RvpKDKUOmrOITwNgDdQ_6_21"/>
      <w:bookmarkStart w:id="327" w:name="Tc_5nbWKl3p9Uybhqu2Hfh6Kw_6_18"/>
      <w:bookmarkStart w:id="328" w:name="Tc_UJGMwjbmO0GID2vGDRQZ-A_6_15"/>
      <w:bookmarkStart w:id="329" w:name="Tc_fBi05fKWtkeAGuZUFjTf3w_6_12"/>
      <w:bookmarkStart w:id="330" w:name="Tc_ufqDO9ngpUqM1ywjQcLbaA_6_9"/>
      <w:bookmarkStart w:id="331" w:name="Tc_X5P7R5K3nkiTCsKMvU5ElQ_6_4"/>
      <w:bookmarkStart w:id="332" w:name="Tc_HZQCMFFf-EOzhQHkKVC8Mw_6_0"/>
      <w:bookmarkStart w:id="333" w:name="Tc_40zA9X4ZuEKNNdpNIH4SxQ_4_2"/>
      <w:bookmarkStart w:id="334" w:name="Tc_QVdZRfYG5EejwGQkvw7gYA_3_21"/>
      <w:bookmarkStart w:id="335" w:name="Tc_6RdFioRqM02rNlloY_g68A_3_18"/>
      <w:bookmarkStart w:id="336" w:name="Tc_22mIxqNt0UKt-dJdBbZt4g_3_15"/>
      <w:bookmarkStart w:id="337" w:name="Tc_F9MCPmtwRUe0pF_C6t4Csg_3_12"/>
      <w:bookmarkStart w:id="338" w:name="Tc_ZdNUaHVPNkqEcyrLp8NWAw_3_9"/>
      <w:bookmarkStart w:id="339" w:name="Tc_-RNSCeW0_UGoCV7TpoK8Zw_3_7"/>
      <w:bookmarkStart w:id="340" w:name="Tc_Gh6Xq_CCg06Vxrt5Hzx0Hg_3_4"/>
      <w:bookmarkStart w:id="341" w:name="Tc_LWY-nLXMvEOB9286qj_50A_3_2"/>
      <w:bookmarkStart w:id="342" w:name="Tc_8GNsT8xfkk6abA9QgIIPDA_2_21"/>
      <w:bookmarkStart w:id="343" w:name="Tc_ue35xT_jV0-s7uQGuHQavQ_2_18"/>
      <w:bookmarkStart w:id="344" w:name="Tc_XkaUBacBqkCxYDK54Wn_LA_2_15"/>
      <w:bookmarkStart w:id="345" w:name="Tc_oh-ADtgZkEiLtpTo0mDagA_2_12"/>
      <w:bookmarkStart w:id="346" w:name="Tc_gQwZCW_gAk2HvxPWojQQbQ_2_7"/>
      <w:bookmarkStart w:id="347" w:name="Tc_g9LAft7Vp0qOoyAkmEV05Q_2_2"/>
      <w:bookmarkStart w:id="348" w:name="Tc_AWQDUO-MLEe8n8OoEwFRDg_1_21"/>
      <w:bookmarkStart w:id="349" w:name="Tc_0GQlsAUkaUeMaVEGZVBLWg_1_12"/>
      <w:bookmarkStart w:id="350" w:name="Tc_9ru7l0rGzUeSFpIejfXyyw_1_7"/>
      <w:bookmarkStart w:id="351" w:name="Tc_5LHY2S89aU-z5K-P6PJb0Q_1_2"/>
      <w:bookmarkStart w:id="352" w:name="_2d377a29_5e4a_4e3c_a76a_85025b8b9d52"/>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tbl>
      <w:tblPr>
        <w:tblW w:w="10534" w:type="dxa"/>
        <w:jc w:val="left"/>
        <w:tblInd w:w="0" w:type="dxa"/>
        <w:tblLayout w:type="fixed"/>
        <w:tblCellMar>
          <w:top w:w="0" w:type="dxa"/>
          <w:left w:w="0" w:type="dxa"/>
          <w:bottom w:w="0" w:type="dxa"/>
          <w:right w:w="0" w:type="dxa"/>
        </w:tblCellMar>
      </w:tblPr>
      <w:tblGrid>
        <w:gridCol w:w="1516"/>
        <w:gridCol w:w="346"/>
        <w:gridCol w:w="586"/>
        <w:gridCol w:w="346"/>
        <w:gridCol w:w="249"/>
        <w:gridCol w:w="442"/>
        <w:gridCol w:w="346"/>
        <w:gridCol w:w="586"/>
        <w:gridCol w:w="346"/>
        <w:gridCol w:w="249"/>
        <w:gridCol w:w="442"/>
        <w:gridCol w:w="346"/>
        <w:gridCol w:w="214"/>
        <w:gridCol w:w="657"/>
        <w:gridCol w:w="346"/>
        <w:gridCol w:w="196"/>
        <w:gridCol w:w="691"/>
        <w:gridCol w:w="346"/>
        <w:gridCol w:w="196"/>
        <w:gridCol w:w="661"/>
        <w:gridCol w:w="346"/>
        <w:gridCol w:w="213"/>
        <w:gridCol w:w="868"/>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62660" cy="175260"/>
                      <wp:effectExtent l="0" t="0" r="0" b="0"/>
                      <wp:wrapNone/>
                      <wp:docPr id="27" name="Frame27"/>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72110" cy="175260"/>
                      <wp:effectExtent l="0" t="0" r="0" b="0"/>
                      <wp:wrapNone/>
                      <wp:docPr id="29"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8115" cy="175260"/>
                      <wp:effectExtent l="0" t="0" r="0" b="0"/>
                      <wp:wrapNone/>
                      <wp:docPr id="31" name="Frame3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80670" cy="175260"/>
                      <wp:effectExtent l="0" t="0" r="0" b="0"/>
                      <wp:wrapNone/>
                      <wp:docPr id="32" name="Frame3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72110" cy="175260"/>
                      <wp:effectExtent l="0" t="0" r="0" b="0"/>
                      <wp:wrapNone/>
                      <wp:docPr id="34" name="Frame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8115" cy="175260"/>
                      <wp:effectExtent l="0" t="0" r="0" b="0"/>
                      <wp:wrapNone/>
                      <wp:docPr id="36" name="Frame3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80670" cy="175260"/>
                      <wp:effectExtent l="0" t="0" r="0" b="0"/>
                      <wp:wrapNone/>
                      <wp:docPr id="37" name="Frame3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5890" cy="175260"/>
                      <wp:effectExtent l="0" t="0" r="0" b="0"/>
                      <wp:wrapNone/>
                      <wp:docPr id="39" name="Frame3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17195" cy="175260"/>
                      <wp:effectExtent l="0" t="0" r="0" b="0"/>
                      <wp:wrapNone/>
                      <wp:docPr id="40" name="Frame40"/>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38785" cy="175260"/>
                      <wp:effectExtent l="0" t="0" r="0" b="0"/>
                      <wp:wrapNone/>
                      <wp:docPr id="43" name="Frame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19735" cy="175260"/>
                      <wp:effectExtent l="0" t="0" r="0" b="0"/>
                      <wp:wrapNone/>
                      <wp:docPr id="46" name="Frame4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5255" cy="175260"/>
                      <wp:effectExtent l="0" t="0" r="0" b="0"/>
                      <wp:wrapNone/>
                      <wp:docPr id="48" name="Frame4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51180" cy="175260"/>
                      <wp:effectExtent l="0" t="0" r="0" b="0"/>
                      <wp:wrapNone/>
                      <wp:docPr id="49" name="Frame49"/>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left"/>
              <w:rPr/>
            </w:pPr>
            <w:r>
              <w:rPr/>
              <w:t>​</w:t>
            </w:r>
          </w:p>
        </w:tc>
        <w:tc>
          <w:tcPr>
            <w:tcW w:w="162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6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8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534" w:type="dxa"/>
            <w:gridSpan w:val="23"/>
            <w:tcBorders/>
            <w:vAlign w:val="center"/>
          </w:tcPr>
          <w:p>
            <w:pPr>
              <w:pStyle w:val="TableContents"/>
              <w:bidi w:val="0"/>
              <w:spacing w:before="0" w:after="283"/>
              <w:ind w:left="0" w:right="0" w:hanging="0"/>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72" w:type="dxa"/>
            <w:gridSpan w:val="2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128,216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(36,710)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165,922</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three months ended March 31, 2025</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(1,604)</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401(k) plan contribution</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2025</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8,183</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74,144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125,037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(35,703)</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163,560</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three months ended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1,128</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 of restricted stock</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(1,611)</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603</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8,182</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74,747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124,554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(35,703)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163,680</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3" w:name="Tc_4lH-eIYhjkeikLwhPZrSug_18_21"/>
      <w:bookmarkStart w:id="354" w:name="Tc_U0bkWFceiEKz7Drv-0gSWg_18_18"/>
      <w:bookmarkStart w:id="355" w:name="Tc_ON0ZPtJqHkuyP-65fKlj6w_18_15"/>
      <w:bookmarkStart w:id="356" w:name="Tc_mV_W_Agm10yZ49tt2iaQ9g_18_12"/>
      <w:bookmarkStart w:id="357" w:name="Tc_RzRkkaNaykK7O9yMBUjvFA_18_9"/>
      <w:bookmarkStart w:id="358" w:name="Tc_VZt7x7ZroE2ltmKvNXfN6g_18_4"/>
      <w:bookmarkStart w:id="359" w:name="Tc_38HERm2kvEyDdhlE_rN5Ww_18_0"/>
      <w:bookmarkStart w:id="360" w:name="Tc_bEGSVq6FlkiRrZgRkEzDow_17_0"/>
      <w:bookmarkStart w:id="361" w:name="Tc_WdUxvjNL2U-Jo1UpGvMGHg_16_0"/>
      <w:bookmarkStart w:id="362" w:name="Tc_1zT3_YTadUuDl9rVbKsDjw_15_0"/>
      <w:bookmarkStart w:id="363" w:name="Tc_Ikq-3lZydUqPwYvgESVuzg_14_0"/>
      <w:bookmarkStart w:id="364" w:name="Tc_a18ibczH2kmhMFAcPssMtQ_13_21"/>
      <w:bookmarkStart w:id="365" w:name="Tc_OoDciCBX10SIsgjOB4jizQ_13_18"/>
      <w:bookmarkStart w:id="366" w:name="Tc_eXw-PpLRIUi5zxeKw9NFCw_13_15"/>
      <w:bookmarkStart w:id="367" w:name="Tc_mascIrDXo0OzMEuUWYbN5Q_13_12"/>
      <w:bookmarkStart w:id="368" w:name="Tc_Vmg3KDdZ-UOuSlP9ovOI2A_13_9"/>
      <w:bookmarkStart w:id="369" w:name="Tc_1n2y5di7iEeSNV29rIBJEA_13_4"/>
      <w:bookmarkStart w:id="370" w:name="Tc_CwKwoDj35ESX6ErICBLXLw_13_0"/>
      <w:bookmarkStart w:id="371" w:name="Tc_g9v2M96GvE-AxKYP4t7UNw_12_0"/>
      <w:bookmarkStart w:id="372" w:name="Tc_0xsfADrziEKSMEf1SL6Rqw_11_0"/>
      <w:bookmarkStart w:id="373" w:name="Tc_6nsPB5xdVU6f0lb_e8f5jg_10_0"/>
      <w:bookmarkStart w:id="374" w:name="Tc_zdJ0Jpe7t0-GZhfORXCNBw_9_0"/>
      <w:bookmarkStart w:id="375" w:name="Tc_Z-4X2emkcU22Jj_a_Fgt_g_8_0"/>
      <w:bookmarkStart w:id="376" w:name="Tc_TWLMZ9gsNkqp36sZGIgweA_7_0"/>
      <w:bookmarkStart w:id="377" w:name="Tc__8agxpxz1EmKuvQrZRZ7eQ_6_21"/>
      <w:bookmarkStart w:id="378" w:name="Tc_tyQ2hfUvJ0S7xouek13HjQ_6_18"/>
      <w:bookmarkStart w:id="379" w:name="Tc_6fD_Adrr5kOhgKszVzZHZQ_6_15"/>
      <w:bookmarkStart w:id="380" w:name="Tc_WwdDD17tJkGMPor0wxl2Gg_6_12"/>
      <w:bookmarkStart w:id="381" w:name="Tc_13B6PUb1C0y0kwaSPiHaEw_6_9"/>
      <w:bookmarkStart w:id="382" w:name="Tc_9Ctb5ITb3EGg7wpM3SXNxw_6_4"/>
      <w:bookmarkStart w:id="383" w:name="Tc_mKcwLPxqRUiwwkvdyTWWDA_6_0"/>
      <w:bookmarkStart w:id="384" w:name="Tc_1_WYaBk2jUmFAMINizgwQw_4_2"/>
      <w:bookmarkStart w:id="385" w:name="Tc_Db4gtgtyrEqnM1lYPHOlyA_3_21"/>
      <w:bookmarkStart w:id="386" w:name="Tc_imyDkPci00-BXKxu6NUTDA_3_18"/>
      <w:bookmarkStart w:id="387" w:name="Tc_cSVX_LWty0KkIswQbaWLXw_3_15"/>
      <w:bookmarkStart w:id="388" w:name="Tc_N1t4hJqikEChT4KrsSKTJQ_3_12"/>
      <w:bookmarkStart w:id="389" w:name="Tc_DIe7EW-NjkeF6b0JoLKe5Q_3_9"/>
      <w:bookmarkStart w:id="390" w:name="Tc_CBEHRTaB7UakF-75uxnD2g_3_7"/>
      <w:bookmarkStart w:id="391" w:name="Tc_LlObMUiMvU-k3lxp0TY7Og_3_4"/>
      <w:bookmarkStart w:id="392" w:name="Tc_KAUxURHMjk6XGNYPs8yQEA_3_2"/>
      <w:bookmarkStart w:id="393" w:name="Tc_q9eLHCy8ek2mdU0EBRKKeQ_2_21"/>
      <w:bookmarkStart w:id="394" w:name="Tc_HvxuODpVD0CY1j2FsL30xA_2_18"/>
      <w:bookmarkStart w:id="395" w:name="Tc_fC1rsCDWi0C2VGWDa7OxuA_2_15"/>
      <w:bookmarkStart w:id="396" w:name="Tc_AerNRHdCN0SvXY_pKR8FFg_2_12"/>
      <w:bookmarkStart w:id="397" w:name="Tc_0mEM-ttleE6zwEsSLFoTnQ_2_7"/>
      <w:bookmarkStart w:id="398" w:name="Tc_5Cv3Rw6PLEylXFDnjSWRuA_2_2"/>
      <w:bookmarkStart w:id="399" w:name="Tc_YYrhpGv_7EqRkyUh6Jn0aQ_1_21"/>
      <w:bookmarkStart w:id="400" w:name="Tc_JA7knglWp0a3KUdmf5ueEQ_1_12"/>
      <w:bookmarkStart w:id="401" w:name="Tc_9GVZXRrUQEWT36KNqKGLeg_1_7"/>
      <w:bookmarkStart w:id="402" w:name="Tc_XYZx_OxHfkKFkJihC9eU4Q_1_2"/>
      <w:bookmarkStart w:id="403" w:name="_4e45be2e_8b4e_41b9_b4e2_5a3ca44b84c8"/>
      <w:bookmarkStart w:id="404" w:name="Tc_4lH-eIYhjkeikLwhPZrSug_18_21"/>
      <w:bookmarkStart w:id="405" w:name="Tc_U0bkWFceiEKz7Drv-0gSWg_18_18"/>
      <w:bookmarkStart w:id="406" w:name="Tc_ON0ZPtJqHkuyP-65fKlj6w_18_15"/>
      <w:bookmarkStart w:id="407" w:name="Tc_mV_W_Agm10yZ49tt2iaQ9g_18_12"/>
      <w:bookmarkStart w:id="408" w:name="Tc_RzRkkaNaykK7O9yMBUjvFA_18_9"/>
      <w:bookmarkStart w:id="409" w:name="Tc_VZt7x7ZroE2ltmKvNXfN6g_18_4"/>
      <w:bookmarkStart w:id="410" w:name="Tc_38HERm2kvEyDdhlE_rN5Ww_18_0"/>
      <w:bookmarkStart w:id="411" w:name="Tc_bEGSVq6FlkiRrZgRkEzDow_17_0"/>
      <w:bookmarkStart w:id="412" w:name="Tc_WdUxvjNL2U-Jo1UpGvMGHg_16_0"/>
      <w:bookmarkStart w:id="413" w:name="Tc_1zT3_YTadUuDl9rVbKsDjw_15_0"/>
      <w:bookmarkStart w:id="414" w:name="Tc_Ikq-3lZydUqPwYvgESVuzg_14_0"/>
      <w:bookmarkStart w:id="415" w:name="Tc_a18ibczH2kmhMFAcPssMtQ_13_21"/>
      <w:bookmarkStart w:id="416" w:name="Tc_OoDciCBX10SIsgjOB4jizQ_13_18"/>
      <w:bookmarkStart w:id="417" w:name="Tc_eXw-PpLRIUi5zxeKw9NFCw_13_15"/>
      <w:bookmarkStart w:id="418" w:name="Tc_mascIrDXo0OzMEuUWYbN5Q_13_12"/>
      <w:bookmarkStart w:id="419" w:name="Tc_Vmg3KDdZ-UOuSlP9ovOI2A_13_9"/>
      <w:bookmarkStart w:id="420" w:name="Tc_1n2y5di7iEeSNV29rIBJEA_13_4"/>
      <w:bookmarkStart w:id="421" w:name="Tc_CwKwoDj35ESX6ErICBLXLw_13_0"/>
      <w:bookmarkStart w:id="422" w:name="Tc_g9v2M96GvE-AxKYP4t7UNw_12_0"/>
      <w:bookmarkStart w:id="423" w:name="Tc_0xsfADrziEKSMEf1SL6Rqw_11_0"/>
      <w:bookmarkStart w:id="424" w:name="Tc_6nsPB5xdVU6f0lb_e8f5jg_10_0"/>
      <w:bookmarkStart w:id="425" w:name="Tc_zdJ0Jpe7t0-GZhfORXCNBw_9_0"/>
      <w:bookmarkStart w:id="426" w:name="Tc_Z-4X2emkcU22Jj_a_Fgt_g_8_0"/>
      <w:bookmarkStart w:id="427" w:name="Tc_TWLMZ9gsNkqp36sZGIgweA_7_0"/>
      <w:bookmarkStart w:id="428" w:name="Tc__8agxpxz1EmKuvQrZRZ7eQ_6_21"/>
      <w:bookmarkStart w:id="429" w:name="Tc_tyQ2hfUvJ0S7xouek13HjQ_6_18"/>
      <w:bookmarkStart w:id="430" w:name="Tc_6fD_Adrr5kOhgKszVzZHZQ_6_15"/>
      <w:bookmarkStart w:id="431" w:name="Tc_WwdDD17tJkGMPor0wxl2Gg_6_12"/>
      <w:bookmarkStart w:id="432" w:name="Tc_13B6PUb1C0y0kwaSPiHaEw_6_9"/>
      <w:bookmarkStart w:id="433" w:name="Tc_9Ctb5ITb3EGg7wpM3SXNxw_6_4"/>
      <w:bookmarkStart w:id="434" w:name="Tc_mKcwLPxqRUiwwkvdyTWWDA_6_0"/>
      <w:bookmarkStart w:id="435" w:name="Tc_1_WYaBk2jUmFAMINizgwQw_4_2"/>
      <w:bookmarkStart w:id="436" w:name="Tc_Db4gtgtyrEqnM1lYPHOlyA_3_21"/>
      <w:bookmarkStart w:id="437" w:name="Tc_imyDkPci00-BXKxu6NUTDA_3_18"/>
      <w:bookmarkStart w:id="438" w:name="Tc_cSVX_LWty0KkIswQbaWLXw_3_15"/>
      <w:bookmarkStart w:id="439" w:name="Tc_N1t4hJqikEChT4KrsSKTJQ_3_12"/>
      <w:bookmarkStart w:id="440" w:name="Tc_DIe7EW-NjkeF6b0JoLKe5Q_3_9"/>
      <w:bookmarkStart w:id="441" w:name="Tc_CBEHRTaB7UakF-75uxnD2g_3_7"/>
      <w:bookmarkStart w:id="442" w:name="Tc_LlObMUiMvU-k3lxp0TY7Og_3_4"/>
      <w:bookmarkStart w:id="443" w:name="Tc_KAUxURHMjk6XGNYPs8yQEA_3_2"/>
      <w:bookmarkStart w:id="444" w:name="Tc_q9eLHCy8ek2mdU0EBRKKeQ_2_21"/>
      <w:bookmarkStart w:id="445" w:name="Tc_HvxuODpVD0CY1j2FsL30xA_2_18"/>
      <w:bookmarkStart w:id="446" w:name="Tc_fC1rsCDWi0C2VGWDa7OxuA_2_15"/>
      <w:bookmarkStart w:id="447" w:name="Tc_AerNRHdCN0SvXY_pKR8FFg_2_12"/>
      <w:bookmarkStart w:id="448" w:name="Tc_0mEM-ttleE6zwEsSLFoTnQ_2_7"/>
      <w:bookmarkStart w:id="449" w:name="Tc_5Cv3Rw6PLEylXFDnjSWRuA_2_2"/>
      <w:bookmarkStart w:id="450" w:name="Tc_YYrhpGv_7EqRkyUh6Jn0aQ_1_21"/>
      <w:bookmarkStart w:id="451" w:name="Tc_JA7knglWp0a3KUdmf5ueEQ_1_12"/>
      <w:bookmarkStart w:id="452" w:name="Tc_9GVZXRrUQEWT36KNqKGLeg_1_7"/>
      <w:bookmarkStart w:id="453" w:name="Tc_XYZx_OxHfkKFkJihC9eU4Q_1_2"/>
      <w:bookmarkStart w:id="454" w:name="_4e45be2e_8b4e_41b9_b4e2_5a3ca44b84c8"/>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tbl>
      <w:tblPr>
        <w:tblW w:w="10534" w:type="dxa"/>
        <w:jc w:val="left"/>
        <w:tblInd w:w="0" w:type="dxa"/>
        <w:tblLayout w:type="fixed"/>
        <w:tblCellMar>
          <w:top w:w="0" w:type="dxa"/>
          <w:left w:w="0" w:type="dxa"/>
          <w:bottom w:w="0" w:type="dxa"/>
          <w:right w:w="0" w:type="dxa"/>
        </w:tblCellMar>
      </w:tblPr>
      <w:tblGrid>
        <w:gridCol w:w="1516"/>
        <w:gridCol w:w="346"/>
        <w:gridCol w:w="586"/>
        <w:gridCol w:w="346"/>
        <w:gridCol w:w="249"/>
        <w:gridCol w:w="442"/>
        <w:gridCol w:w="346"/>
        <w:gridCol w:w="586"/>
        <w:gridCol w:w="346"/>
        <w:gridCol w:w="249"/>
        <w:gridCol w:w="442"/>
        <w:gridCol w:w="346"/>
        <w:gridCol w:w="214"/>
        <w:gridCol w:w="657"/>
        <w:gridCol w:w="346"/>
        <w:gridCol w:w="196"/>
        <w:gridCol w:w="691"/>
        <w:gridCol w:w="346"/>
        <w:gridCol w:w="196"/>
        <w:gridCol w:w="661"/>
        <w:gridCol w:w="346"/>
        <w:gridCol w:w="213"/>
        <w:gridCol w:w="868"/>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62660" cy="175260"/>
                      <wp:effectExtent l="0" t="0" r="0" b="0"/>
                      <wp:wrapNone/>
                      <wp:docPr id="50" name="Frame5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72110" cy="175260"/>
                      <wp:effectExtent l="0" t="0" r="0" b="0"/>
                      <wp:wrapNone/>
                      <wp:docPr id="52" name="Frame5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8115" cy="175260"/>
                      <wp:effectExtent l="0" t="0" r="0" b="0"/>
                      <wp:wrapNone/>
                      <wp:docPr id="54" name="Frame5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80670" cy="175260"/>
                      <wp:effectExtent l="0" t="0" r="0" b="0"/>
                      <wp:wrapNone/>
                      <wp:docPr id="55" name="Frame5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72110" cy="175260"/>
                      <wp:effectExtent l="0" t="0" r="0" b="0"/>
                      <wp:wrapNone/>
                      <wp:docPr id="57" name="Frame5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58115" cy="175260"/>
                      <wp:effectExtent l="0" t="0" r="0" b="0"/>
                      <wp:wrapNone/>
                      <wp:docPr id="59" name="Frame5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80670" cy="175260"/>
                      <wp:effectExtent l="0" t="0" r="0" b="0"/>
                      <wp:wrapNone/>
                      <wp:docPr id="60" name="Frame6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5890" cy="175260"/>
                      <wp:effectExtent l="0" t="0" r="0" b="0"/>
                      <wp:wrapNone/>
                      <wp:docPr id="62" name="Frame6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17195" cy="175260"/>
                      <wp:effectExtent l="0" t="0" r="0" b="0"/>
                      <wp:wrapNone/>
                      <wp:docPr id="63" name="Frame63"/>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19735" cy="175260"/>
                      <wp:effectExtent l="0" t="0" r="0" b="0"/>
                      <wp:wrapNone/>
                      <wp:docPr id="69" name="Frame6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5255" cy="175260"/>
                      <wp:effectExtent l="0" t="0" r="0" b="0"/>
                      <wp:wrapNone/>
                      <wp:docPr id="71" name="Frame7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51180" cy="175260"/>
                      <wp:effectExtent l="0" t="0" r="0" b="0"/>
                      <wp:wrapNone/>
                      <wp:docPr id="72" name="Frame72"/>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2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1"/>
              <w:ind w:left="0" w:right="0" w:hanging="0"/>
              <w:jc w:val="left"/>
              <w:rPr/>
            </w:pPr>
            <w:r>
              <w:rPr/>
              <w:t>​</w:t>
            </w:r>
          </w:p>
        </w:tc>
        <w:tc>
          <w:tcPr>
            <w:tcW w:w="162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2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162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8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534" w:type="dxa"/>
            <w:gridSpan w:val="23"/>
            <w:tcBorders/>
            <w:vAlign w:val="center"/>
          </w:tcPr>
          <w:p>
            <w:pPr>
              <w:pStyle w:val="TableContents"/>
              <w:bidi w:val="0"/>
              <w:spacing w:before="0" w:after="283"/>
              <w:ind w:left="0" w:right="0" w:hanging="0"/>
              <w:jc w:val="left"/>
              <w:rPr>
                <w:sz w:val="4"/>
                <w:szCs w:val="4"/>
              </w:rPr>
            </w:pPr>
            <w:r>
              <w:rPr>
                <w:sz w:val="4"/>
                <w:szCs w:val="4"/>
              </w:rPr>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672" w:type="dxa"/>
            <w:gridSpan w:val="2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center"/>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8,304</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75,749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113,884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(38,236)</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151,480</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three months ended March 31, 2026</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(2,394)</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Forfeiture of restricted stock</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(1,585)</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518</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shares held in treasury</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401(k) plan contribution</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841</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March 31, 2026</w:t>
            </w:r>
          </w:p>
        </w:tc>
        <w:tc>
          <w:tcPr>
            <w:tcW w:w="34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8,300</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75,732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109,905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(37,408)</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148,312</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three months ended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960</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Forfeiture of restricted stock</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8,298</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76,280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109,274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(37,408)</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148,229</w:t>
            </w:r>
          </w:p>
        </w:tc>
      </w:tr>
    </w:tbl>
    <w:p>
      <w:pPr>
        <w:pStyle w:val="TextBody"/>
        <w:bidi w:val="0"/>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455" w:name="_48e1daff_a131_409a_9342_523a647bff26"/>
      <w:bookmarkEnd w:id="455"/>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456" w:name="CONDENSEDCONSOLIDATEDSTATEMENTSOFCASHFLO"/>
      <w:bookmarkEnd w:id="456"/>
      <w:r>
        <w:rPr>
          <w:rFonts w:ascii="Times New Roman;Times;serif" w:hAnsi="Times New Roman;Times;serif"/>
          <w:b/>
          <w:sz w:val="20"/>
        </w:rPr>
        <w:t>CONDENSED CONSOLIDATED STATEMENTS OF CASH FLOWS</w:t>
      </w:r>
    </w:p>
    <w:p>
      <w:pPr>
        <w:pStyle w:val="TextBody"/>
        <w:bidi w:val="0"/>
        <w:spacing w:before="0" w:after="200"/>
        <w:ind w:left="0" w:right="0" w:firstLine="360"/>
        <w:jc w:val="left"/>
        <w:rPr/>
      </w:pPr>
      <w:r>
        <w:rPr/>
        <w:t>​</w:t>
      </w:r>
    </w:p>
    <w:p>
      <w:pPr>
        <w:pStyle w:val="Normal"/>
        <w:bidi w:val="0"/>
        <w:spacing w:before="0" w:after="0"/>
        <w:jc w:val="left"/>
        <w:rPr>
          <w:sz w:val="4"/>
          <w:szCs w:val="4"/>
        </w:rPr>
      </w:pPr>
      <w:r>
        <w:rPr>
          <w:sz w:val="4"/>
          <w:szCs w:val="4"/>
        </w:rPr>
      </w:r>
      <w:bookmarkStart w:id="457" w:name="Tc_5YINn27qxkmb4CCWR5i0wA_40_5"/>
      <w:bookmarkStart w:id="458" w:name="Tc_J_eLz8KYY06yqebQkpVIeQ_40_2"/>
      <w:bookmarkStart w:id="459" w:name="Tc_ineXLI0GukOw7c_GLIJl9A_40_0"/>
      <w:bookmarkStart w:id="460" w:name="Tc_b_qwyTitFUKn61cRIKV46A_39_0"/>
      <w:bookmarkStart w:id="461" w:name="Tc_j9ZI1kGvLUGlLABrBYmOBQ_38_0"/>
      <w:bookmarkStart w:id="462" w:name="Tc_FRoQADQjnU-Rjx6gZihQsQ_37_0"/>
      <w:bookmarkStart w:id="463" w:name="Tc_bJ0QkajB7Em8083PpDRqqg_36_6"/>
      <w:bookmarkStart w:id="464" w:name="Tc_QjvHdyr7TEi9KY78eENkvg_36_0"/>
      <w:bookmarkStart w:id="465" w:name="Tc_o_7ROVCMSU2c89FE4yswIw_35_0"/>
      <w:bookmarkStart w:id="466" w:name="Tc_macxlCImUkupE-dBVtUOtw_34_0"/>
      <w:bookmarkStart w:id="467" w:name="Tc_-eXeK6Lu7UGHvrMlWByeTA_33_0"/>
      <w:bookmarkStart w:id="468" w:name="Tc_fK8vrw6Kd0-qkdSPQimM9w_32_0"/>
      <w:bookmarkStart w:id="469" w:name="Tc_gM4Vux1fiUSdVADa7pI0fA_31_0"/>
      <w:bookmarkStart w:id="470" w:name="Tc_43v41iCQEkOMNGiV2UhbDg_30_0"/>
      <w:bookmarkStart w:id="471" w:name="Tc_7VSwc3CBHkWmSSGyJWdscA_29_0"/>
      <w:bookmarkStart w:id="472" w:name="Tc_S_Q3irhQMUycZq3adwHJIg_28_0"/>
      <w:bookmarkStart w:id="473" w:name="Tc_LKaviYBv4EC53b0b5r5-lQ_27_0"/>
      <w:bookmarkStart w:id="474" w:name="Tc_eyzWhvtNFkGfz6-RipI16Q_26_0"/>
      <w:bookmarkStart w:id="475" w:name="Tc_LPIK8SsjAkW_WX53AGjsNQ_25_0"/>
      <w:bookmarkStart w:id="476" w:name="Tc__h67M0mrgEGhkaTtKKDZpA_24_0"/>
      <w:bookmarkStart w:id="477" w:name="Tc_iW2B4NBg9kmwmuh9QIxLYw_23_0"/>
      <w:bookmarkStart w:id="478" w:name="Tc_3cJeGpaR-EKqTyM3tBWWRQ_22_0"/>
      <w:bookmarkStart w:id="479" w:name="Tc_07f5gD6m7EKf4BZqBMvvyQ_21_0"/>
      <w:bookmarkStart w:id="480" w:name="Tc_FKyUyCTvQ0qwtkyqp00-4g_20_0"/>
      <w:bookmarkStart w:id="481" w:name="Tc_6v3udsqv8U-uzUlQHpE0MA_19_0"/>
      <w:bookmarkStart w:id="482" w:name="Tc_Cy2C8dan0E-_QNH3ylTC4Q_18_6"/>
      <w:bookmarkStart w:id="483" w:name="Tc_sDKBM4vX1US2sRdUQfBbJw_18_0"/>
      <w:bookmarkStart w:id="484" w:name="Tc_prIb2CJN30SUz8XW8MoX8Q_17_6"/>
      <w:bookmarkStart w:id="485" w:name="Tc_uJfsYipQHUmtWduIvr6RwA_17_0"/>
      <w:bookmarkStart w:id="486" w:name="Tc_iCbUlaKkX0mnikC5RH05kg_16_6"/>
      <w:bookmarkStart w:id="487" w:name="Tc_tbiX1MRJhEGQSyjRNH2CIQ_16_0"/>
      <w:bookmarkStart w:id="488" w:name="Tc_i3aWd_iCiUyN8RrWMNca6w_15_3"/>
      <w:bookmarkStart w:id="489" w:name="Tc_z9SceSyo8UO-vtmVQ4ngqg_15_0"/>
      <w:bookmarkStart w:id="490" w:name="Tc_6GpprnQoMEKrbC-jRcOQ-A_14_0"/>
      <w:bookmarkStart w:id="491" w:name="Tc_c8o_bA-MzEG1YMokMTKt4g_13_0"/>
      <w:bookmarkStart w:id="492" w:name="Tc_zJvf3zJmCUa8pF7H2g7VgA_12_0"/>
      <w:bookmarkStart w:id="493" w:name="Tc_0J9q1HxH6EuvPuAY3JOgTQ_11_0"/>
      <w:bookmarkStart w:id="494" w:name="Tc_ZXELCxnKMECSujGHVgnFlw_10_0"/>
      <w:bookmarkStart w:id="495" w:name="Tc_hr2e-gAh9kW3y0Xe6ls27g_9_0"/>
      <w:bookmarkStart w:id="496" w:name="Tc_n1dby9VelUGXAB4NaQuiTA_8_0"/>
      <w:bookmarkStart w:id="497" w:name="Tc_lvXkCqdvBUalNXxaYTomeQ_7_5"/>
      <w:bookmarkStart w:id="498" w:name="Tc_HXiYqHkdt0-1p_oSQ2Z9qQ_7_2"/>
      <w:bookmarkStart w:id="499" w:name="Tc_piYhq_t5QEac6WcqNApzAA_7_0"/>
      <w:bookmarkStart w:id="500" w:name="Tc_QyE0QkyisEOmxW0q2zEo1g_6_0"/>
      <w:bookmarkStart w:id="501" w:name="Tc_Hc6AB0O1GkuML9VOkbLEwA_5_2"/>
      <w:bookmarkStart w:id="502" w:name="Tc_VkRJuhBbzU-GqLCEzpIyCA_4_2"/>
      <w:bookmarkStart w:id="503" w:name="Tc_vz8HCjVYSk--4W2-xi4LdQ_3_5"/>
      <w:bookmarkStart w:id="504" w:name="Tc_l6EAfef05UOZyE2R_4PQYQ_3_2"/>
      <w:bookmarkStart w:id="505" w:name="Tc_3vIDqepdakuTsGZ9RlxI7w_2_2"/>
      <w:bookmarkStart w:id="506" w:name="Tc_vL9c9YJDHk64hGv5znI-EA_1_2"/>
      <w:bookmarkStart w:id="507" w:name="_096cd472_9eb6_4286_bf7d_4d1f37d5d4c9"/>
      <w:bookmarkStart w:id="508" w:name="Tc_5YINn27qxkmb4CCWR5i0wA_40_5"/>
      <w:bookmarkStart w:id="509" w:name="Tc_J_eLz8KYY06yqebQkpVIeQ_40_2"/>
      <w:bookmarkStart w:id="510" w:name="Tc_ineXLI0GukOw7c_GLIJl9A_40_0"/>
      <w:bookmarkStart w:id="511" w:name="Tc_b_qwyTitFUKn61cRIKV46A_39_0"/>
      <w:bookmarkStart w:id="512" w:name="Tc_j9ZI1kGvLUGlLABrBYmOBQ_38_0"/>
      <w:bookmarkStart w:id="513" w:name="Tc_FRoQADQjnU-Rjx6gZihQsQ_37_0"/>
      <w:bookmarkStart w:id="514" w:name="Tc_bJ0QkajB7Em8083PpDRqqg_36_6"/>
      <w:bookmarkStart w:id="515" w:name="Tc_QjvHdyr7TEi9KY78eENkvg_36_0"/>
      <w:bookmarkStart w:id="516" w:name="Tc_o_7ROVCMSU2c89FE4yswIw_35_0"/>
      <w:bookmarkStart w:id="517" w:name="Tc_macxlCImUkupE-dBVtUOtw_34_0"/>
      <w:bookmarkStart w:id="518" w:name="Tc_-eXeK6Lu7UGHvrMlWByeTA_33_0"/>
      <w:bookmarkStart w:id="519" w:name="Tc_fK8vrw6Kd0-qkdSPQimM9w_32_0"/>
      <w:bookmarkStart w:id="520" w:name="Tc_gM4Vux1fiUSdVADa7pI0fA_31_0"/>
      <w:bookmarkStart w:id="521" w:name="Tc_43v41iCQEkOMNGiV2UhbDg_30_0"/>
      <w:bookmarkStart w:id="522" w:name="Tc_7VSwc3CBHkWmSSGyJWdscA_29_0"/>
      <w:bookmarkStart w:id="523" w:name="Tc_S_Q3irhQMUycZq3adwHJIg_28_0"/>
      <w:bookmarkStart w:id="524" w:name="Tc_LKaviYBv4EC53b0b5r5-lQ_27_0"/>
      <w:bookmarkStart w:id="525" w:name="Tc_eyzWhvtNFkGfz6-RipI16Q_26_0"/>
      <w:bookmarkStart w:id="526" w:name="Tc_LPIK8SsjAkW_WX53AGjsNQ_25_0"/>
      <w:bookmarkStart w:id="527" w:name="Tc__h67M0mrgEGhkaTtKKDZpA_24_0"/>
      <w:bookmarkStart w:id="528" w:name="Tc_iW2B4NBg9kmwmuh9QIxLYw_23_0"/>
      <w:bookmarkStart w:id="529" w:name="Tc_3cJeGpaR-EKqTyM3tBWWRQ_22_0"/>
      <w:bookmarkStart w:id="530" w:name="Tc_07f5gD6m7EKf4BZqBMvvyQ_21_0"/>
      <w:bookmarkStart w:id="531" w:name="Tc_FKyUyCTvQ0qwtkyqp00-4g_20_0"/>
      <w:bookmarkStart w:id="532" w:name="Tc_6v3udsqv8U-uzUlQHpE0MA_19_0"/>
      <w:bookmarkStart w:id="533" w:name="Tc_Cy2C8dan0E-_QNH3ylTC4Q_18_6"/>
      <w:bookmarkStart w:id="534" w:name="Tc_sDKBM4vX1US2sRdUQfBbJw_18_0"/>
      <w:bookmarkStart w:id="535" w:name="Tc_prIb2CJN30SUz8XW8MoX8Q_17_6"/>
      <w:bookmarkStart w:id="536" w:name="Tc_uJfsYipQHUmtWduIvr6RwA_17_0"/>
      <w:bookmarkStart w:id="537" w:name="Tc_iCbUlaKkX0mnikC5RH05kg_16_6"/>
      <w:bookmarkStart w:id="538" w:name="Tc_tbiX1MRJhEGQSyjRNH2CIQ_16_0"/>
      <w:bookmarkStart w:id="539" w:name="Tc_i3aWd_iCiUyN8RrWMNca6w_15_3"/>
      <w:bookmarkStart w:id="540" w:name="Tc_z9SceSyo8UO-vtmVQ4ngqg_15_0"/>
      <w:bookmarkStart w:id="541" w:name="Tc_6GpprnQoMEKrbC-jRcOQ-A_14_0"/>
      <w:bookmarkStart w:id="542" w:name="Tc_c8o_bA-MzEG1YMokMTKt4g_13_0"/>
      <w:bookmarkStart w:id="543" w:name="Tc_zJvf3zJmCUa8pF7H2g7VgA_12_0"/>
      <w:bookmarkStart w:id="544" w:name="Tc_0J9q1HxH6EuvPuAY3JOgTQ_11_0"/>
      <w:bookmarkStart w:id="545" w:name="Tc_ZXELCxnKMECSujGHVgnFlw_10_0"/>
      <w:bookmarkStart w:id="546" w:name="Tc_hr2e-gAh9kW3y0Xe6ls27g_9_0"/>
      <w:bookmarkStart w:id="547" w:name="Tc_n1dby9VelUGXAB4NaQuiTA_8_0"/>
      <w:bookmarkStart w:id="548" w:name="Tc_lvXkCqdvBUalNXxaYTomeQ_7_5"/>
      <w:bookmarkStart w:id="549" w:name="Tc_HXiYqHkdt0-1p_oSQ2Z9qQ_7_2"/>
      <w:bookmarkStart w:id="550" w:name="Tc_piYhq_t5QEac6WcqNApzAA_7_0"/>
      <w:bookmarkStart w:id="551" w:name="Tc_QyE0QkyisEOmxW0q2zEo1g_6_0"/>
      <w:bookmarkStart w:id="552" w:name="Tc_Hc6AB0O1GkuML9VOkbLEwA_5_2"/>
      <w:bookmarkStart w:id="553" w:name="Tc_VkRJuhBbzU-GqLCEzpIyCA_4_2"/>
      <w:bookmarkStart w:id="554" w:name="Tc_vz8HCjVYSk--4W2-xi4LdQ_3_5"/>
      <w:bookmarkStart w:id="555" w:name="Tc_l6EAfef05UOZyE2R_4PQYQ_3_2"/>
      <w:bookmarkStart w:id="556" w:name="Tc_3vIDqepdakuTsGZ9RlxI7w_2_2"/>
      <w:bookmarkStart w:id="557" w:name="Tc_vL9c9YJDHk64hGv5znI-EA_1_2"/>
      <w:bookmarkStart w:id="558" w:name="_096cd472_9eb6_4286_bf7d_4d1f37d5d4c9"/>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tbl>
      <w:tblPr>
        <w:tblW w:w="9623" w:type="dxa"/>
        <w:jc w:val="left"/>
        <w:tblInd w:w="0" w:type="dxa"/>
        <w:tblLayout w:type="fixed"/>
        <w:tblCellMar>
          <w:top w:w="0" w:type="dxa"/>
          <w:left w:w="0" w:type="dxa"/>
          <w:bottom w:w="0" w:type="dxa"/>
          <w:right w:w="0" w:type="dxa"/>
        </w:tblCellMar>
      </w:tblPr>
      <w:tblGrid>
        <w:gridCol w:w="6511"/>
        <w:gridCol w:w="406"/>
        <w:gridCol w:w="211"/>
        <w:gridCol w:w="796"/>
        <w:gridCol w:w="406"/>
        <w:gridCol w:w="211"/>
        <w:gridCol w:w="691"/>
        <w:gridCol w:w="391"/>
      </w:tblGrid>
      <w:tr>
        <w:trPr/>
        <w:tc>
          <w:tcPr>
            <w:tcW w:w="6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134485" cy="175260"/>
                      <wp:effectExtent l="0" t="0" r="0" b="0"/>
                      <wp:wrapNone/>
                      <wp:docPr id="73" name="Frame73"/>
                      <a:graphic xmlns:a="http://schemas.openxmlformats.org/drawingml/2006/main">
                        <a:graphicData uri="http://schemas.microsoft.com/office/word/2010/wordprocessingShape">
                          <wps:wsp>
                            <wps:cNvSpPr txBox="1"/>
                            <wps:spPr>
                              <a:xfrm>
                                <a:off x="0" y="0"/>
                                <a:ext cx="413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57810" cy="175260"/>
                      <wp:effectExtent l="0" t="0" r="0" b="0"/>
                      <wp:wrapNone/>
                      <wp:docPr id="74" name="Frame7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5460" cy="175260"/>
                      <wp:effectExtent l="0" t="0" r="0" b="0"/>
                      <wp:wrapNone/>
                      <wp:docPr id="76" name="Frame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57810" cy="175260"/>
                      <wp:effectExtent l="0" t="0" r="0" b="0"/>
                      <wp:wrapNone/>
                      <wp:docPr id="77" name="Frame7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38785" cy="175260"/>
                      <wp:effectExtent l="0" t="0" r="0" b="0"/>
                      <wp:wrapNone/>
                      <wp:docPr id="79" name="Frame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48285" cy="175260"/>
                      <wp:effectExtent l="0" t="0" r="0" b="0"/>
                      <wp:wrapNone/>
                      <wp:docPr id="80" name="Frame8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51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31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91" w:type="dxa"/>
            <w:tcBorders/>
            <w:vAlign w:val="center"/>
          </w:tcPr>
          <w:p>
            <w:pPr>
              <w:pStyle w:val="TableContents"/>
              <w:bidi w:val="0"/>
              <w:spacing w:before="0" w:after="1"/>
              <w:ind w:left="0" w:right="0" w:hanging="0"/>
              <w:jc w:val="left"/>
              <w:rPr/>
            </w:pPr>
            <w:r>
              <w:rPr/>
              <w:t> </w:t>
            </w:r>
          </w:p>
        </w:tc>
      </w:tr>
      <w:tr>
        <w:trPr/>
        <w:tc>
          <w:tcPr>
            <w:tcW w:w="651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3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 </w:t>
            </w:r>
          </w:p>
        </w:tc>
      </w:tr>
      <w:tr>
        <w:trPr/>
        <w:tc>
          <w:tcPr>
            <w:tcW w:w="651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  ​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06" w:type="dxa"/>
            <w:tcBorders/>
            <w:vAlign w:val="center"/>
          </w:tcPr>
          <w:p>
            <w:pPr>
              <w:pStyle w:val="TableContents"/>
              <w:bidi w:val="0"/>
              <w:spacing w:before="0" w:after="1"/>
              <w:ind w:left="0" w:right="0" w:hanging="0"/>
              <w:jc w:val="left"/>
              <w:rPr/>
            </w:pPr>
            <w:r>
              <w:rPr/>
              <w:t>  ​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1" w:type="dxa"/>
            <w:tcBorders/>
            <w:vAlign w:val="center"/>
          </w:tcPr>
          <w:p>
            <w:pPr>
              <w:pStyle w:val="TableContents"/>
              <w:bidi w:val="0"/>
              <w:spacing w:before="0" w:after="1"/>
              <w:ind w:left="0" w:right="0" w:hanging="0"/>
              <w:jc w:val="left"/>
              <w:rPr/>
            </w:pPr>
            <w:r>
              <w:rPr/>
              <w:t>  ​ ​ ​</w:t>
            </w:r>
          </w:p>
        </w:tc>
      </w:tr>
      <w:tr>
        <w:trPr/>
        <w:tc>
          <w:tcPr>
            <w:tcW w:w="962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51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31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91" w:type="dxa"/>
            <w:tcBorders/>
            <w:vAlign w:val="center"/>
          </w:tcPr>
          <w:p>
            <w:pPr>
              <w:pStyle w:val="TableContents"/>
              <w:bidi w:val="0"/>
              <w:spacing w:before="0" w:after="1"/>
              <w:ind w:left="0" w:right="0" w:hanging="0"/>
              <w:jc w:val="left"/>
              <w:rPr/>
            </w:pPr>
            <w:r>
              <w:rPr/>
              <w:t> </w:t>
            </w:r>
          </w:p>
        </w:tc>
      </w:tr>
      <w:tr>
        <w:trPr/>
        <w:tc>
          <w:tcPr>
            <w:tcW w:w="651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31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provided by operating activities: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2,593</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Deferred income tax benefit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deferred costs</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expense related to restricted stock awards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sale of assets, net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gains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insurance claim</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rent expense</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interest income</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Barter revenue (net)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and other compensation</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lease assets and liabilities (net)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decrease in current assets</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(1,501)</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accounts payable, accrued expenses, and other liabilities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adjustments</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2,566</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short-term investments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Redemption of short-term investments</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11,758</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9,031</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property and equipment (Capital Expenditures)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and disposal of assets</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2,323</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Proceeds from insurance claims, redemption of investments and other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paid</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(3,176)</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(3,215)</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treasury shares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(3,215)</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6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beginning of period</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22,506</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18,860</w:t>
            </w:r>
          </w:p>
        </w:tc>
        <w:tc>
          <w:tcPr>
            <w:tcW w:w="391" w:type="dxa"/>
            <w:tcBorders/>
            <w:vAlign w:val="center"/>
          </w:tcPr>
          <w:p>
            <w:pPr>
              <w:pStyle w:val="TableContents"/>
              <w:bidi w:val="0"/>
              <w:spacing w:before="0" w:after="1"/>
              <w:ind w:left="0" w:right="0" w:hanging="0"/>
              <w:jc w:val="left"/>
              <w:rPr/>
            </w:pPr>
            <w:r>
              <w:rPr/>
              <w:t>​</w:t>
            </w:r>
          </w:p>
        </w:tc>
      </w:tr>
      <w:tr>
        <w:trPr/>
        <w:tc>
          <w:tcPr>
            <w:tcW w:w="6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end of period</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15,791</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559" w:name="_f57b2a3e_3bda_4c20_beae_c65beee7b642"/>
      <w:bookmarkEnd w:id="559"/>
      <w:r>
        <w:rPr>
          <w:rFonts w:ascii="Times New Roman;Times;serif" w:hAnsi="Times New Roman;Times;serif"/>
          <w:b/>
          <w:sz w:val="20"/>
        </w:rPr>
        <w:t>SAGA COMMUNICATIONS, INC.</w:t>
      </w:r>
    </w:p>
    <w:p>
      <w:pPr>
        <w:pStyle w:val="TextBody"/>
        <w:bidi w:val="0"/>
        <w:spacing w:before="0" w:after="480"/>
        <w:ind w:left="0" w:right="0" w:hanging="0"/>
        <w:jc w:val="center"/>
        <w:rPr>
          <w:rFonts w:ascii="Times New Roman;Times;serif" w:hAnsi="Times New Roman;Times;serif"/>
          <w:b/>
          <w:sz w:val="20"/>
        </w:rPr>
      </w:pPr>
      <w:bookmarkStart w:id="560" w:name="NOTESTOUNAUDITEDCONDENSEDCONSOLIDATEDFIN"/>
      <w:bookmarkEnd w:id="560"/>
      <w:r>
        <w:rPr>
          <w:rFonts w:ascii="Times New Roman;Times;serif" w:hAnsi="Times New Roman;Times;serif"/>
          <w:b/>
          <w:sz w:val="20"/>
        </w:rPr>
        <w:t>NOTES TO UNAUDITED CONDENSED CONSOLIDATED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 Summary of Significant Accounting Policies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annual financial statements.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our opinion, the accompanying financial statements include all adjustments of a normal, recurring nature considered necessary for a fair presentation of our financial position as of June 30, 2026 and the results of operations for the three and six months ended June 30, 2026 and 2025. Results of operations for three and six months ended June 30, 2026 are not necessarily indicative of the results that may be expected for the year ending December 31, 2026.</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own or operate broadcast properties in 28 markets, including 82 FM and 28 AM radio stations and 78 metro signals.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further information, refer to the consolidated financial statements and footnotes thereto included in the Saga Communications, Inc. (the “Company”) annual report on Form 10-K for the year ended December 31, 2025.</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have evaluated events and transactions occurring subsequent to the balance sheet date of June 30, 2026, for items that should potentially be recognized in these financial statements or discussed within the notes to these financial statements.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Earnings Per Share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Earnings per share is calculated using the two-class method. The two-class method is an earnings allocation formula that determines earnings per share for each class of Common Stock and participating security. The Company has participating securities related to restricted stock units, granted under the Company’s Second Amended and Restated 2005 Incentive Compensation Plan and the Company’s 2023 Incentive Compensation Plan, that earn dividends on an equal basis with common shares. In applying the two-class method, earnings are allocated to both common shares and participating securities.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561" w:name="Tc_4ur3rzVNsUaD_mkui6gDVQ_18_11"/>
      <w:bookmarkStart w:id="562" w:name="Tc_IlTEK3csmUODMmTvkCzQ3Q_18_8"/>
      <w:bookmarkStart w:id="563" w:name="Tc_8cUMg8w600KhJfVpudZZPw_18_5"/>
      <w:bookmarkStart w:id="564" w:name="Tc_XHpsXrQjbk6PL652OfVfLw_18_2"/>
      <w:bookmarkStart w:id="565" w:name="Tc_MaFZMboae0KYwmvTisOBXg_18_0"/>
      <w:bookmarkStart w:id="566" w:name="Tc_lUUcgGt8pEmHOXXIGli9hA_17_11"/>
      <w:bookmarkStart w:id="567" w:name="Tc_bmgbjthB7kSKv0XgfOVJOQ_17_8"/>
      <w:bookmarkStart w:id="568" w:name="Tc_p9d-zCm6mEC5BeZ5bidreg_17_5"/>
      <w:bookmarkStart w:id="569" w:name="Tc_CJdAfY6j-0yLTBdocmMgrA_17_2"/>
      <w:bookmarkStart w:id="570" w:name="Tc__AkRSA5Y-EyQTTQuw1Pbyg_17_0"/>
      <w:bookmarkStart w:id="571" w:name="Tc_gAaf9mTSoUSD6jRMlnbDKw_16_0"/>
      <w:bookmarkStart w:id="572" w:name="Tc_A-Onphanc0qB1KhkyBugcQ_14_0"/>
      <w:bookmarkStart w:id="573" w:name="Tc_mWwsF0ujx0y6ZGFub2O3wA_13_0"/>
      <w:bookmarkStart w:id="574" w:name="Tc_JKya1d2B60atI73FZ2ihFA_12_0"/>
      <w:bookmarkStart w:id="575" w:name="Tc_0v2IxJ73zU6jG7FYEoGwtw_11_0"/>
      <w:bookmarkStart w:id="576" w:name="Tc_N78FapQjUkKZlT5AfFC44Q_10_0"/>
      <w:bookmarkStart w:id="577" w:name="Tc_vOm2jubUxUiPnO3ZcF-xNA_8_11"/>
      <w:bookmarkStart w:id="578" w:name="Tc_Z2LGaBgzmUihGBi7wJfb3w_8_8"/>
      <w:bookmarkStart w:id="579" w:name="Tc_CrHvppaLdEmn0Zn8t7HBcQ_8_5"/>
      <w:bookmarkStart w:id="580" w:name="Tc_O_UQTqbu4kiG5jOvI72Z5Q_8_2"/>
      <w:bookmarkStart w:id="581" w:name="Tc_8oFwOQjghU61SndOHuX3gg_8_0"/>
      <w:bookmarkStart w:id="582" w:name="Tc_UIYIKn90JECjZV3BOUe7AA_7_0"/>
      <w:bookmarkStart w:id="583" w:name="Tc_B56MkYfkfE-oXk3CvhhNzw_6_11"/>
      <w:bookmarkStart w:id="584" w:name="Tc_5X7xIRUgjEG4S7CtbV3aQg_6_8"/>
      <w:bookmarkStart w:id="585" w:name="Tc_MObXMJp50E-n1jeiG7E-bQ_6_5"/>
      <w:bookmarkStart w:id="586" w:name="Tc_ys0FESHY50OdZ9z7gnME-g_6_2"/>
      <w:bookmarkStart w:id="587" w:name="Tc_sVoYnGbJHE6aR2O9lwLXrw_6_0"/>
      <w:bookmarkStart w:id="588" w:name="Tc_ZOZjHMHtR0Ww-3sIUkS4OA_5_0"/>
      <w:bookmarkStart w:id="589" w:name="Tc_V_amWGIk3Ey2FuVBzS2g6Q_4_2"/>
      <w:bookmarkStart w:id="590" w:name="Tc_-Aa95geNjUGmnTKK77UuPA_3_11"/>
      <w:bookmarkStart w:id="591" w:name="Tc_8MbNUy7v20yY_K8shbYrLw_3_8"/>
      <w:bookmarkStart w:id="592" w:name="Tc_Dafea7HCkkmEBi3utNOE7g_3_5"/>
      <w:bookmarkStart w:id="593" w:name="Tc_ybwPtqsj0ku8iVrV5BYDXw_3_2"/>
      <w:bookmarkStart w:id="594" w:name="Tc_OrfHipxvXkKFwmI3qM2lAg_2_8"/>
      <w:bookmarkStart w:id="595" w:name="Tc_uX4l6F_C3kSqxlwqT5TOUA_2_2"/>
      <w:bookmarkStart w:id="596" w:name="Tc_lY51G9sR-UWZ3ciKdNKc_Q_1_8"/>
      <w:bookmarkStart w:id="597" w:name="Tc_UNPem4rMIUK7dfY2uKF7xQ_1_2"/>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rPr>
          <w:rFonts w:ascii="Times New Roman;Times;serif" w:hAnsi="Times New Roman;Times;serif"/>
          <w:sz w:val="20"/>
        </w:rPr>
        <w:t>The following table sets forth the computation of basic and diluted earnings per share:</w:t>
      </w:r>
    </w:p>
    <w:p>
      <w:pPr>
        <w:pStyle w:val="TextBody"/>
        <w:bidi w:val="0"/>
        <w:spacing w:before="0" w:after="20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3986"/>
        <w:gridCol w:w="346"/>
        <w:gridCol w:w="346"/>
        <w:gridCol w:w="938"/>
        <w:gridCol w:w="568"/>
        <w:gridCol w:w="346"/>
        <w:gridCol w:w="940"/>
        <w:gridCol w:w="346"/>
        <w:gridCol w:w="211"/>
        <w:gridCol w:w="651"/>
        <w:gridCol w:w="346"/>
        <w:gridCol w:w="211"/>
        <w:gridCol w:w="576"/>
        <w:gridCol w:w="394"/>
      </w:tblGrid>
      <w:tr>
        <w:trPr/>
        <w:tc>
          <w:tcPr>
            <w:tcW w:w="3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531110" cy="175260"/>
                      <wp:effectExtent l="0" t="0" r="0" b="0"/>
                      <wp:wrapNone/>
                      <wp:docPr id="81" name="Frame81"/>
                      <a:graphic xmlns:a="http://schemas.openxmlformats.org/drawingml/2006/main">
                        <a:graphicData uri="http://schemas.microsoft.com/office/word/2010/wordprocessingShape">
                          <wps:wsp>
                            <wps:cNvSpPr txBox="1"/>
                            <wps:spPr>
                              <a:xfrm>
                                <a:off x="0" y="0"/>
                                <a:ext cx="2531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95630" cy="175260"/>
                      <wp:effectExtent l="0" t="0" r="0" b="0"/>
                      <wp:wrapNone/>
                      <wp:docPr id="84" name="Frame84"/>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60680" cy="175260"/>
                      <wp:effectExtent l="0" t="0" r="0" b="0"/>
                      <wp:wrapNone/>
                      <wp:docPr id="85" name="Frame85"/>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6900" cy="175260"/>
                      <wp:effectExtent l="0" t="0" r="0" b="0"/>
                      <wp:wrapNone/>
                      <wp:docPr id="87" name="Frame87"/>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13385" cy="175260"/>
                      <wp:effectExtent l="0" t="0" r="0" b="0"/>
                      <wp:wrapNone/>
                      <wp:docPr id="90" name="Frame90"/>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65760" cy="175260"/>
                      <wp:effectExtent l="0" t="0" r="0" b="0"/>
                      <wp:wrapNone/>
                      <wp:docPr id="93" name="Frame93"/>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50190" cy="175260"/>
                      <wp:effectExtent l="0" t="0" r="0" b="0"/>
                      <wp:wrapNone/>
                      <wp:docPr id="94" name="Frame94"/>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3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center"/>
              <w:rPr/>
            </w:pPr>
            <w:r>
              <w:rPr/>
              <w:t> </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94" w:type="dxa"/>
            <w:tcBorders/>
            <w:vAlign w:val="center"/>
          </w:tcPr>
          <w:p>
            <w:pPr>
              <w:pStyle w:val="TableContents"/>
              <w:bidi w:val="0"/>
              <w:spacing w:before="0" w:after="0"/>
              <w:ind w:left="0" w:right="0" w:hanging="0"/>
              <w:jc w:val="left"/>
              <w:rPr/>
            </w:pPr>
            <w:r>
              <w:rPr/>
              <w:t> </w:t>
            </w:r>
          </w:p>
        </w:tc>
      </w:tr>
      <w:tr>
        <w:trPr/>
        <w:tc>
          <w:tcPr>
            <w:tcW w:w="3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center"/>
              <w:rPr/>
            </w:pPr>
            <w:r>
              <w:rPr/>
              <w:t> </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4" w:type="dxa"/>
            <w:tcBorders/>
            <w:vAlign w:val="center"/>
          </w:tcPr>
          <w:p>
            <w:pPr>
              <w:pStyle w:val="TableContents"/>
              <w:bidi w:val="0"/>
              <w:spacing w:before="0" w:after="0"/>
              <w:ind w:left="0" w:right="0" w:hanging="0"/>
              <w:jc w:val="left"/>
              <w:rPr/>
            </w:pPr>
            <w:r>
              <w:rPr/>
              <w:t> </w:t>
            </w:r>
          </w:p>
        </w:tc>
      </w:tr>
      <w:tr>
        <w:trPr/>
        <w:tc>
          <w:tcPr>
            <w:tcW w:w="3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68" w:type="dxa"/>
            <w:tcBorders/>
            <w:vAlign w:val="center"/>
          </w:tcPr>
          <w:p>
            <w:pPr>
              <w:pStyle w:val="TableContents"/>
              <w:bidi w:val="0"/>
              <w:spacing w:before="0" w:after="0"/>
              <w:ind w:left="0" w:right="0" w:hanging="0"/>
              <w:jc w:val="left"/>
              <w:rPr/>
            </w:pPr>
            <w:r>
              <w:rPr/>
              <w:t>  ​ ​ ​</w:t>
            </w:r>
          </w:p>
        </w:tc>
        <w:tc>
          <w:tcPr>
            <w:tcW w:w="12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4" w:type="dxa"/>
            <w:tcBorders/>
            <w:vAlign w:val="center"/>
          </w:tcPr>
          <w:p>
            <w:pPr>
              <w:pStyle w:val="TableContents"/>
              <w:bidi w:val="0"/>
              <w:spacing w:before="0" w:after="0"/>
              <w:ind w:left="0" w:right="0" w:hanging="0"/>
              <w:jc w:val="left"/>
              <w:rPr/>
            </w:pPr>
            <w:r>
              <w:rPr/>
              <w:t>   ​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3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 </w:t>
            </w:r>
          </w:p>
        </w:tc>
      </w:tr>
      <w:tr>
        <w:trPr/>
        <w:tc>
          <w:tcPr>
            <w:tcW w:w="3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pPr>
            <w:r>
              <w:rPr/>
              <w:t>  ​</w:t>
            </w:r>
          </w:p>
        </w:tc>
        <w:tc>
          <w:tcPr>
            <w:tcW w:w="568"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right"/>
              <w:rPr/>
            </w:pPr>
            <w:r>
              <w:rPr/>
              <w:t>  ​</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94" w:type="dxa"/>
            <w:tcBorders/>
            <w:vAlign w:val="center"/>
          </w:tcPr>
          <w:p>
            <w:pPr>
              <w:pStyle w:val="TableContents"/>
              <w:bidi w:val="0"/>
              <w:spacing w:before="0" w:after="0"/>
              <w:ind w:left="0" w:right="0" w:hanging="0"/>
              <w:jc w:val="left"/>
              <w:rPr/>
            </w:pPr>
            <w:r>
              <w:rPr/>
              <w:t>​</w:t>
            </w:r>
          </w:p>
        </w:tc>
      </w:tr>
      <w:tr>
        <w:trPr/>
        <w:tc>
          <w:tcPr>
            <w:tcW w:w="3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Income (Loss) allocated to unvested participating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568"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available to common shareholders</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c>
          <w:tcPr>
            <w:tcW w:w="568"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94" w:type="dxa"/>
            <w:tcBorders/>
            <w:vAlign w:val="center"/>
          </w:tcPr>
          <w:p>
            <w:pPr>
              <w:pStyle w:val="TableContents"/>
              <w:bidi w:val="0"/>
              <w:spacing w:before="0" w:after="0"/>
              <w:ind w:left="0" w:right="0" w:hanging="0"/>
              <w:jc w:val="left"/>
              <w:rPr/>
            </w:pPr>
            <w:r>
              <w:rPr/>
              <w:t>​</w:t>
            </w:r>
          </w:p>
        </w:tc>
      </w:tr>
      <w:tr>
        <w:trPr/>
        <w:tc>
          <w:tcPr>
            <w:tcW w:w="39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3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basic earnings per share — weighted average shares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6,095</w:t>
            </w:r>
          </w:p>
        </w:tc>
        <w:tc>
          <w:tcPr>
            <w:tcW w:w="56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3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diluted earnings per share — adjusted weighted-average shares and assumed conversions</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6,095</w:t>
            </w:r>
          </w:p>
        </w:tc>
        <w:tc>
          <w:tcPr>
            <w:tcW w:w="568"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c>
          <w:tcPr>
            <w:tcW w:w="394" w:type="dxa"/>
            <w:tcBorders/>
            <w:vAlign w:val="center"/>
          </w:tcPr>
          <w:p>
            <w:pPr>
              <w:pStyle w:val="TableContents"/>
              <w:bidi w:val="0"/>
              <w:spacing w:before="0" w:after="0"/>
              <w:ind w:left="0" w:right="0" w:hanging="0"/>
              <w:jc w:val="left"/>
              <w:rPr/>
            </w:pPr>
            <w:r>
              <w:rPr/>
              <w:t>​</w:t>
            </w:r>
          </w:p>
        </w:tc>
      </w:tr>
      <w:tr>
        <w:trPr/>
        <w:tc>
          <w:tcPr>
            <w:tcW w:w="39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per share: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right"/>
              <w:rPr/>
            </w:pPr>
            <w:r>
              <w:rPr/>
              <w:t>​</w: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3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568"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3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568"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There were no stock options outstanding that had an anti-dilutive effect on our earnings per share calculation for the three and six months ended June 30, 2026 and 2025, respectively.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Financial Instruments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account for marketable securities in accordance with ASC 320, “</w:t>
      </w:r>
      <w:r>
        <w:rPr>
          <w:rFonts w:ascii="Times New Roman;Times;serif" w:hAnsi="Times New Roman;Times;serif"/>
          <w:i/>
          <w:sz w:val="20"/>
        </w:rPr>
        <w:t>Investments – Debt Securities,</w:t>
      </w:r>
      <w:r>
        <w:rPr>
          <w:rFonts w:ascii="Times New Roman;Times;serif" w:hAnsi="Times New Roman;Times;serif"/>
          <w:sz w:val="20"/>
        </w:rPr>
        <w:t xml:space="preserve">” which require that certain debt securities be classified into one of three categories: held-to-maturity, available-for-sale, or trading securities, and depending upon the classification, value the security at amortized cost or fair market value. At June 30, 2026 and December 31, 2025, we have recorded $9.5 million and $9.3 million, respectively, of held-to-maturity U.S. Treasury Bills at amortized cost basis that have a fair market value of $9.5 million and $9.3 million, respectively. Our held-to-maturity U.S. Treasury Bills all have original maturity dates ranging from July 2026 to October 2026.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financial instruments are comprised of cash and cash equivalents, short-term investments, accounts receivable, notes receivable, accounts payable and long-term debt. The carrying value of cash and cash equivalents, accounts receivable and accounts payable approximate fair value due to their short maturities. The notes receivable are recorded at amortized cost based on the contractual interest rate. The fair value of the notes receivable is disclosed in Note 14 Fair Value Measurements. The carrying value of long-term debt approximates fair value as it carries interest rates that either fluctuate with the secured overnight finance rate (“SOFR”), prime rate or have been reset at the prevailing market rate at June 30, 2026.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i/>
          <w:sz w:val="20"/>
        </w:rPr>
      </w:pPr>
      <w:bookmarkStart w:id="598" w:name="Tc_ETl8UhrzJEGt-Eo9Vw-TlA_6_11"/>
      <w:bookmarkStart w:id="599" w:name="Tc_kCGPGTe7RkSroVdsPudhyQ_6_8"/>
      <w:bookmarkStart w:id="600" w:name="Tc_MPUGn2-fcEmafKK9uF3RsA_6_5"/>
      <w:bookmarkStart w:id="601" w:name="Tc_SHIzXfdO9UuBoSHKok8-gw_6_2"/>
      <w:bookmarkStart w:id="602" w:name="Tc_oJtZusKEEUiPy6iTDECMbg_6_0"/>
      <w:bookmarkStart w:id="603" w:name="Tc_5xSp_j_pG0S5KAteYdCH9w_5_2"/>
      <w:bookmarkStart w:id="604" w:name="Tc_aP0yfYjc-0inlj-MftoZAw_4_11"/>
      <w:bookmarkStart w:id="605" w:name="Tc_o_7fdh6pMUagyo5LO5jR1g_4_8"/>
      <w:bookmarkStart w:id="606" w:name="Tc_UmH4bpWTXUaYT0h8uUUjzA_4_5"/>
      <w:bookmarkStart w:id="607" w:name="Tc_GS8nxrXadkqim6zt9BNMSg_4_2"/>
      <w:bookmarkStart w:id="608" w:name="Tc_bTUiKq8mc0Sq9OAgAeVgVg_4_0"/>
      <w:bookmarkStart w:id="609" w:name="Tc_C802niMCYEGF1qZgbxHAIg_3_11"/>
      <w:bookmarkStart w:id="610" w:name="Tc_x7FHjU1B-0C3YW_K9stCgg_3_8"/>
      <w:bookmarkStart w:id="611" w:name="Tc_r900jyPcbkWkR5FrjzxH6g_3_5"/>
      <w:bookmarkStart w:id="612" w:name="Tc_eokJK26zUUWSy_Q0-CKzvg_3_2"/>
      <w:bookmarkStart w:id="613" w:name="Tc_iUURT3Jn40qEzB6uSI956w_2_11"/>
      <w:bookmarkStart w:id="614" w:name="Tc_gVZUfYmBE0qzZIZ-b6awaA_2_8"/>
      <w:bookmarkStart w:id="615" w:name="Tc_Pkx_GhoyAUSBcZjP_9kN0g_2_5"/>
      <w:bookmarkStart w:id="616" w:name="Tc_86nW9GZ8b0SP3OJGAP_JTQ_2_2"/>
      <w:bookmarkStart w:id="617" w:name="Tc_IVzLipbh3keigrTXCtkQcw_1_8"/>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ascii="Times New Roman;Times;serif" w:hAnsi="Times New Roman;Times;serif"/>
          <w:b/>
          <w:i/>
          <w:sz w:val="20"/>
        </w:rPr>
        <w:t>Allowance for Credit Losses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provision for credit losses is recorded based on our judgment of collectability of receivables. Amounts are written off when determined to be fully uncollectible. Delinquent accounts are based on contractual terms. We maintain a specific allowance for estimated losses resulting from the inability of certain customers to make required payments. We also consider factors external to the specific customer, including current conditions and forecasts of economic conditions. In the event we recover amounts previously written off, we will reduce the specific allowance for credit loss. Our allowance for credit losses was $662 and $1,136 at June 30, 2026 and December 31, 2025, respectively. The activity in the allowance for credit losses during the six months ended June 30, 2026 was as follows:</w:t>
      </w:r>
    </w:p>
    <w:p>
      <w:pPr>
        <w:pStyle w:val="TextBody"/>
        <w:bidi w:val="0"/>
        <w:spacing w:before="0" w:after="0"/>
        <w:ind w:left="0" w:right="0" w:hanging="0"/>
        <w:jc w:val="left"/>
        <w:rPr/>
      </w:pPr>
      <w:r>
        <w:rPr/>
        <w:t>​</w:t>
      </w:r>
    </w:p>
    <w:tbl>
      <w:tblPr>
        <w:tblW w:w="7029" w:type="dxa"/>
        <w:jc w:val="left"/>
        <w:tblInd w:w="0" w:type="dxa"/>
        <w:tblLayout w:type="fixed"/>
        <w:tblCellMar>
          <w:top w:w="0" w:type="dxa"/>
          <w:left w:w="0" w:type="dxa"/>
          <w:bottom w:w="0" w:type="dxa"/>
          <w:right w:w="0" w:type="dxa"/>
        </w:tblCellMar>
      </w:tblPr>
      <w:tblGrid>
        <w:gridCol w:w="1471"/>
        <w:gridCol w:w="346"/>
        <w:gridCol w:w="412"/>
        <w:gridCol w:w="609"/>
        <w:gridCol w:w="346"/>
        <w:gridCol w:w="446"/>
        <w:gridCol w:w="485"/>
        <w:gridCol w:w="346"/>
        <w:gridCol w:w="403"/>
        <w:gridCol w:w="903"/>
        <w:gridCol w:w="346"/>
        <w:gridCol w:w="383"/>
        <w:gridCol w:w="533"/>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934085" cy="175260"/>
                      <wp:effectExtent l="0" t="0" r="0" b="0"/>
                      <wp:wrapNone/>
                      <wp:docPr id="95" name="Frame9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61620" cy="175260"/>
                      <wp:effectExtent l="0" t="0" r="0" b="0"/>
                      <wp:wrapNone/>
                      <wp:docPr id="97" name="Frame97"/>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86715" cy="175260"/>
                      <wp:effectExtent l="0" t="0" r="0" b="0"/>
                      <wp:wrapNone/>
                      <wp:docPr id="98" name="Frame98"/>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83210" cy="175260"/>
                      <wp:effectExtent l="0" t="0" r="0" b="0"/>
                      <wp:wrapNone/>
                      <wp:docPr id="100" name="Frame100"/>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07975" cy="175260"/>
                      <wp:effectExtent l="0" t="0" r="0" b="0"/>
                      <wp:wrapNone/>
                      <wp:docPr id="101" name="Frame101"/>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55905" cy="175260"/>
                      <wp:effectExtent l="0" t="0" r="0" b="0"/>
                      <wp:wrapNone/>
                      <wp:docPr id="103" name="Frame103"/>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73405" cy="175260"/>
                      <wp:effectExtent l="0" t="0" r="0" b="0"/>
                      <wp:wrapNone/>
                      <wp:docPr id="104" name="Frame104"/>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43205" cy="175260"/>
                      <wp:effectExtent l="0" t="0" r="0" b="0"/>
                      <wp:wrapNone/>
                      <wp:docPr id="106" name="Frame106"/>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38455" cy="175260"/>
                      <wp:effectExtent l="0" t="0" r="0" b="0"/>
                      <wp:wrapNone/>
                      <wp:docPr id="107" name="Frame107"/>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12" w:type="dxa"/>
            <w:tcBorders/>
            <w:vAlign w:val="center"/>
          </w:tcPr>
          <w:p>
            <w:pPr>
              <w:pStyle w:val="TableContents"/>
              <w:bidi w:val="0"/>
              <w:spacing w:before="0" w:after="1"/>
              <w:ind w:left="0" w:right="0" w:hanging="0"/>
              <w:jc w:val="center"/>
              <w:rPr/>
            </w:pPr>
            <w:r>
              <w:rPr/>
              <w:t>  ​ ​ ​</w:t>
            </w:r>
          </w:p>
        </w:tc>
        <w:tc>
          <w:tcPr>
            <w:tcW w:w="6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446" w:type="dxa"/>
            <w:tcBorders/>
            <w:vAlign w:val="center"/>
          </w:tcPr>
          <w:p>
            <w:pPr>
              <w:pStyle w:val="TableContents"/>
              <w:bidi w:val="0"/>
              <w:spacing w:before="0" w:after="1"/>
              <w:ind w:left="0" w:right="0" w:hanging="0"/>
              <w:jc w:val="center"/>
              <w:rPr/>
            </w:pPr>
            <w:r>
              <w:rPr/>
              <w:t>  ​ ​ ​</w:t>
            </w:r>
          </w:p>
        </w:tc>
        <w:tc>
          <w:tcPr>
            <w:tcW w:w="4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Write Off of</w:t>
            </w:r>
          </w:p>
        </w:tc>
        <w:tc>
          <w:tcPr>
            <w:tcW w:w="346" w:type="dxa"/>
            <w:tcBorders/>
            <w:vAlign w:val="center"/>
          </w:tcPr>
          <w:p>
            <w:pPr>
              <w:pStyle w:val="TableContents"/>
              <w:bidi w:val="0"/>
              <w:spacing w:before="0" w:after="1"/>
              <w:ind w:left="0" w:right="0" w:hanging="0"/>
              <w:jc w:val="center"/>
              <w:rPr/>
            </w:pPr>
            <w:r>
              <w:rPr/>
              <w:t>  ​ ​ ​</w:t>
            </w:r>
          </w:p>
        </w:tc>
        <w:tc>
          <w:tcPr>
            <w:tcW w:w="383" w:type="dxa"/>
            <w:tcBorders/>
            <w:vAlign w:val="center"/>
          </w:tcPr>
          <w:p>
            <w:pPr>
              <w:pStyle w:val="TableContents"/>
              <w:bidi w:val="0"/>
              <w:spacing w:before="0" w:after="1"/>
              <w:ind w:left="0" w:right="0" w:hanging="0"/>
              <w:jc w:val="center"/>
              <w:rPr/>
            </w:pPr>
            <w:r>
              <w:rPr/>
              <w:t>  ​ ​ ​</w:t>
            </w:r>
          </w:p>
        </w:tc>
        <w:tc>
          <w:tcPr>
            <w:tcW w:w="533" w:type="dxa"/>
            <w:tcBorders/>
            <w:vAlign w:val="center"/>
          </w:tcPr>
          <w:p>
            <w:pPr>
              <w:pStyle w:val="TableContents"/>
              <w:bidi w:val="0"/>
              <w:spacing w:before="0" w:after="1"/>
              <w:ind w:left="0" w:right="0" w:hanging="0"/>
              <w:jc w:val="center"/>
              <w:rPr/>
            </w:pPr>
            <w:r>
              <w:rPr/>
              <w:t>​</w:t>
            </w:r>
          </w:p>
        </w:tc>
      </w:tr>
      <w:tr>
        <w:trPr/>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Charged to</w:t>
            </w:r>
          </w:p>
        </w:tc>
        <w:tc>
          <w:tcPr>
            <w:tcW w:w="346" w:type="dxa"/>
            <w:tcBorders/>
            <w:vAlign w:val="center"/>
          </w:tcPr>
          <w:p>
            <w:pPr>
              <w:pStyle w:val="TableContents"/>
              <w:bidi w:val="0"/>
              <w:spacing w:before="0" w:after="1"/>
              <w:ind w:left="0" w:right="0" w:hanging="0"/>
              <w:jc w:val="center"/>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Uncollectible</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Beginning</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Costs and</w:t>
            </w:r>
          </w:p>
        </w:tc>
        <w:tc>
          <w:tcPr>
            <w:tcW w:w="346" w:type="dxa"/>
            <w:tcBorders/>
            <w:vAlign w:val="center"/>
          </w:tcPr>
          <w:p>
            <w:pPr>
              <w:pStyle w:val="TableContents"/>
              <w:bidi w:val="0"/>
              <w:spacing w:before="0" w:after="1"/>
              <w:ind w:left="0" w:right="0" w:hanging="0"/>
              <w:jc w:val="center"/>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Accounts, Net of</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 of</w:t>
            </w:r>
          </w:p>
        </w:tc>
      </w:tr>
      <w:tr>
        <w:trPr/>
        <w:tc>
          <w:tcPr>
            <w:tcW w:w="14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Period</w:t>
            </w:r>
          </w:p>
        </w:tc>
        <w:tc>
          <w:tcPr>
            <w:tcW w:w="346" w:type="dxa"/>
            <w:tcBorders/>
            <w:vAlign w:val="center"/>
          </w:tcPr>
          <w:p>
            <w:pPr>
              <w:pStyle w:val="TableContents"/>
              <w:bidi w:val="0"/>
              <w:spacing w:before="0" w:after="1"/>
              <w:ind w:left="0" w:right="0" w:hanging="0"/>
              <w:jc w:val="left"/>
              <w:rPr/>
            </w:pPr>
            <w:r>
              <w:rPr/>
              <w:t>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46" w:type="dxa"/>
            <w:tcBorders/>
            <w:vAlign w:val="center"/>
          </w:tcPr>
          <w:p>
            <w:pPr>
              <w:pStyle w:val="TableContents"/>
              <w:bidi w:val="0"/>
              <w:spacing w:before="0" w:after="1"/>
              <w:ind w:left="0" w:right="0" w:hanging="0"/>
              <w:jc w:val="left"/>
              <w:rPr/>
            </w:pPr>
            <w:r>
              <w:rPr/>
              <w:t>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Recoveries</w:t>
            </w:r>
          </w:p>
        </w:tc>
        <w:tc>
          <w:tcPr>
            <w:tcW w:w="346" w:type="dxa"/>
            <w:tcBorders/>
            <w:vAlign w:val="center"/>
          </w:tcPr>
          <w:p>
            <w:pPr>
              <w:pStyle w:val="TableContents"/>
              <w:bidi w:val="0"/>
              <w:spacing w:before="0" w:after="1"/>
              <w:ind w:left="0" w:right="0" w:hanging="0"/>
              <w:jc w:val="left"/>
              <w:rPr/>
            </w:pPr>
            <w:r>
              <w:rPr/>
              <w:t>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702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12"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1,136</w:t>
            </w:r>
          </w:p>
        </w:tc>
        <w:tc>
          <w:tcPr>
            <w:tcW w:w="346"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w:t>
            </w:r>
          </w:p>
        </w:tc>
        <w:tc>
          <w:tcPr>
            <w:tcW w:w="346"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(670)</w:t>
            </w:r>
          </w:p>
        </w:tc>
        <w:tc>
          <w:tcPr>
            <w:tcW w:w="34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3"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662</w:t>
            </w:r>
          </w:p>
        </w:tc>
      </w:tr>
    </w:tbl>
    <w:p>
      <w:pPr>
        <w:pStyle w:val="TextBody"/>
        <w:bidi w:val="0"/>
        <w:spacing w:before="0" w:after="200"/>
        <w:ind w:left="0" w:right="0" w:firstLine="360"/>
        <w:jc w:val="left"/>
        <w:rPr/>
      </w:pPr>
      <w:r>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effective tax rate differs from the federal statutory rate as a result of the inclusion of state taxes in the income tax amount and permanent differences related to executive compensation. 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serve twenty-eight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Company’s Chief Executive Officer is our Chief Operating Decision Maker (“CODM”) and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The CODM is regularly provided with financial information consistent with the Condensed Consolidated Statement of Operations presented within. Specifically, the CODM utilizes consolidated operating income as profitability measures for purposes of making operating decisions and assessing financial performance. Further, the CODM reviews and utilizes station operating expense and corporate general and administrative expenses at the consolidated level to manage the Company’s operations. Other segment items included in the consolidated net income are interest expense, interest income, other (income) expenses, net and income tax (benefit) expense, which are reflected in the Condensed Consolidated Statement of Operations. We continually review our operating segment classification to align with operational changes in our business and may make changes as necessary.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618" w:name="Tc_YHLVW6nE4EqhF31Cb1In3A_11_0"/>
      <w:bookmarkStart w:id="619" w:name="Tc_Rcv-8lX9ikSbj6bfWO4gmg_9_11"/>
      <w:bookmarkStart w:id="620" w:name="Tc_umrVvjQNwE-wJy0NENo0Zg_9_8"/>
      <w:bookmarkStart w:id="621" w:name="Tc_XSov21fJD0mjgemJwYk4JA_9_5"/>
      <w:bookmarkStart w:id="622" w:name="Tc_Cv3ip5lOvU2i5QLQhD0VRw_9_2"/>
      <w:bookmarkStart w:id="623" w:name="Tc_tXrXGb-9XEqZmK_dyJyQ5A_9_0"/>
      <w:bookmarkStart w:id="624" w:name="Tc__VrMHt0UmUWZLS0Xn96JaQ_8_0"/>
      <w:bookmarkStart w:id="625" w:name="Tc_YTmL0iDE0UaklgOUY9QnNg_7_0"/>
      <w:bookmarkStart w:id="626" w:name="Tc_fisu2XocX0i3Ygfi5AcUCg_6_0"/>
      <w:bookmarkStart w:id="627" w:name="Tc_YcGlLO39lECBpK7YdZbN9g_5_0"/>
      <w:bookmarkStart w:id="628" w:name="Tc_BR4BZUAxnkql7oSoKO-3cw_4_11"/>
      <w:bookmarkStart w:id="629" w:name="Tc_I0eaPc1st0Opt0yAuzMDGA_4_8"/>
      <w:bookmarkStart w:id="630" w:name="Tc_yElwg09TTkuLcNudJ6Lv-w_4_5"/>
      <w:bookmarkStart w:id="631" w:name="Tc_ecXj2n2f_kSFQJAwAbowLg_4_2"/>
      <w:bookmarkStart w:id="632" w:name="Tc_ffXLVqdssUK3FQWTV9rgXg_4_0"/>
      <w:bookmarkStart w:id="633" w:name="Tc_jkb5RFiFEEOr9kLXwVvZgA_3_8"/>
      <w:bookmarkStart w:id="634" w:name="Tc_0qAKZGliO0-R-XzhiNLIog_3_2"/>
      <w:bookmarkStart w:id="635" w:name="Tc_gZ_8qzQgoU2BhP3L-_ieJA_2_11"/>
      <w:bookmarkStart w:id="636" w:name="Tc_cE2o2HOdMUuaZVuQkJmkjQ_2_8"/>
      <w:bookmarkStart w:id="637" w:name="Tc_dAm2SibXFkCvbuw3s_8FHA_2_5"/>
      <w:bookmarkStart w:id="638" w:name="Tc_8kxjN5pI2EKFZnVnGMM5pg_2_2"/>
      <w:bookmarkStart w:id="639" w:name="Tc_1ADk0GFNPkygsNNjwugIGg_1_8"/>
      <w:bookmarkStart w:id="640" w:name="Tc_4m7zbZ8qs0uxzuS1PRv-8g_1_2"/>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Pr>
          <w:rFonts w:ascii="Times New Roman;Times;serif" w:hAnsi="Times New Roman;Times;serif"/>
          <w:sz w:val="20"/>
        </w:rPr>
        <w:t xml:space="preserve">Significant departmental expenses included in station operating expenses for the three and six months ended June 30, 2026 and 2025 are as follows: </w:t>
      </w:r>
    </w:p>
    <w:p>
      <w:pPr>
        <w:pStyle w:val="TextBody"/>
        <w:bidi w:val="0"/>
        <w:spacing w:before="0" w:after="200"/>
        <w:ind w:left="0" w:right="0" w:firstLine="360"/>
        <w:jc w:val="left"/>
        <w:rPr/>
      </w:pPr>
      <w:r>
        <w:rPr/>
        <w:t>​</w:t>
      </w:r>
    </w:p>
    <w:tbl>
      <w:tblPr>
        <w:tblW w:w="8344" w:type="dxa"/>
        <w:jc w:val="left"/>
        <w:tblInd w:w="0" w:type="dxa"/>
        <w:tblLayout w:type="fixed"/>
        <w:tblCellMar>
          <w:top w:w="0" w:type="dxa"/>
          <w:left w:w="0" w:type="dxa"/>
          <w:bottom w:w="0" w:type="dxa"/>
          <w:right w:w="0" w:type="dxa"/>
        </w:tblCellMar>
      </w:tblPr>
      <w:tblGrid>
        <w:gridCol w:w="2986"/>
        <w:gridCol w:w="109"/>
        <w:gridCol w:w="260"/>
        <w:gridCol w:w="833"/>
        <w:gridCol w:w="426"/>
        <w:gridCol w:w="315"/>
        <w:gridCol w:w="833"/>
        <w:gridCol w:w="109"/>
        <w:gridCol w:w="236"/>
        <w:gridCol w:w="757"/>
        <w:gridCol w:w="387"/>
        <w:gridCol w:w="286"/>
        <w:gridCol w:w="807"/>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896110" cy="175260"/>
                      <wp:effectExtent l="0" t="0" r="0" b="0"/>
                      <wp:wrapNone/>
                      <wp:docPr id="108" name="Frame108"/>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5100" cy="175260"/>
                      <wp:effectExtent l="0" t="0" r="0" b="0"/>
                      <wp:wrapNone/>
                      <wp:docPr id="110" name="Frame110"/>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70510" cy="175260"/>
                      <wp:effectExtent l="0" t="0" r="0" b="0"/>
                      <wp:wrapNone/>
                      <wp:docPr id="111" name="Frame111"/>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0025" cy="175260"/>
                      <wp:effectExtent l="0" t="0" r="0" b="0"/>
                      <wp:wrapNone/>
                      <wp:docPr id="112" name="Frame11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9860" cy="175260"/>
                      <wp:effectExtent l="0" t="0" r="0" b="0"/>
                      <wp:wrapNone/>
                      <wp:docPr id="113" name="Frame113"/>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1"/>
              <w:ind w:left="0" w:right="0" w:hanging="0"/>
              <w:jc w:val="left"/>
              <w:rPr/>
            </w:pPr>
            <w:r>
              <w:rPr/>
              <w:t>​</w: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45745" cy="175260"/>
                      <wp:effectExtent l="0" t="0" r="0" b="0"/>
                      <wp:wrapNone/>
                      <wp:docPr id="114" name="Frame114"/>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81610" cy="175260"/>
                      <wp:effectExtent l="0" t="0" r="0" b="0"/>
                      <wp:wrapNone/>
                      <wp:docPr id="115" name="Frame11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1"/>
              <w:ind w:left="0" w:right="0" w:hanging="0"/>
              <w:jc w:val="left"/>
              <w:rPr/>
            </w:pPr>
            <w:r>
              <w:rPr/>
              <w:t>​</w:t>
            </w:r>
          </w:p>
        </w:tc>
      </w:tr>
      <w:tr>
        <w:trPr/>
        <w:tc>
          <w:tcPr>
            <w:tcW w:w="29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4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9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26" w:type="dxa"/>
            <w:tcBorders/>
            <w:vAlign w:val="center"/>
          </w:tcPr>
          <w:p>
            <w:pPr>
              <w:pStyle w:val="TableContents"/>
              <w:bidi w:val="0"/>
              <w:spacing w:before="0" w:after="1"/>
              <w:ind w:left="0" w:right="0" w:hanging="0"/>
              <w:jc w:val="left"/>
              <w:rPr/>
            </w:pPr>
            <w:r>
              <w:rPr/>
              <w:t>  ​ ​ ​</w:t>
            </w:r>
          </w:p>
        </w:tc>
        <w:tc>
          <w:tcPr>
            <w:tcW w:w="11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1"/>
              <w:ind w:left="0" w:right="0" w:hanging="0"/>
              <w:jc w:val="center"/>
              <w:rPr/>
            </w:pPr>
            <w:r>
              <w:rPr/>
              <w:t>​</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87" w:type="dxa"/>
            <w:tcBorders/>
            <w:vAlign w:val="center"/>
          </w:tcPr>
          <w:p>
            <w:pPr>
              <w:pStyle w:val="TableContents"/>
              <w:bidi w:val="0"/>
              <w:spacing w:before="0" w:after="1"/>
              <w:ind w:left="0" w:right="0" w:hanging="0"/>
              <w:jc w:val="left"/>
              <w:rPr/>
            </w:pPr>
            <w:r>
              <w:rPr/>
              <w:t>  ​ ​ ​</w:t>
            </w:r>
          </w:p>
        </w:tc>
        <w:tc>
          <w:tcPr>
            <w:tcW w:w="10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834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9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67"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109" w:type="dxa"/>
            <w:tcBorders/>
            <w:vAlign w:val="center"/>
          </w:tcPr>
          <w:p>
            <w:pPr>
              <w:pStyle w:val="TableContents"/>
              <w:bidi w:val="0"/>
              <w:spacing w:before="0" w:after="1"/>
              <w:ind w:left="0" w:right="0" w:hanging="0"/>
              <w:jc w:val="center"/>
              <w:rPr/>
            </w:pPr>
            <w:r>
              <w:rPr/>
              <w:t>​</w:t>
            </w:r>
          </w:p>
        </w:tc>
        <w:tc>
          <w:tcPr>
            <w:tcW w:w="247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Programming and Technical</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7,216</w:t>
            </w:r>
          </w:p>
        </w:tc>
        <w:tc>
          <w:tcPr>
            <w:tcW w:w="426" w:type="dxa"/>
            <w:tcBorders/>
            <w:shd w:fill="CCEEFF" w:val="clear"/>
            <w:vAlign w:val="center"/>
          </w:tcPr>
          <w:p>
            <w:pPr>
              <w:pStyle w:val="TableContents"/>
              <w:bidi w:val="0"/>
              <w:spacing w:before="0" w:after="1"/>
              <w:ind w:left="0" w:right="0" w:hanging="0"/>
              <w:jc w:val="left"/>
              <w:rPr/>
            </w:pPr>
            <w:r>
              <w:rPr/>
              <w:t>  ​ ​ ​</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7,338</w:t>
            </w:r>
          </w:p>
        </w:tc>
        <w:tc>
          <w:tcPr>
            <w:tcW w:w="109" w:type="dxa"/>
            <w:tcBorders/>
            <w:shd w:fill="CCEEFF" w:val="clear"/>
            <w:vAlign w:val="center"/>
          </w:tcPr>
          <w:p>
            <w:pPr>
              <w:pStyle w:val="TableContents"/>
              <w:bidi w:val="0"/>
              <w:spacing w:before="0" w:after="1"/>
              <w:ind w:left="0" w:right="0" w:hanging="0"/>
              <w:jc w:val="righ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14,080</w:t>
            </w:r>
          </w:p>
        </w:tc>
        <w:tc>
          <w:tcPr>
            <w:tcW w:w="387" w:type="dxa"/>
            <w:tcBorders/>
            <w:shd w:fill="CCEEFF" w:val="clear"/>
            <w:vAlign w:val="center"/>
          </w:tcPr>
          <w:p>
            <w:pPr>
              <w:pStyle w:val="TableContents"/>
              <w:bidi w:val="0"/>
              <w:spacing w:before="0" w:after="1"/>
              <w:ind w:left="0" w:right="0" w:hanging="0"/>
              <w:jc w:val="left"/>
              <w:rPr/>
            </w:pPr>
            <w:r>
              <w:rPr/>
              <w:t>  ​ ​ ​</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14,544</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Station General and Administrative</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6,902</w:t>
            </w:r>
          </w:p>
        </w:tc>
        <w:tc>
          <w:tcPr>
            <w:tcW w:w="4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6,615</w:t>
            </w:r>
          </w:p>
        </w:tc>
        <w:tc>
          <w:tcPr>
            <w:tcW w:w="109" w:type="dxa"/>
            <w:tcBorders/>
            <w:vAlign w:val="center"/>
          </w:tcPr>
          <w:p>
            <w:pPr>
              <w:pStyle w:val="TableContents"/>
              <w:bidi w:val="0"/>
              <w:spacing w:before="0" w:after="1"/>
              <w:ind w:left="0" w:right="0" w:hanging="0"/>
              <w:jc w:val="right"/>
              <w:rPr/>
            </w:pPr>
            <w:r>
              <w:rPr/>
              <w:t>​</w:t>
            </w:r>
          </w:p>
        </w:tc>
        <w:tc>
          <w:tcPr>
            <w:tcW w:w="236" w:type="dxa"/>
            <w:tcBorders/>
            <w:vAlign w:val="center"/>
          </w:tcPr>
          <w:p>
            <w:pPr>
              <w:pStyle w:val="TableContents"/>
              <w:bidi w:val="0"/>
              <w:spacing w:before="0" w:after="1"/>
              <w:ind w:left="0" w:right="0" w:hanging="0"/>
              <w:jc w:val="left"/>
              <w:rPr/>
            </w:pPr>
            <w:r>
              <w:rPr/>
              <w:t> </w:t>
            </w:r>
          </w:p>
        </w:tc>
        <w:tc>
          <w:tcPr>
            <w:tcW w:w="7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13,901</w:t>
            </w:r>
          </w:p>
        </w:tc>
        <w:tc>
          <w:tcPr>
            <w:tcW w:w="387"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13,765</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5,906</w:t>
            </w:r>
          </w:p>
        </w:tc>
        <w:tc>
          <w:tcPr>
            <w:tcW w:w="4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5,713</w:t>
            </w:r>
          </w:p>
        </w:tc>
        <w:tc>
          <w:tcPr>
            <w:tcW w:w="109" w:type="dxa"/>
            <w:tcBorders/>
            <w:shd w:fill="CCEEFF" w:val="clear"/>
            <w:vAlign w:val="center"/>
          </w:tcPr>
          <w:p>
            <w:pPr>
              <w:pStyle w:val="TableContents"/>
              <w:bidi w:val="0"/>
              <w:spacing w:before="0" w:after="1"/>
              <w:ind w:left="0" w:right="0" w:hanging="0"/>
              <w:jc w:val="righ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11,055</w:t>
            </w:r>
          </w:p>
        </w:tc>
        <w:tc>
          <w:tcPr>
            <w:tcW w:w="387"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10,871</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2,666</w:t>
            </w:r>
          </w:p>
        </w:tc>
        <w:tc>
          <w:tcPr>
            <w:tcW w:w="4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w:t>
            </w:r>
          </w:p>
        </w:tc>
        <w:tc>
          <w:tcPr>
            <w:tcW w:w="109" w:type="dxa"/>
            <w:tcBorders/>
            <w:vAlign w:val="center"/>
          </w:tcPr>
          <w:p>
            <w:pPr>
              <w:pStyle w:val="TableContents"/>
              <w:bidi w:val="0"/>
              <w:spacing w:before="0" w:after="1"/>
              <w:ind w:left="0" w:right="0" w:hanging="0"/>
              <w:jc w:val="right"/>
              <w:rPr/>
            </w:pPr>
            <w:r>
              <w:rPr/>
              <w:t>​</w:t>
            </w:r>
          </w:p>
        </w:tc>
        <w:tc>
          <w:tcPr>
            <w:tcW w:w="236"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4,978</w:t>
            </w:r>
          </w:p>
        </w:tc>
        <w:tc>
          <w:tcPr>
            <w:tcW w:w="387"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3,470</w:t>
            </w:r>
          </w:p>
        </w:tc>
      </w:tr>
      <w:tr>
        <w:trPr/>
        <w:tc>
          <w:tcPr>
            <w:tcW w:w="29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c>
          <w:tcPr>
            <w:tcW w:w="426" w:type="dxa"/>
            <w:tcBorders/>
            <w:shd w:fill="CCEEFF" w:val="clear"/>
            <w:vAlign w:val="center"/>
          </w:tcPr>
          <w:p>
            <w:pPr>
              <w:pStyle w:val="TableContents"/>
              <w:bidi w:val="0"/>
              <w:spacing w:before="0" w:after="1"/>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109" w:type="dxa"/>
            <w:tcBorders/>
            <w:shd w:fill="CCEEFF" w:val="clear"/>
            <w:vAlign w:val="center"/>
          </w:tcPr>
          <w:p>
            <w:pPr>
              <w:pStyle w:val="TableContents"/>
              <w:bidi w:val="0"/>
              <w:spacing w:before="0" w:after="1"/>
              <w:ind w:left="0" w:right="0" w:hanging="0"/>
              <w:jc w:val="righ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w:t>
            </w:r>
          </w:p>
        </w:tc>
        <w:tc>
          <w:tcPr>
            <w:tcW w:w="387" w:type="dxa"/>
            <w:tcBorders/>
            <w:shd w:fill="CCEEFF" w:val="cle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Station Operating Expense</w:t>
            </w:r>
          </w:p>
        </w:tc>
        <w:tc>
          <w:tcPr>
            <w:tcW w:w="109"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23,436</w:t>
            </w:r>
          </w:p>
        </w:tc>
        <w:tc>
          <w:tcPr>
            <w:tcW w:w="426" w:type="dxa"/>
            <w:tcBorders/>
            <w:vAlign w:val="center"/>
          </w:tcPr>
          <w:p>
            <w:pPr>
              <w:pStyle w:val="TableContents"/>
              <w:bidi w:val="0"/>
              <w:spacing w:before="0" w:after="1"/>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22,226</w:t>
            </w:r>
          </w:p>
        </w:tc>
        <w:tc>
          <w:tcPr>
            <w:tcW w:w="109" w:type="dxa"/>
            <w:tcBorders/>
            <w:vAlign w:val="center"/>
          </w:tcPr>
          <w:p>
            <w:pPr>
              <w:pStyle w:val="TableContents"/>
              <w:bidi w:val="0"/>
              <w:spacing w:before="0" w:after="1"/>
              <w:ind w:left="0" w:right="0" w:hanging="0"/>
              <w:jc w:val="righ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45,448</w:t>
            </w:r>
          </w:p>
        </w:tc>
        <w:tc>
          <w:tcPr>
            <w:tcW w:w="387" w:type="dxa"/>
            <w:tcBorders/>
            <w:vAlign w:val="center"/>
          </w:tcPr>
          <w:p>
            <w:pPr>
              <w:pStyle w:val="TableContents"/>
              <w:bidi w:val="0"/>
              <w:spacing w:before="0" w:after="1"/>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44,189</w:t>
            </w:r>
          </w:p>
        </w:tc>
      </w:tr>
      <w:tr>
        <w:trPr/>
        <w:tc>
          <w:tcPr>
            <w:tcW w:w="29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left"/>
              <w:rPr/>
            </w:pPr>
            <w:r>
              <w:rPr/>
              <w:t>​</w:t>
            </w:r>
          </w:p>
        </w:tc>
        <w:tc>
          <w:tcPr>
            <w:tcW w:w="387"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left"/>
              <w:rPr/>
            </w:pPr>
            <w:r>
              <w:rPr/>
              <w:t>​</w:t>
            </w:r>
          </w:p>
        </w:tc>
      </w:tr>
      <w:tr>
        <w:trPr/>
        <w:tc>
          <w:tcPr>
            <w:tcW w:w="8344" w:type="dxa"/>
            <w:gridSpan w:val="13"/>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Other includes production and news departments, advertising and promotional expense.</w:t>
            </w:r>
          </w:p>
        </w:tc>
      </w:tr>
    </w:tbl>
    <w:p>
      <w:pPr>
        <w:pStyle w:val="TextBody"/>
        <w:bidi w:val="0"/>
        <w:spacing w:before="0" w:after="200"/>
        <w:ind w:left="0" w:right="0" w:firstLine="360"/>
        <w:jc w:val="left"/>
        <w:rPr/>
      </w:pPr>
      <w:r>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Time Brokerage Agreements/Local Marketing Agreements/Joint Sales Agreements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have entered into Time Brokerage Agreements (“TBAs”), Local Marketing Agreements (“LMAs”) or Joint Sales Agreements (“JSAs”) in certain markets in the past. In a typical TBA/LMA/JSA, the FCC licensee of a station makes available, for a fee, blocks of air time on its station to another party that supplies programming to be broadcast during that air time and sells their own commercial advertising announcements during the time periods specified. Revenue and expenses related to TBAs/LMAs/JSAs are included in the accompanying unaudited Condensed Consolidated Statements of Operations. Assets and liabilities related to the TBAs/LMAs/JSAa are included in the accompanying unaudited Condensed Consolidated Balance Sheets. On August 5, 2026, the Company entered into a JSA with the University of Florida (the “University”) to sell advertising for the University’s radio stations, WRUF-AM and WRUF-FM for seven years beginning on September 1, 2026. </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Assets Held for Sale</w:t>
      </w:r>
    </w:p>
    <w:p>
      <w:pPr>
        <w:pStyle w:val="TextBody"/>
        <w:bidi w:val="0"/>
        <w:spacing w:before="0" w:after="2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Long-lived assets to be sold are classified as held for sale in the period in which they meet all the criteria for the disposal of long-lived assets. Upon classification as held for sale, non-current assets or disposal groups are measured at the lower of their carrying amount and fair value less costs to sell. Depreciation or amortization on such assets ceases from the date of classification. During the second quarter of 2026, the Company met the criteria related to certain land, buildings and towers. As of June 30, 2026, assets held for sale were $671,000 and there were no liabilities held for sale. There were no assets held for sale or liabilities held for sale as of December 31, 2025. The Company closed on two of the properties subsequent to June 30, 2026 and expects to close on last property in the third quarter of 2026. </w:t>
      </w:r>
    </w:p>
    <w:p>
      <w:pPr>
        <w:pStyle w:val="TextBody"/>
        <w:bidi w:val="0"/>
        <w:spacing w:before="0" w:after="20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 Recent Accounting Pronouncements</w:t>
      </w:r>
    </w:p>
    <w:p>
      <w:pPr>
        <w:pStyle w:val="TextBody"/>
        <w:bidi w:val="0"/>
        <w:spacing w:before="0" w:after="200"/>
        <w:ind w:left="0" w:right="0" w:firstLine="360"/>
        <w:jc w:val="left"/>
        <w:rPr>
          <w:rFonts w:ascii="Times New Roman;font-style:italic;font-weight:bold" w:hAnsi="Times New Roman;font-style:italic;font-weight:bold"/>
          <w:sz w:val="20"/>
        </w:rPr>
      </w:pPr>
      <w:r>
        <w:rPr>
          <w:rFonts w:ascii="Times New Roman;font-style:italic;font-weight:bold" w:hAnsi="Times New Roman;font-style:italic;font-weight:bold"/>
          <w:sz w:val="20"/>
        </w:rPr>
        <w:t>New Accounting Pronouncements</w:t>
      </w:r>
    </w:p>
    <w:p>
      <w:pPr>
        <w:pStyle w:val="TextBody"/>
        <w:bidi w:val="0"/>
        <w:spacing w:before="0" w:after="0"/>
        <w:ind w:left="0" w:right="0" w:firstLine="360"/>
        <w:jc w:val="left"/>
        <w:rPr>
          <w:rFonts w:ascii="Times New Roman;Times;serif" w:hAnsi="Times New Roman;Times;serif"/>
          <w:sz w:val="20"/>
        </w:rPr>
      </w:pPr>
      <w:r>
        <w:rPr>
          <w:rFonts w:ascii="Times New Roman" w:hAnsi="Times New Roman"/>
          <w:sz w:val="20"/>
        </w:rPr>
        <w:t xml:space="preserve">In November 2024, the FASB issued ASU 2024-03, “Income Statement </w:t>
      </w:r>
      <w:r>
        <w:rPr>
          <w:rFonts w:ascii="Times New Roman;Times;serif" w:hAnsi="Times New Roman;Times;serif"/>
          <w:sz w:val="20"/>
        </w:rPr>
        <w:t xml:space="preserve">- </w:t>
      </w:r>
      <w:r>
        <w:rPr>
          <w:rFonts w:ascii="Times New Roman" w:hAnsi="Times New Roman"/>
          <w:sz w:val="20"/>
        </w:rPr>
        <w:t xml:space="preserve">Reporting Comprehensive Income </w:t>
      </w:r>
      <w:r>
        <w:rPr>
          <w:rFonts w:ascii="Times New Roman;Times;serif" w:hAnsi="Times New Roman;Times;serif"/>
          <w:sz w:val="20"/>
        </w:rPr>
        <w:t xml:space="preserve">- </w:t>
      </w:r>
      <w:r>
        <w:rPr>
          <w:rFonts w:ascii="Times New Roman" w:hAnsi="Times New Roman"/>
          <w:sz w:val="20"/>
        </w:rPr>
        <w:t>Expense Disaggregation Disclosures (Subtopic 220-40): Disaggregation of Income Statement Expenses (DISE</w:t>
      </w:r>
      <w:r>
        <w:rPr>
          <w:rFonts w:ascii="Times New Roman;Times;serif" w:hAnsi="Times New Roman;Times;serif"/>
          <w:sz w:val="20"/>
        </w:rPr>
        <w:t xml:space="preserve">)” </w:t>
      </w:r>
      <w:r>
        <w:rPr>
          <w:rFonts w:ascii="Times New Roman;white-space:pre-wrap" w:hAnsi="Times New Roman;white-space:pre-wrap"/>
          <w:sz w:val="20"/>
        </w:rPr>
        <w:t>(“ASU 2024-03”), which requires disclosures about specific types of expenses included in the expense captions presented on the face of the income statement as well as disclosures about selling expenses on an annual and interim basis. In January 2025, the FASB issued ASU 2025-01 clarifying the effective date for ASU 2024-03. ASU 2024-03 is effective for us for annual periods beginning January 1, 2027 and interim periods beginning after January 1, 2028. We are currently evaluating the impact ASU 2024-03 will have on our financial statement disclosures.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white-space:pre-wrap" w:hAnsi="Times New Roman;white-space:pre-wrap"/>
          <w:sz w:val="20"/>
        </w:rPr>
      </w:pPr>
      <w:r>
        <w:rPr>
          <w:rFonts w:ascii="Times New Roman;white-space:pre-wrap" w:hAnsi="Times New Roman;white-space:pre-wrap"/>
          <w:sz w:val="20"/>
        </w:rPr>
        <w:t xml:space="preserve">In December 2025, the FASB issued ASU 2025-11, “Interim Reporting (Topic 270): Narrow-Scope Improvements”, (“ASU 2025-11”), which clarifies the guidance in Topic 270 to improve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annual periods beginning after December 15, 2027, and interim periods within those annual periods and early adoption is permitted. The Company is currently evaluating the impact of this standard on its financial statements, including timing and method of adoption.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white-space:pre-wrap" w:hAnsi="Times New Roman;white-space:pre-wrap"/>
          <w:sz w:val="20"/>
        </w:rPr>
      </w:pPr>
      <w:r>
        <w:rPr>
          <w:rFonts w:ascii="Times New Roman;white-space:pre-wrap" w:hAnsi="Times New Roman;white-space:pre-wrap"/>
          <w:sz w:val="20"/>
        </w:rPr>
        <w:t xml:space="preserve">In December 2025, the FASB issued ASU 2025-12, “Codification Improvements”, (“ASU 2025-12”), which provides for several updates to the codification. The amendments of ASU 2025-12 are effective for annual periods beginning after December 15, 2026, and interim periods within those annual periods and early adoption is permitted. The Company is currently evaluating the impact of this standard on its financial statements, including timing and method of adoption. </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3. Revenue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Nature of goods and services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is a description of principal activities from which we generate our revenue:</w:t>
      </w:r>
    </w:p>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Broadcast Advertising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an agency and are reported as a reduction of advertising revenue.</w:t>
      </w:r>
    </w:p>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Digital Advertising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recognize revenue from our digital initiatives across multiple platforms such as targeted digital advertising, search engine management, search engine optimization, social media, online promotions, advertising on our online news sites, websites and digital audio streams, mobile messaging, email marketing and other e-commerce. Revenue is recorded when each specific performance obligation in the digital advertising campaign takes place, typically within a one month period. Digital audio stream revenue is recognized when the commercial spots have streamed. Third-party products such as targeted display advertising are recognized over time as digital items are used for advertising content and impression targets are met each month. The Company assesses each digital order to determine if the Company is operating as the principal or an agent. The Company currently operates as the principal for digital revenue with the exception of national streaming where we operate as the agent. </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Other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Other revenue includes revenue from concerts, promotional events, tower rent and other miscellaneous items. Revenue is generally recognized when the event is completed, as the promotional events are completed or as each performance obligation is satisfied.</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i/>
          <w:sz w:val="20"/>
        </w:rPr>
      </w:pPr>
      <w:bookmarkStart w:id="641" w:name="Tc_yzGxdBRT6k6ZAtR2wy2Zyw_9_11"/>
      <w:bookmarkStart w:id="642" w:name="Tc_R2lNFBVYRkSo6zXctcu1qg_9_8"/>
      <w:bookmarkStart w:id="643" w:name="Tc_9z-ifXqHsECmDRwhFTtiGQ_9_5"/>
      <w:bookmarkStart w:id="644" w:name="Tc_ddVOX2FD4UGlf9pbaC9eKQ_9_2"/>
      <w:bookmarkStart w:id="645" w:name="Tc_zW5KoJ6dbkqHe9BRuk-phg_9_0"/>
      <w:bookmarkStart w:id="646" w:name="Tc_Q3W8961UpU-AoDJlZz4-Jg_8_0"/>
      <w:bookmarkStart w:id="647" w:name="Tc_TeMMc94aHkK853cYBXssMg_7_0"/>
      <w:bookmarkStart w:id="648" w:name="Tc_T2jt9UMgo0Skmay5NncSPg_6_11"/>
      <w:bookmarkStart w:id="649" w:name="Tc_iTHf61F0eEq6nOvwAIqAAQ_6_8"/>
      <w:bookmarkStart w:id="650" w:name="Tc_qn1DAW3vRkqqcCZTKZwUUQ_6_5"/>
      <w:bookmarkStart w:id="651" w:name="Tc_qmwDnCar2kW07JrjpR6OvQ_6_2"/>
      <w:bookmarkStart w:id="652" w:name="Tc_abHcTuhTJ0aNXSha5sjgXg_6_0"/>
      <w:bookmarkStart w:id="653" w:name="Tc_BkKnlGVYQU6EPne5h1RcPg_5_0"/>
      <w:bookmarkStart w:id="654" w:name="Tc_Am0Y39ejuU-jWSDRpwyg-A_4_8"/>
      <w:bookmarkStart w:id="655" w:name="Tc_Zu8aPrkeAEmjKr1G6UGHDQ_4_2"/>
      <w:bookmarkStart w:id="656" w:name="Tc_ZzQiRzQF7EKuzcBPd4t7HQ_3_11"/>
      <w:bookmarkStart w:id="657" w:name="Tc_QH_M56c0mUiugxIjIm2-7Q_3_8"/>
      <w:bookmarkStart w:id="658" w:name="Tc_m62XrQW7sk6QRRYexTG7FQ_3_5"/>
      <w:bookmarkStart w:id="659" w:name="Tc_SBxz5ZR7Y0yRUBsgBavTqQ_3_2"/>
      <w:bookmarkStart w:id="660" w:name="Tc_MNxDgSxE7k-hFW2lyC8ZXw_2_8"/>
      <w:bookmarkStart w:id="661" w:name="Tc_STCSTWvcgUGkpuMqd8UxXw_2_2"/>
      <w:bookmarkStart w:id="662" w:name="Tc_C9PkS3jZM0Ogj4aDGEjVHw_1_8"/>
      <w:bookmarkStart w:id="663" w:name="Tc_Yf7i13GmZU61RhQy1J1Jvg_1_2"/>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r>
        <w:rPr>
          <w:rFonts w:ascii="Times New Roman;Times;serif" w:hAnsi="Times New Roman;Times;serif"/>
          <w:b/>
          <w:i/>
          <w:sz w:val="20"/>
        </w:rPr>
        <w:t>Disaggregation of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Revenues from contracts with customers comprised the following for three and six months ended June 30, 2026 and 2025:</w:t>
      </w:r>
    </w:p>
    <w:p>
      <w:pPr>
        <w:pStyle w:val="TextBody"/>
        <w:bidi w:val="0"/>
        <w:spacing w:before="0" w:after="0"/>
        <w:ind w:left="0" w:right="0" w:hanging="0"/>
        <w:jc w:val="left"/>
        <w:rPr/>
      </w:pPr>
      <w:r>
        <w:rPr/>
        <w:t>​</w:t>
      </w:r>
    </w:p>
    <w:tbl>
      <w:tblPr>
        <w:tblW w:w="8429" w:type="dxa"/>
        <w:jc w:val="left"/>
        <w:tblInd w:w="0" w:type="dxa"/>
        <w:tblLayout w:type="fixed"/>
        <w:tblCellMar>
          <w:top w:w="0" w:type="dxa"/>
          <w:left w:w="0" w:type="dxa"/>
          <w:bottom w:w="0" w:type="dxa"/>
          <w:right w:w="0" w:type="dxa"/>
        </w:tblCellMar>
      </w:tblPr>
      <w:tblGrid>
        <w:gridCol w:w="3046"/>
        <w:gridCol w:w="346"/>
        <w:gridCol w:w="211"/>
        <w:gridCol w:w="676"/>
        <w:gridCol w:w="346"/>
        <w:gridCol w:w="211"/>
        <w:gridCol w:w="676"/>
        <w:gridCol w:w="346"/>
        <w:gridCol w:w="211"/>
        <w:gridCol w:w="676"/>
        <w:gridCol w:w="346"/>
        <w:gridCol w:w="211"/>
        <w:gridCol w:w="676"/>
        <w:gridCol w:w="451"/>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934210" cy="175260"/>
                      <wp:effectExtent l="0" t="0" r="0" b="0"/>
                      <wp:wrapNone/>
                      <wp:docPr id="116" name="Frame116"/>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9260" cy="175260"/>
                      <wp:effectExtent l="0" t="0" r="0" b="0"/>
                      <wp:wrapNone/>
                      <wp:docPr id="119" name="Frame1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29260" cy="175260"/>
                      <wp:effectExtent l="0" t="0" r="0" b="0"/>
                      <wp:wrapNone/>
                      <wp:docPr id="122" name="Frame1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25" name="Frame1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9260" cy="175260"/>
                      <wp:effectExtent l="0" t="0" r="0" b="0"/>
                      <wp:wrapNone/>
                      <wp:docPr id="128" name="Frame1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86385" cy="175260"/>
                      <wp:effectExtent l="0" t="0" r="0" b="0"/>
                      <wp:wrapNone/>
                      <wp:docPr id="129" name="Frame12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 </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451" w:type="dxa"/>
            <w:tcBorders/>
            <w:vAlign w:val="center"/>
          </w:tcPr>
          <w:p>
            <w:pPr>
              <w:pStyle w:val="TableContents"/>
              <w:bidi w:val="0"/>
              <w:spacing w:before="0" w:after="1"/>
              <w:ind w:left="0" w:right="0" w:hanging="0"/>
              <w:jc w:val="left"/>
              <w:rPr/>
            </w:pPr>
            <w:r>
              <w:rPr/>
              <w:t> </w:t>
            </w:r>
          </w:p>
        </w:tc>
      </w:tr>
      <w:tr>
        <w:trPr/>
        <w:tc>
          <w:tcPr>
            <w:tcW w:w="3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 </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451" w:type="dxa"/>
            <w:tcBorders/>
            <w:vAlign w:val="center"/>
          </w:tcPr>
          <w:p>
            <w:pPr>
              <w:pStyle w:val="TableContents"/>
              <w:bidi w:val="0"/>
              <w:spacing w:before="0" w:after="1"/>
              <w:ind w:left="0" w:right="0" w:hanging="0"/>
              <w:jc w:val="left"/>
              <w:rPr/>
            </w:pPr>
            <w:r>
              <w:rPr/>
              <w:t> </w:t>
            </w:r>
          </w:p>
        </w:tc>
      </w:tr>
      <w:tr>
        <w:trPr/>
        <w:tc>
          <w:tcPr>
            <w:tcW w:w="3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51" w:type="dxa"/>
            <w:tcBorders/>
            <w:vAlign w:val="center"/>
          </w:tcPr>
          <w:p>
            <w:pPr>
              <w:pStyle w:val="TableContents"/>
              <w:bidi w:val="0"/>
              <w:spacing w:before="0" w:after="1"/>
              <w:ind w:left="0" w:right="0" w:hanging="0"/>
              <w:jc w:val="left"/>
              <w:rPr/>
            </w:pPr>
            <w:r>
              <w:rPr/>
              <w:t>   ​ ​ ​</w:t>
            </w:r>
          </w:p>
        </w:tc>
      </w:tr>
      <w:tr>
        <w:trPr/>
        <w:tc>
          <w:tcPr>
            <w:tcW w:w="8429"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46" w:type="dxa"/>
            <w:tcBorders/>
            <w:vAlign w:val="center"/>
          </w:tcPr>
          <w:p>
            <w:pPr>
              <w:pStyle w:val="TableContents"/>
              <w:bidi w:val="0"/>
              <w:spacing w:before="0" w:after="1"/>
              <w:ind w:left="0" w:right="0" w:hanging="0"/>
              <w:jc w:val="left"/>
              <w:rPr/>
            </w:pPr>
            <w:r>
              <w:rPr/>
              <w:t> </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451" w:type="dxa"/>
            <w:tcBorders/>
            <w:vAlign w:val="center"/>
          </w:tcPr>
          <w:p>
            <w:pPr>
              <w:pStyle w:val="TableContents"/>
              <w:bidi w:val="0"/>
              <w:spacing w:before="0" w:after="1"/>
              <w:ind w:left="0" w:right="0" w:hanging="0"/>
              <w:jc w:val="left"/>
              <w:rPr/>
            </w:pPr>
            <w:r>
              <w:rPr/>
              <w:t> </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Types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  ​ ​ ​</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Broadcast Advertising Revenue,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40,480</w:t>
            </w:r>
          </w:p>
        </w:tc>
        <w:tc>
          <w:tcPr>
            <w:tcW w:w="451" w:type="dxa"/>
            <w:tcBorders/>
            <w:vAlign w:val="center"/>
          </w:tcPr>
          <w:p>
            <w:pPr>
              <w:pStyle w:val="TableContents"/>
              <w:bidi w:val="0"/>
              <w:spacing w:before="0" w:after="1"/>
              <w:ind w:left="0" w:right="0" w:hanging="0"/>
              <w:jc w:val="left"/>
              <w:rPr/>
            </w:pPr>
            <w:r>
              <w:rPr/>
              <w:t>​</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Advertising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8,053</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3,908</w:t>
            </w:r>
          </w:p>
        </w:tc>
        <w:tc>
          <w:tcPr>
            <w:tcW w:w="451" w:type="dxa"/>
            <w:tcBorders/>
            <w:vAlign w:val="center"/>
          </w:tcPr>
          <w:p>
            <w:pPr>
              <w:pStyle w:val="TableContents"/>
              <w:bidi w:val="0"/>
              <w:spacing w:before="0" w:after="1"/>
              <w:ind w:left="0" w:right="0" w:hanging="0"/>
              <w:jc w:val="left"/>
              <w:rPr/>
            </w:pPr>
            <w:r>
              <w:rPr/>
              <w:t>​</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52,441</w:t>
            </w:r>
          </w:p>
        </w:tc>
        <w:tc>
          <w:tcPr>
            <w:tcW w:w="45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firstLine="360"/>
        <w:jc w:val="left"/>
        <w:rPr/>
      </w:pPr>
      <w:r>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Contract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Payments from our advertisers are generally due within 30 days although certain advertisers are required to pay in advance. When an advertiser pays for the services in advance of the performance obligations these prepayments are recorded as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Condensed Consolidated Financial Statements and are immaterial.</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Transaction Price Allocated to the Remaining Performance Obligations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the majority of our sales contracts are one year or less, we have utilized the optional exemption under ASC 606-10-50-14 and will not disclose information about the remaining performance obligations for sales contracts which have original expected durations of one year or less.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4. Broadcast Licenses and Other Intangible Assets</w:t>
      </w:r>
    </w:p>
    <w:p>
      <w:pPr>
        <w:pStyle w:val="TextBody"/>
        <w:bidi w:val="0"/>
        <w:spacing w:before="0" w:after="0"/>
        <w:ind w:left="1" w:right="0" w:firstLine="1"/>
        <w:jc w:val="left"/>
        <w:rPr>
          <w:rFonts w:ascii="Times New Roman;Times;serif" w:hAnsi="Times New Roman;Times;serif"/>
          <w:sz w:val="20"/>
        </w:rPr>
      </w:pPr>
      <w:r>
        <w:rPr>
          <w:rFonts w:ascii="Times New Roman;Times;serif" w:hAnsi="Times New Roman;Times;serif"/>
          <w:sz w:val="20"/>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 (2) 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 The FCC license valuations are Level 3 non recurring fair value measurements.</w:t>
      </w:r>
    </w:p>
    <w:p>
      <w:pPr>
        <w:pStyle w:val="TextBody"/>
        <w:bidi w:val="0"/>
        <w:spacing w:before="0" w:after="0"/>
        <w:ind w:left="1" w:right="0" w:firstLine="1"/>
        <w:jc w:val="left"/>
        <w:rPr/>
      </w:pPr>
      <w:r>
        <w:rPr/>
        <w:t>​</w:t>
      </w:r>
    </w:p>
    <w:p>
      <w:pPr>
        <w:pStyle w:val="TextBody"/>
        <w:bidi w:val="0"/>
        <w:spacing w:before="0" w:after="0"/>
        <w:ind w:left="1" w:right="0" w:firstLine="1"/>
        <w:jc w:val="left"/>
        <w:rPr>
          <w:rFonts w:ascii="Times New Roman;Times;serif" w:hAnsi="Times New Roman;Times;serif"/>
          <w:sz w:val="20"/>
        </w:rPr>
      </w:pPr>
      <w:r>
        <w:rPr>
          <w:rFonts w:ascii="Times New Roman;Times;serif" w:hAnsi="Times New Roman;Times;serif"/>
          <w:sz w:val="20"/>
        </w:rPr>
        <w:t xml:space="preserve">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accompanying condensed consolidated balance sheets. </w:t>
      </w:r>
    </w:p>
    <w:p>
      <w:pPr>
        <w:pStyle w:val="TextBody"/>
        <w:bidi w:val="0"/>
        <w:spacing w:before="0" w:after="0"/>
        <w:ind w:left="1" w:right="0" w:firstLine="1"/>
        <w:jc w:val="left"/>
        <w:rPr/>
      </w:pPr>
      <w:r>
        <w:rPr/>
        <w:t>​</w:t>
      </w:r>
    </w:p>
    <w:p>
      <w:pPr>
        <w:pStyle w:val="TextBody"/>
        <w:bidi w:val="0"/>
        <w:spacing w:before="0" w:after="0"/>
        <w:ind w:left="1" w:right="0" w:hanging="0"/>
        <w:jc w:val="left"/>
        <w:rPr>
          <w:rFonts w:ascii="Times New Roman;Times;serif" w:hAnsi="Times New Roman;Times;serif"/>
          <w:sz w:val="20"/>
        </w:rPr>
      </w:pPr>
      <w:r>
        <w:rPr>
          <w:rFonts w:ascii="Times New Roman;Times;serif" w:hAnsi="Times New Roman;Times;serif"/>
          <w:sz w:val="20"/>
        </w:rPr>
        <w:t xml:space="preserve">The Company considered the current and expected future economic and market conditions, and other potential indicators of impairment and determined a triggering event had not occurred which would necessitate any interim impairment tests during the six months ended June 30, 2026. We will continue to monitor changes in economic and market conditions, and if any event or circumstances indicate a triggering event has occurred, we will perform an interim impairment test of our intangible assets at the appropriate time. </w:t>
      </w:r>
    </w:p>
    <w:p>
      <w:pPr>
        <w:pStyle w:val="TextBody"/>
        <w:bidi w:val="0"/>
        <w:spacing w:before="0" w:after="0"/>
        <w:ind w:left="1" w:right="0" w:firstLine="1"/>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actual market conditions are less favorable than those estimated by us or if events occur or circumstances change that would reduce the fair value of our broadcast licenses below the carrying value, we may be required to recognize impairment charges in future periods. Such a charge could have a material effect on our consolidated financial statements. </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Intangible assets that have finite lives are amortized over their useful lives using the straight-line method. Favorable lease agreements are amortized over the lives of the leases ranging from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twenty-six years. Other intangibles are amortized over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fifteen years. Customer relationships are amortized over three years.</w:t>
      </w:r>
    </w:p>
    <w:p>
      <w:pPr>
        <w:pStyle w:val="TextBody"/>
        <w:bidi w:val="0"/>
        <w:spacing w:before="0" w:after="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bookmarkStart w:id="664" w:name="Tc_Hvyoo2rIFEa0RSkjspWoPQ_9_0"/>
      <w:bookmarkStart w:id="665" w:name="Tc_F7M_bGdeIEONTSpuwSz7kQ_8_0"/>
      <w:bookmarkStart w:id="666" w:name="Tc_wJk6VEBWgEqYj9sFBX6WoA_7_0"/>
      <w:bookmarkStart w:id="667" w:name="Tc_ogfxY3NKnkCBmIIAGlUTRg_6_0"/>
      <w:bookmarkStart w:id="668" w:name="Tc_V97cqRkaXkilkq46gxeSRw_5_0"/>
      <w:bookmarkStart w:id="669" w:name="Tc_IOa01_h4MUe8JkL0B0Vbtw_4_0"/>
      <w:bookmarkStart w:id="670" w:name="Tc_c_lGYEqDxUeuXvU97H78SQ_3_2"/>
      <w:bookmarkStart w:id="671" w:name="Tc_eAVyhjNjZUWl5syNxwBanw_2_4"/>
      <w:bookmarkStart w:id="672" w:name="Tc_zof7-SqqlkailjSt9cpEFQ_2_2"/>
      <w:bookmarkStart w:id="673" w:name="Tc_HqeN6mZe70mKfh_x3V6h9A_1_2"/>
      <w:bookmarkEnd w:id="664"/>
      <w:bookmarkEnd w:id="665"/>
      <w:bookmarkEnd w:id="666"/>
      <w:bookmarkEnd w:id="667"/>
      <w:bookmarkEnd w:id="668"/>
      <w:bookmarkEnd w:id="669"/>
      <w:bookmarkEnd w:id="670"/>
      <w:bookmarkEnd w:id="671"/>
      <w:bookmarkEnd w:id="672"/>
      <w:bookmarkEnd w:id="673"/>
      <w:r>
        <w:rPr>
          <w:rFonts w:ascii="Times New Roman;Times;serif" w:hAnsi="Times New Roman;Times;serif"/>
          <w:b/>
          <w:sz w:val="20"/>
        </w:rPr>
        <w:t>5. Common Stock and Treasury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previously disclosed, the Company’s Articles of Incorporation (“Articles of Incorporation”) provide that shares of Class B Common Stock automatically convert into shares of Class A Common Stock if transferred to, or owned by, any person other than the “Principal Shareholder,” as defined in the Articles of Incorporation as Edward K. Christian. Following Mr. Christian’s passing in 2022 and the transfer of his Class B shares into an estate planning trust, all outstanding shares of Class B common stock were automatically converted into shares of Class A Common Stock. As of June 30, 2026, no shares of Class B common stock are issued or outstanding.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 Shareholders are entitled to receive such dividends as may be declared by our Board of Directors out of funds legally available for such purpose. However, no dividend may be declared or paid in cash or property on any share of any class of Common Stock unless simultaneously the same dividend is declared or paid on each share of the other class of Common Stock. In the case of any stock dividend, holders of Class A Common Stock would receive the same percentage dividend payable in shares of Class A Common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i/>
          <w:sz w:val="20"/>
        </w:rPr>
        <w:t xml:space="preserve">Voting Rights. </w:t>
      </w:r>
      <w:r>
        <w:rPr>
          <w:rFonts w:ascii="Times New Roman;Times;serif" w:hAnsi="Times New Roman;Times;serif"/>
          <w:sz w:val="20"/>
        </w:rPr>
        <w:t xml:space="preserve"> Holders of shares of Common Stock vote as a single class on all matters submitted to a vote of the shareholders, with each share of Class A Common Stock entitled to one vote.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Board of Directors consisted of seven members at June 30, 2026, and currently consists of seven members. Holders of Common Stock are not entitled to cumulative voting in the election of directors.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holders of the Common Stock vote as a single class with respect to any proposed “going private” transaction with the “Principal Shareholder” or an affiliate of the “Principal Shareholder”, with each share of each class of Common Stock entitled to one vote per share.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Florida law, the affirmative vote of the holders of a majority of the outstanding shares of any class of Common Stock is required to approve, among other things, a change in the designations, preferences and limitations of the shares of such class of Common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i/>
          <w:sz w:val="20"/>
        </w:rPr>
        <w:t xml:space="preserve">Liquidation Rights. </w:t>
      </w:r>
      <w:r>
        <w:rPr>
          <w:rFonts w:ascii="Times New Roman;Times;serif" w:hAnsi="Times New Roman;Times;serif"/>
          <w:sz w:val="20"/>
        </w:rPr>
        <w:t> Upon our liquidation, dissolution, or winding-up, the holders of Class A Common Stock are entitled to share ratably in accordance with the number of shares held in all assets available for distribution after payment in full of creditors.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summarizes information relating to the number of shares of our Common Stock issued in connection with stock transactions through June 30, 2026:</w:t>
      </w:r>
    </w:p>
    <w:p>
      <w:pPr>
        <w:pStyle w:val="TextBody"/>
        <w:bidi w:val="0"/>
        <w:spacing w:before="0" w:after="200"/>
        <w:ind w:left="0" w:right="0" w:firstLine="360"/>
        <w:jc w:val="left"/>
        <w:rPr/>
      </w:pPr>
      <w:r>
        <w:rPr/>
        <w:t>​</w:t>
      </w:r>
    </w:p>
    <w:tbl>
      <w:tblPr>
        <w:tblW w:w="4803" w:type="dxa"/>
        <w:jc w:val="left"/>
        <w:tblInd w:w="0" w:type="dxa"/>
        <w:tblLayout w:type="fixed"/>
        <w:tblCellMar>
          <w:top w:w="0" w:type="dxa"/>
          <w:left w:w="0" w:type="dxa"/>
          <w:bottom w:w="0" w:type="dxa"/>
          <w:right w:w="0" w:type="dxa"/>
        </w:tblCellMar>
      </w:tblPr>
      <w:tblGrid>
        <w:gridCol w:w="2446"/>
        <w:gridCol w:w="346"/>
        <w:gridCol w:w="794"/>
        <w:gridCol w:w="373"/>
        <w:gridCol w:w="844"/>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53210" cy="175260"/>
                      <wp:effectExtent l="0" t="0" r="0" b="0"/>
                      <wp:wrapNone/>
                      <wp:docPr id="130" name="Frame130"/>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04190" cy="175260"/>
                      <wp:effectExtent l="0" t="0" r="0" b="0"/>
                      <wp:wrapNone/>
                      <wp:docPr id="132" name="Frame132"/>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36855" cy="175260"/>
                      <wp:effectExtent l="0" t="0" r="0" b="0"/>
                      <wp:wrapNone/>
                      <wp:docPr id="133" name="Frame133"/>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35940" cy="175260"/>
                      <wp:effectExtent l="0" t="0" r="0" b="0"/>
                      <wp:wrapNone/>
                      <wp:docPr id="134" name="Frame134"/>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 Stock Issued</w:t>
            </w:r>
          </w:p>
        </w:tc>
      </w:tr>
      <w:tr>
        <w:trPr/>
        <w:tc>
          <w:tcPr>
            <w:tcW w:w="2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73" w:type="dxa"/>
            <w:tcBorders/>
            <w:vAlign w:val="center"/>
          </w:tcPr>
          <w:p>
            <w:pPr>
              <w:pStyle w:val="TableContents"/>
              <w:bidi w:val="0"/>
              <w:spacing w:before="0" w:after="1"/>
              <w:ind w:left="0" w:right="0" w:hanging="0"/>
              <w:jc w:val="left"/>
              <w:rPr/>
            </w:pPr>
            <w:r>
              <w:rPr/>
              <w:t>  ​ ​ ​</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B</w:t>
            </w:r>
          </w:p>
        </w:tc>
      </w:tr>
      <w:tr>
        <w:trPr/>
        <w:tc>
          <w:tcPr>
            <w:tcW w:w="4803"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24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1" w:type="dxa"/>
            <w:gridSpan w:val="3"/>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(Shares in thousands)</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January 1, 2025</w:t>
            </w:r>
          </w:p>
        </w:tc>
        <w:tc>
          <w:tcPr>
            <w:tcW w:w="346"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8,183</w:t>
            </w:r>
          </w:p>
        </w:tc>
        <w:tc>
          <w:tcPr>
            <w:tcW w:w="373"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pPr>
            <w:r>
              <w:rPr/>
              <w:t>—</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346" w:type="dxa"/>
            <w:tcBorders/>
            <w:vAlign w:val="center"/>
          </w:tcPr>
          <w:p>
            <w:pPr>
              <w:pStyle w:val="TableContents"/>
              <w:bidi w:val="0"/>
              <w:spacing w:before="0" w:after="1"/>
              <w:ind w:left="0" w:right="0" w:hanging="0"/>
              <w:jc w:val="left"/>
              <w:rPr/>
            </w:pPr>
            <w:r>
              <w:rPr/>
              <w:t> </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73" w:type="dxa"/>
            <w:tcBorders/>
            <w:vAlign w:val="center"/>
          </w:tcPr>
          <w:p>
            <w:pPr>
              <w:pStyle w:val="TableContents"/>
              <w:bidi w:val="0"/>
              <w:spacing w:before="0" w:after="1"/>
              <w:ind w:left="0" w:right="0" w:hanging="0"/>
              <w:jc w:val="left"/>
              <w:rPr/>
            </w:pPr>
            <w:r>
              <w:rPr/>
              <w:t> </w:t>
            </w:r>
          </w:p>
        </w:tc>
        <w:tc>
          <w:tcPr>
            <w:tcW w:w="844" w:type="dxa"/>
            <w:tcBorders/>
            <w:vAlign w:val="center"/>
          </w:tcPr>
          <w:p>
            <w:pPr>
              <w:pStyle w:val="TableContents"/>
              <w:bidi w:val="0"/>
              <w:spacing w:before="0" w:after="1"/>
              <w:ind w:left="0" w:right="0" w:hanging="0"/>
              <w:jc w:val="right"/>
              <w:rPr/>
            </w:pPr>
            <w:r>
              <w:rPr/>
              <w:t>—</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restricted stock</w:t>
            </w:r>
          </w:p>
        </w:tc>
        <w:tc>
          <w:tcPr>
            <w:tcW w:w="346" w:type="dxa"/>
            <w:tcBorders/>
            <w:shd w:fill="CCEEFF" w:val="clear"/>
            <w:vAlign w:val="center"/>
          </w:tcPr>
          <w:p>
            <w:pPr>
              <w:pStyle w:val="TableContents"/>
              <w:bidi w:val="0"/>
              <w:spacing w:before="0" w:after="1"/>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73" w:type="dxa"/>
            <w:tcBorders/>
            <w:shd w:fill="CCEEFF" w:val="clear"/>
            <w:vAlign w:val="center"/>
          </w:tcPr>
          <w:p>
            <w:pPr>
              <w:pStyle w:val="TableContents"/>
              <w:bidi w:val="0"/>
              <w:spacing w:before="0" w:after="1"/>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2025</w:t>
            </w:r>
          </w:p>
        </w:tc>
        <w:tc>
          <w:tcPr>
            <w:tcW w:w="346" w:type="dxa"/>
            <w:tcBorders/>
            <w:vAlign w:val="center"/>
          </w:tcPr>
          <w:p>
            <w:pPr>
              <w:pStyle w:val="TableContents"/>
              <w:bidi w:val="0"/>
              <w:spacing w:before="0" w:after="1"/>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8,304</w:t>
            </w:r>
          </w:p>
        </w:tc>
        <w:tc>
          <w:tcPr>
            <w:tcW w:w="373" w:type="dxa"/>
            <w:tcBorders/>
            <w:vAlign w:val="center"/>
          </w:tcPr>
          <w:p>
            <w:pPr>
              <w:pStyle w:val="TableContents"/>
              <w:bidi w:val="0"/>
              <w:spacing w:before="0" w:after="1"/>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restricted stock</w:t>
            </w:r>
          </w:p>
        </w:tc>
        <w:tc>
          <w:tcPr>
            <w:tcW w:w="346" w:type="dxa"/>
            <w:tcBorders/>
            <w:shd w:fill="CCEEFF" w:val="clear"/>
            <w:vAlign w:val="center"/>
          </w:tcPr>
          <w:p>
            <w:pPr>
              <w:pStyle w:val="TableContents"/>
              <w:bidi w:val="0"/>
              <w:spacing w:before="0" w:after="1"/>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73" w:type="dxa"/>
            <w:tcBorders/>
            <w:shd w:fill="CCEEFF" w:val="clear"/>
            <w:vAlign w:val="center"/>
          </w:tcPr>
          <w:p>
            <w:pPr>
              <w:pStyle w:val="TableContents"/>
              <w:bidi w:val="0"/>
              <w:spacing w:before="0" w:after="1"/>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346" w:type="dxa"/>
            <w:tcBorders/>
            <w:vAlign w:val="center"/>
          </w:tcPr>
          <w:p>
            <w:pPr>
              <w:pStyle w:val="TableContents"/>
              <w:bidi w:val="0"/>
              <w:spacing w:before="0" w:after="1"/>
              <w:ind w:left="0" w:right="0" w:hanging="0"/>
              <w:jc w:val="left"/>
              <w:rPr/>
            </w:pPr>
            <w:r>
              <w:rPr/>
              <w:t> </w:t>
            </w:r>
          </w:p>
        </w:tc>
        <w:tc>
          <w:tcPr>
            <w:tcW w:w="7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8,298</w:t>
            </w:r>
          </w:p>
        </w:tc>
        <w:tc>
          <w:tcPr>
            <w:tcW w:w="373" w:type="dxa"/>
            <w:tcBorders/>
            <w:vAlign w:val="center"/>
          </w:tcPr>
          <w:p>
            <w:pPr>
              <w:pStyle w:val="TableContents"/>
              <w:bidi w:val="0"/>
              <w:spacing w:before="0" w:after="1"/>
              <w:ind w:left="0" w:right="0" w:hanging="0"/>
              <w:jc w:val="left"/>
              <w:rPr/>
            </w:pPr>
            <w:r>
              <w:rPr/>
              <w:t> </w:t>
            </w:r>
          </w:p>
        </w:tc>
        <w:tc>
          <w:tcPr>
            <w:tcW w:w="844"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0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a Stock Buy-Back Program (the “Buy-Back Program”) to allow us to purchase up to $75.8 million of our Class A Common Stock. As of June 30, 2026, we have remaining authorization of $15.1 million for future repurchases of our Class A Common Stock. On September 14, 2017, the Board of Directors authorized the repurchase of our Class A Common Stock under our trading plan adopted pursuant to Securities and Exchange Commission Rule 10b5-1. The Rule 10b5-1 repurchase plan allows us to repurchase our shares during periods when we would normally not be active in the market due to our internal trading blackout periods. Under the plan, we may repurchase our Class A Common Stock in any combination of open market, block transactions and privately negotiated transactions subject to market conditions, legal requirements including applicable Security and Exchange Commission regulations (which include certain price, market, volume and timing constraints), specific repurchase instructions and other corporate considerations. Purchases under the plan are funded by cash on our balance sheet. The plan does not obligate us to acquire any particular amount of Class A Common Stock. Our original purchase authorization was effective until September 1, 2018 and has been extended several times, with the most recent authorization instructions extension being through May 28, 2020. We halted the directions for any additional buybacks under our plan in 2020. We continue to monitor economic conditions to determine if and when it makes sense to make additional buybacks under our plan. During the six months ended June 30, 2026, 1,067 shares were retained for the payment of withholding taxes for approximately $13,000 related to the vesting of restricted stock. During the six months ended June 30, 2026, no shares were repurchased under the Buy-Back Program.</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674" w:name="_60aedf2b_1657_47fa_bb73_555cb5c6a0f1_3"/>
      <w:bookmarkStart w:id="675" w:name="_60aedf2b_1657_47fa_bb73_555cb5c6a0f1_2"/>
      <w:bookmarkStart w:id="676" w:name="_60aedf2b_1657_47fa_bb73_555cb5c6a0f1"/>
      <w:bookmarkEnd w:id="674"/>
      <w:bookmarkEnd w:id="675"/>
      <w:bookmarkEnd w:id="676"/>
      <w:r>
        <w:rPr>
          <w:rFonts w:ascii="Times New Roman;Times;serif" w:hAnsi="Times New Roman;Times;serif"/>
          <w:b/>
          <w:sz w:val="20"/>
        </w:rPr>
        <w:t>6. Leases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 one year. Some leases include one or more options to renew. The exercise of lease renewal options is generally at our discretion. The depreciable lives of ROU assets are limited to the expected lease term. Our lease agreements do not contain any residual value guarantees or material restrictive covenants. As of June 30, 2026, we do not have any non-cancellable operating lease commitments that have not yet commenced.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ROU assets are classified as operating right of use assets on the condensed consolidated balance sheet while current lease liabilities are classified within other accrued expenses and long-term lease liabilities are classified within other liabilities. Leases with an initial term of 12 months or less are not recorded on the balance sheet. ROU assets were $10.2 million and $10.3 million at June 30, 2026 and December 31, 2025 respectively. As of June 30, 2026, notes receivable with a gross carrying amount of $5.5 million have been offset against operating lease liabilities, reducing the net amount of notes receivable to $0. The gross carrying amount of operating lease liabilities prior to offsetting of the notes receivable of $5.5 million was $10.6 million, with the remaining net amount of operating lease liabilities of $5.1 million. Lease liabilities were $5.1 million and $5.4 million at June 30, 2026 and December 31, 2025, respectively. During the six months ended June 30, 2026, we recorded additional ROU assets obtained in exchange for lease obligations of $517,000. Cash payments on lease liabilities during the three and six months ended June 30, 2026 and 2025 totaled $438,000, $900,000, $430,000, and $964,000, respectively. Non-cash payments related to the sale-leaseback transaction disclosed in Note 13 during the three and six months ended June 30, 2026 totaled $360,000 for both periods due to the amendments entered into with the buyer to align the previously executed documents with the intended economic substance of the transaction.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Lease expense includes cost for leases with terms in excess of one year. For the three and six months ended June 30, 2026 and 2025, our lease expense was $443,000, $953,000, $407,000 and $887,000, respectively. For the three and six months ended June 30, 2026, our non-cash lease expense was $352,000 and $407,000, respectively due to the amendments entered into with the buyer to align the previously executed documents with the intended economic substance of the transaction. Short-term lease costs and variable lease costs are </w:t>
      </w:r>
      <w:r>
        <w:rPr>
          <w:rFonts w:ascii="Times New Roman;Times;serif" w:hAnsi="Times New Roman;Times;serif"/>
          <w:i/>
          <w:sz w:val="20"/>
        </w:rPr>
        <w:t>de minimis</w:t>
      </w:r>
      <w:r>
        <w:rPr>
          <w:rFonts w:ascii="Times New Roman;Times;serif" w:hAnsi="Times New Roman;Times;serif"/>
          <w:sz w:val="20"/>
        </w:rPr>
        <w:t xml:space="preserve"> in nature.</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677" w:name="_359406fb_4309_4c91_bdd9_3818e779c9ee"/>
      <w:bookmarkStart w:id="678" w:name="_1f1e9ea2_c30e_4c1f_8d02_03b5d2720147"/>
      <w:bookmarkStart w:id="679" w:name="_d05fe63b_f53f_41cd_8426_696a764fa2f5"/>
      <w:bookmarkStart w:id="680" w:name="Tc_KNvnmHQqdU2WjUOnXYXo0g_10_2"/>
      <w:bookmarkStart w:id="681" w:name="Tc_FrXAixK3PEC5Vs1reMteTQ_10_0"/>
      <w:bookmarkStart w:id="682" w:name="Tc_YeVcrFHNXUSVQgyZ0aOnJA_9_0"/>
      <w:bookmarkStart w:id="683" w:name="Tc_za7f0IzfLUmimVc31RO8bw_8_0"/>
      <w:bookmarkStart w:id="684" w:name="Tc_QvMm5RxmoUGeAMwegJh5IQ_7_0"/>
      <w:bookmarkStart w:id="685" w:name="Tc_8FyuIAntMkGyjrwQRVSMnw_6_0"/>
      <w:bookmarkStart w:id="686" w:name="Tc_7G7C7C-1KEmvI6lmOkxfRA_5_0"/>
      <w:bookmarkStart w:id="687" w:name="Tc_jClC4BsEfEKF3STZdmRyPw_4_0"/>
      <w:bookmarkStart w:id="688" w:name="Tc_xoMTWa8kAEKH5WwaF8z2jw_3_0"/>
      <w:bookmarkStart w:id="689" w:name="Tc_5cdSsm5a40Kw0h5Y8Lfo3g_2_2"/>
      <w:bookmarkStart w:id="690" w:name="Tc_ejViobJ0fU-Qrz_JQE120w_2_0"/>
      <w:bookmarkStart w:id="691" w:name="Tc_GwqrCt6qFk-SS1k_r-sGzQ_1_0"/>
      <w:bookmarkStart w:id="692" w:name="_540823d6_3994_4f57_9024_7396ac38fb50"/>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rFonts w:ascii="Times New Roman;Times;serif" w:hAnsi="Times New Roman;Times;serif"/>
          <w:sz w:val="20"/>
        </w:rPr>
        <w:t>We have no financing leases and minimum annual rental commitments under non-cancellable operating leases consisted of the following at June 30, 2026 (in thousands):</w:t>
      </w:r>
    </w:p>
    <w:p>
      <w:pPr>
        <w:pStyle w:val="TextBody"/>
        <w:bidi w:val="0"/>
        <w:spacing w:before="0" w:after="200"/>
        <w:ind w:left="0" w:right="0" w:firstLine="360"/>
        <w:jc w:val="left"/>
        <w:rPr/>
      </w:pPr>
      <w:r>
        <w:rPr/>
        <w:t>​</w:t>
      </w:r>
    </w:p>
    <w:tbl>
      <w:tblPr>
        <w:tblW w:w="4189" w:type="dxa"/>
        <w:jc w:val="left"/>
        <w:tblInd w:w="0" w:type="dxa"/>
        <w:tblLayout w:type="fixed"/>
        <w:tblCellMar>
          <w:top w:w="0" w:type="dxa"/>
          <w:left w:w="0" w:type="dxa"/>
          <w:bottom w:w="0" w:type="dxa"/>
          <w:right w:w="0" w:type="dxa"/>
        </w:tblCellMar>
      </w:tblPr>
      <w:tblGrid>
        <w:gridCol w:w="2956"/>
        <w:gridCol w:w="346"/>
        <w:gridCol w:w="211"/>
        <w:gridCol w:w="67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877060" cy="175260"/>
                      <wp:effectExtent l="0" t="0" r="0" b="0"/>
                      <wp:wrapNone/>
                      <wp:docPr id="135" name="Frame135"/>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29260" cy="175260"/>
                      <wp:effectExtent l="0" t="0" r="0" b="0"/>
                      <wp:wrapNone/>
                      <wp:docPr id="138" name="Frame1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Years Ending December 31, </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2026 </w:t>
            </w:r>
            <w:r>
              <w:rPr>
                <w:rFonts w:ascii="Times New Roman;Times;serif" w:hAnsi="Times New Roman;Times;serif"/>
                <w:i/>
                <w:sz w:val="20"/>
              </w:rPr>
              <w:t>(a)</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1,638</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lease payments </w:t>
            </w:r>
            <w:r>
              <w:rPr>
                <w:rFonts w:ascii="Times New Roman;Times;serif" w:hAnsi="Times New Roman;Times;serif"/>
                <w:i/>
                <w:sz w:val="20"/>
              </w:rPr>
              <w:t>(b)</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5,924</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Less: Interest </w:t>
            </w:r>
            <w:r>
              <w:rPr>
                <w:rFonts w:ascii="Times New Roman;Times;serif" w:hAnsi="Times New Roman;Times;serif"/>
                <w:i/>
                <w:sz w:val="20"/>
              </w:rPr>
              <w:t>(c)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Present value of lease liabilities </w:t>
            </w:r>
            <w:r>
              <w:rPr>
                <w:rFonts w:ascii="Times New Roman;Times;serif" w:hAnsi="Times New Roman;Times;serif"/>
                <w:i/>
                <w:sz w:val="20"/>
              </w:rPr>
              <w:t>(d)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5,139</w:t>
            </w:r>
          </w:p>
        </w:tc>
      </w:tr>
    </w:tbl>
    <w:p>
      <w:pPr>
        <w:pStyle w:val="TextBody"/>
        <w:bidi w:val="0"/>
        <w:spacing w:before="0" w:after="200"/>
        <w:ind w:left="0" w:right="0" w:hanging="0"/>
        <w:jc w:val="left"/>
        <w:rPr/>
      </w:pPr>
      <w:r>
        <w:rPr/>
        <w:t>​</w:t>
      </w:r>
    </w:p>
    <w:tbl>
      <w:tblPr>
        <w:tblW w:w="6287" w:type="dxa"/>
        <w:jc w:val="left"/>
        <w:tblInd w:w="0" w:type="dxa"/>
        <w:tblLayout w:type="fixed"/>
        <w:tblCellMar>
          <w:top w:w="0" w:type="dxa"/>
          <w:left w:w="0" w:type="dxa"/>
          <w:bottom w:w="0" w:type="dxa"/>
          <w:right w:w="0" w:type="dxa"/>
        </w:tblCellMar>
      </w:tblPr>
      <w:tblGrid>
        <w:gridCol w:w="346"/>
        <w:gridCol w:w="5941"/>
      </w:tblGrid>
      <w:tr>
        <w:trPr/>
        <w:tc>
          <w:tcPr>
            <w:tcW w:w="3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594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Remaining payments are for the six-months ending December 31, 2026.</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9888" w:type="dxa"/>
            <w:tcBorders/>
            <w:vAlign w:val="center"/>
          </w:tcPr>
          <w:p>
            <w:pPr>
              <w:pStyle w:val="TableContents"/>
              <w:bidi w:val="0"/>
              <w:spacing w:before="0" w:after="283"/>
              <w:jc w:val="left"/>
              <w:rPr/>
            </w:pPr>
            <w:r>
              <w:rPr>
                <w:rFonts w:ascii="Times New Roman;Times;serif" w:hAnsi="Times New Roman;Times;serif"/>
                <w:b w:val="false"/>
                <w:i/>
                <w:sz w:val="20"/>
              </w:rPr>
              <w:t>Lease payments include options to extend</w:t>
            </w:r>
            <w:r>
              <w:rPr/>
              <w:t xml:space="preserve"> </w:t>
            </w:r>
            <w:r>
              <w:rPr>
                <w:rFonts w:ascii="Times New Roman;Times;serif" w:hAnsi="Times New Roman;Times;serif"/>
                <w:b w:val="false"/>
                <w:i/>
                <w:sz w:val="20"/>
              </w:rPr>
              <w:t>lease terms that are reasonably certain of being exercised. There were no legally binding minimum lease payments for leases signed but not yet commenced at June 30, 2026.</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9902"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leases do not provide a readily determinable implicit rate. Therefore, we must estimate our discount rate for such leases to determine the present value of lease payments at the lease commencement date.</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9881" w:type="dxa"/>
            <w:tcBorders/>
            <w:vAlign w:val="center"/>
          </w:tcPr>
          <w:p>
            <w:pPr>
              <w:pStyle w:val="TableContents"/>
              <w:bidi w:val="0"/>
              <w:spacing w:before="0" w:after="283"/>
              <w:jc w:val="left"/>
              <w:rPr/>
            </w:pPr>
            <w:r>
              <w:rPr>
                <w:rFonts w:ascii="Times New Roman;Times;serif" w:hAnsi="Times New Roman;Times;serif"/>
                <w:b w:val="false"/>
                <w:i/>
                <w:sz w:val="20"/>
              </w:rPr>
              <w:t>The weighted average remaining lease term and weighted average discount rate used in calculating our lease liabilities were 5.0</w:t>
            </w:r>
            <w:r>
              <w:rPr/>
              <w:t> </w:t>
            </w:r>
            <w:r>
              <w:rPr>
                <w:rFonts w:ascii="Times New Roman;Times;serif" w:hAnsi="Times New Roman;Times;serif"/>
                <w:b w:val="false"/>
                <w:i/>
                <w:sz w:val="20"/>
              </w:rPr>
              <w:t>years and 5.98%, respectively, at June 30, 2026.</w:t>
            </w:r>
          </w:p>
        </w:tc>
      </w:tr>
    </w:tbl>
    <w:p>
      <w:pPr>
        <w:pStyle w:val="TextBody"/>
        <w:bidi w:val="0"/>
        <w:spacing w:before="0" w:after="2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above amounts do not include the non-cash payments resulting from the sale-leaseback transaction.</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7. Income taxes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Income tax expense of $150,000 was recorded for the three months ended June 30, 2026 compared to $385,000 for the three months ended June 30, 2025. The effective tax rate was approximately 13.5% for the three months ended June 30, 2026 compared to 25.4% for the three months ended June 30, 2025. An income tax benefit of $520,000 was recorded for the six months ended June 30, 2026 compared to $200,000 for the six months ended June 30, 2025. The effective tax rate was approximately 26.6% for the six months ended June 30, 2026 compared to 30.9% for the six months ended June 30, 2025. Income tax provisions for interim (quarterly) periods are based on estimated annual income tax rates and are adjusted for the effects of significant, infrequent or unusual items (i.e. discrete items) occurring during the interim period. </w:t>
      </w:r>
    </w:p>
    <w:p>
      <w:pPr>
        <w:pStyle w:val="TextBody"/>
        <w:bidi w:val="0"/>
        <w:spacing w:before="0" w:after="20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Stock-Based Compensation</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2005 Incentive Compensation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13, 2019 our shareholders approved an amendment to the Second Amended and Restated Saga Communications, Inc. 2005 Incentive Compensation Plan (as amended, “The Second Restated 2005 Plan”). This plan was first approved in 2005, and subsequently re-approved in 2010 and 2013. The amendment to the Second Restated 2005 Plan (i) extended the date for making awards to September 6, 2023 and (ii) increased the number of authorized shares under the plan by 90,000 shares of Class B Common Stock. The Second Restated 2005 Plan allowed for the granting of restricted stock, restricted stock units, incentive stock options, nonqualified stock options, and performance awards to eligible employees and non-employee directors. As of December 31, 2025, there are no longer any unvested restricted stock awards for the Second Restated 2005 Plan.</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2023 Incentive Compensation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May 8, 2023 our shareholders approved the 2023 Incentive Compensation Plan (the “2023 Plan”). The 2023 Plan replaces the Second Restated 2005 Plan. The Board of Directors does not intend to make any further awards under the Second Restated 2005 Plan. However, each outstanding award under the Second Restated 2005 Plan will remain outstanding under the Second Restated 2005 Plan and will continue to be governed under its terms and any applicable award agreement. The 2023 Plan allows for the granting of restricted stock, restricted stock units, incentive stock options, nonqualified stock options, and performance awards, including cash to eligible employees and non-employee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93" w:name="Tc_Za1a3aVadkmzKc82kRtLsQ_9_4"/>
      <w:bookmarkStart w:id="694" w:name="Tc_W1FVJ0QeCkyCNb82nf1C7w_9_0"/>
      <w:bookmarkStart w:id="695" w:name="Tc_lTQhgQHFskqiociHQYf_cw_8_0"/>
      <w:bookmarkStart w:id="696" w:name="Tc_WKbiO4zvnkGOm1ZMn793PA_7_0"/>
      <w:bookmarkStart w:id="697" w:name="Tc_yQgWuCFmuk2dBrrBjhQqow_6_4"/>
      <w:bookmarkStart w:id="698" w:name="Tc_xl1ge39iSk22k5NtIW9w0Q_6_0"/>
      <w:bookmarkStart w:id="699" w:name="Tc_aRo8miVb-EynKmak-X-ntQ_5_4"/>
      <w:bookmarkStart w:id="700" w:name="Tc__M5ifbgj6UiRLFe3Gtmh6Q_5_2"/>
      <w:bookmarkStart w:id="701" w:name="Tc_kBE8snzVSk2xFzPZDyG0sA_4_4"/>
      <w:bookmarkStart w:id="702" w:name="Tc_ImbAaB54jUOewX6PoZsVUA_3_4"/>
      <w:bookmarkStart w:id="703" w:name="Tc_zKrH1c9IBE-QnN3WXYNh2Q_2_4"/>
      <w:bookmarkStart w:id="704" w:name="Tc_RYqS2R-AcUu_S-A64kwtfw_1_4"/>
      <w:bookmarkEnd w:id="693"/>
      <w:bookmarkEnd w:id="694"/>
      <w:bookmarkEnd w:id="695"/>
      <w:bookmarkEnd w:id="696"/>
      <w:bookmarkEnd w:id="697"/>
      <w:bookmarkEnd w:id="698"/>
      <w:bookmarkEnd w:id="699"/>
      <w:bookmarkEnd w:id="700"/>
      <w:bookmarkEnd w:id="701"/>
      <w:bookmarkEnd w:id="702"/>
      <w:bookmarkEnd w:id="703"/>
      <w:bookmarkEnd w:id="704"/>
      <w:r>
        <w:rPr>
          <w:rFonts w:ascii="Times New Roman;Times;serif" w:hAnsi="Times New Roman;Times;serif"/>
          <w:sz w:val="20"/>
        </w:rPr>
        <w:t xml:space="preserve">directors of the Company and its subsidiaries. The number of shares of Common Stock that may be issued under the 2023 Plan may not exceed 600,000 shares of Class A Common Stock.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stock options granted during 2026 or 2025 and there were no stock options outstanding as of June 30, 2026. All outstanding stock options were exercised in 2017.</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summarizes the restricted stock transactions for the six months ended June 30, 2026:</w:t>
      </w:r>
    </w:p>
    <w:p>
      <w:pPr>
        <w:pStyle w:val="TextBody"/>
        <w:bidi w:val="0"/>
        <w:spacing w:before="0" w:after="200"/>
        <w:ind w:left="0" w:right="0" w:firstLine="360"/>
        <w:jc w:val="left"/>
        <w:rPr/>
      </w:pPr>
      <w:r>
        <w:rPr/>
        <w:t>​</w:t>
      </w:r>
    </w:p>
    <w:tbl>
      <w:tblPr>
        <w:tblW w:w="6365" w:type="dxa"/>
        <w:jc w:val="left"/>
        <w:tblInd w:w="0" w:type="dxa"/>
        <w:tblLayout w:type="fixed"/>
        <w:tblCellMar>
          <w:top w:w="0" w:type="dxa"/>
          <w:left w:w="0" w:type="dxa"/>
          <w:bottom w:w="0" w:type="dxa"/>
          <w:right w:w="0" w:type="dxa"/>
        </w:tblCellMar>
      </w:tblPr>
      <w:tblGrid>
        <w:gridCol w:w="3796"/>
        <w:gridCol w:w="346"/>
        <w:gridCol w:w="781"/>
        <w:gridCol w:w="346"/>
        <w:gridCol w:w="260"/>
        <w:gridCol w:w="836"/>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10460" cy="175260"/>
                      <wp:effectExtent l="0" t="0" r="0" b="0"/>
                      <wp:wrapNone/>
                      <wp:docPr id="139" name="Frame139"/>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935" cy="175260"/>
                      <wp:effectExtent l="0" t="0" r="0" b="0"/>
                      <wp:wrapNone/>
                      <wp:docPr id="141" name="Frame1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5100" cy="175260"/>
                      <wp:effectExtent l="0" t="0" r="0" b="0"/>
                      <wp:wrapNone/>
                      <wp:docPr id="143" name="Frame14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30860" cy="175260"/>
                      <wp:effectExtent l="0" t="0" r="0" b="0"/>
                      <wp:wrapNone/>
                      <wp:docPr id="144" name="Frame144"/>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r>
      <w:tr>
        <w:trPr/>
        <w:tc>
          <w:tcPr>
            <w:tcW w:w="3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r>
      <w:tr>
        <w:trPr/>
        <w:tc>
          <w:tcPr>
            <w:tcW w:w="3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Grant Date</w:t>
            </w:r>
          </w:p>
        </w:tc>
      </w:tr>
      <w:tr>
        <w:trPr/>
        <w:tc>
          <w:tcPr>
            <w:tcW w:w="3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3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Value   </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278,673</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11,555</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5,563</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and outstanding at June 30, 2026</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261,555</w:t>
            </w:r>
          </w:p>
        </w:tc>
        <w:tc>
          <w:tcPr>
            <w:tcW w:w="3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13.15</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three and six months ended June 30, 2026 and 2025, we had $548,000, $1,066,000, $603,000 and $1,130,000, respectively, of total compensation expense related to restricted stock-based compensation arrangements. This expense is included in corporate general and administrative expenses in our results of operations. The associated tax benefit recognized for the three and six months ended June 30, 2026 and 2025 was $144,000, $280,000, $159,000 and $297,000, respectively.</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705" w:name="Tc_TfHhjBsQSU63t2ZxGgTnTw_6_5"/>
      <w:bookmarkStart w:id="706" w:name="Tc_V4LNtvD-NECeSQsJaYOkag_6_3"/>
      <w:bookmarkStart w:id="707" w:name="Tc_OzRmRr8dq02BVfnhzCIPBQ_6_2"/>
      <w:bookmarkStart w:id="708" w:name="Tc_Q9JhrTZaBkWvFHasu2oyxg_5_6"/>
      <w:bookmarkStart w:id="709" w:name="Tc_7iJ0Omf82kKk19qZAraUag_5_0"/>
      <w:bookmarkStart w:id="710" w:name="Tc_aQ5nmTX6dEe0huLEdnFjDw_4_5"/>
      <w:bookmarkStart w:id="711" w:name="Tc_tWDsAPntXkiZaYaR69M6rw_4_2"/>
      <w:bookmarkStart w:id="712" w:name="Tc_zUQqtTMVukGkDHesQQHaxw_4_0"/>
      <w:bookmarkStart w:id="713" w:name="Tc_o5g8FPAUjk-4HUFjfosoOA_3_2"/>
      <w:bookmarkStart w:id="714" w:name="Tc_oWXakxhxTEKxvMWe7vyOjA_2_5"/>
      <w:bookmarkStart w:id="715" w:name="Tc_8nXzvdaaJEiwXVipwmdKbw_2_2"/>
      <w:bookmarkStart w:id="716" w:name="Tc_6dkyPOLe3U2lJLyI82B9uQ_1_5"/>
      <w:bookmarkStart w:id="717" w:name="Tc_EjoZs4hklUCPnWsIswnrhQ_1_2"/>
      <w:bookmarkEnd w:id="705"/>
      <w:bookmarkEnd w:id="706"/>
      <w:bookmarkEnd w:id="707"/>
      <w:bookmarkEnd w:id="708"/>
      <w:bookmarkEnd w:id="709"/>
      <w:bookmarkEnd w:id="710"/>
      <w:bookmarkEnd w:id="711"/>
      <w:bookmarkEnd w:id="712"/>
      <w:bookmarkEnd w:id="713"/>
      <w:bookmarkEnd w:id="714"/>
      <w:bookmarkEnd w:id="715"/>
      <w:bookmarkEnd w:id="716"/>
      <w:bookmarkEnd w:id="717"/>
      <w:r>
        <w:rPr>
          <w:rFonts w:ascii="Times New Roman;Times;serif" w:hAnsi="Times New Roman;Times;serif"/>
          <w:b/>
          <w:sz w:val="20"/>
        </w:rPr>
        <w:t>9. Long-Term Debt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Long-term debt consisted of the following:</w:t>
      </w:r>
    </w:p>
    <w:p>
      <w:pPr>
        <w:pStyle w:val="TextBody"/>
        <w:bidi w:val="0"/>
        <w:spacing w:before="0" w:after="200"/>
        <w:ind w:left="0" w:right="0" w:firstLine="360"/>
        <w:jc w:val="left"/>
        <w:rPr/>
      </w:pPr>
      <w:r>
        <w:rPr/>
        <w:t>​</w:t>
      </w:r>
    </w:p>
    <w:tbl>
      <w:tblPr>
        <w:tblW w:w="5795" w:type="dxa"/>
        <w:jc w:val="left"/>
        <w:tblInd w:w="0" w:type="dxa"/>
        <w:tblLayout w:type="fixed"/>
        <w:tblCellMar>
          <w:top w:w="0" w:type="dxa"/>
          <w:left w:w="0" w:type="dxa"/>
          <w:bottom w:w="0" w:type="dxa"/>
          <w:right w:w="0" w:type="dxa"/>
        </w:tblCellMar>
      </w:tblPr>
      <w:tblGrid>
        <w:gridCol w:w="2851"/>
        <w:gridCol w:w="346"/>
        <w:gridCol w:w="211"/>
        <w:gridCol w:w="691"/>
        <w:gridCol w:w="346"/>
        <w:gridCol w:w="320"/>
        <w:gridCol w:w="1030"/>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810385" cy="175260"/>
                      <wp:effectExtent l="0" t="0" r="0" b="0"/>
                      <wp:wrapNone/>
                      <wp:docPr id="145" name="Frame145"/>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38785" cy="175260"/>
                      <wp:effectExtent l="0" t="0" r="0" b="0"/>
                      <wp:wrapNone/>
                      <wp:docPr id="148" name="Frame1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3200" cy="175260"/>
                      <wp:effectExtent l="0" t="0" r="0" b="0"/>
                      <wp:wrapNone/>
                      <wp:docPr id="150" name="Frame15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54050" cy="175260"/>
                      <wp:effectExtent l="0" t="0" r="0" b="0"/>
                      <wp:wrapNone/>
                      <wp:docPr id="151" name="Frame151"/>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79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98"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agreement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payable within one year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5,000</w:t>
            </w:r>
          </w:p>
        </w:tc>
      </w:tr>
    </w:tbl>
    <w:p>
      <w:pPr>
        <w:pStyle w:val="TextBody"/>
        <w:bidi w:val="0"/>
        <w:spacing w:before="0" w:after="20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connection with the Sale-Leaseback Transaction described in Note 13, the Company entered into a Fourth Amendment (“Fourth Amendment”) to its Credit Agreement, dated as of August 18, 2015 and amended on September 1, 2017, June 17, 2018, and December 19, 2022, between the Company, JPMorgan Chase Bank, N.A. and The Huntington National Bank (collectively, the “Lenders”), and JPMorgan Chase Bank, N.A., in its capacity as Administrative Agent for the Lenders (“Agent”), (i) reducing the aggregate amount of the Lender’s revolving commitments from $50,000,000 to $40,000,000, and (ii) releasing the Agent’s security interest in the GTC Assets, but not any proceeds paid for the GTC Assets or any other collateral (the borrowing arrangement governed by the Credit Agreement). On December 19, 2022, we entered into a Third Amendment to our credit agreement (the “Third Amendment”), which extended the maturity date to December 19, 2027, reduced the lenders to JPMorgan Chase Bank, N.A., and the Huntington National Bank (collectively, the “Lenders”), established an interest rate equal to the secured overnight financing rate (“SOFR”) as administered by the SOFR Administrator (currently established as the Federal Reserve Bank of New York) as the interest base and increased the basis points.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the Company had $5.0 million outstanding under the Credit Agreement, which borrowings were incurred in connection with the Company’s Lafayette acquisition. As of June 30, 2026, the Company had approximately $35.0 million of unused borrowing capacity under the Credit Agreement. However, as of June 30, 2026, the Company was not in compliance with the minimum fixed charge coverage ratio covenant under the Credit Agreement, which constituted an event of default. Accordingly, the outstanding borrowings under the Credit Agreement were classified as current liabilities as of June 30, 2026.</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Subsequent to June 30, 2026, the Company repaid the outstanding $5.0 million principal balance, together with accrued and unpaid interest and other amounts payable in connection therewith, on August 6, 2026, and terminated the Credit Agreement on August 11, 2026. The Credit Agreement contained a number of financial covenants which, among other things, required us to maintain specified financial ratios and impose certain limitations on us with respect to investments, additional indebtedness, dividends, distributions, guarantees, liens and encumbrances. Following the termination of the Credit Agreement, the Company no longer has borrowing availability under the Credit Agreement.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10. Litigation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11. Dividends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2026, the Company’s Board of Directors declared two quarterly cash dividends on its Class A Common Stock. These dividends totaling $0.50 per share and approximately $3.2 million were paid as of June 30, 2026.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2025, the Company’s Board of Directors declared two quarterly cash dividends on its Class A Common Stock. These dividends totaling $0.50 per share and approximately $3.2 million were paid during 2025. </w:t>
      </w:r>
    </w:p>
    <w:p>
      <w:pPr>
        <w:pStyle w:val="TextBody"/>
        <w:bidi w:val="0"/>
        <w:spacing w:before="0" w:after="200"/>
        <w:ind w:left="0" w:right="0" w:firstLine="360"/>
        <w:jc w:val="left"/>
        <w:rPr>
          <w:rFonts w:ascii="Times New Roman;Times;serif" w:hAnsi="Times New Roman;Times;serif"/>
          <w:sz w:val="20"/>
        </w:rPr>
      </w:pPr>
      <w:r>
        <w:rPr>
          <w:rFonts w:ascii="Times New Roman;white-space:pre-wrap" w:hAnsi="Times New Roman;white-space:pre-wrap"/>
          <w:sz w:val="20"/>
        </w:rPr>
        <w:t>The Company intends to pay regular quarterly cash dividends in the future. Consistent with its strategic objective of maintaining a strong balance sheet and returning value to the shareholders, the Board of Directors will also continue to consider declaring special cash dividends, variable dividends, and stock buybacks in the future. The declaration and payment of any future dividend, whether fixed, special, or based on the variable policy, or the implementation of any stock buyback program will remain at the full discretion of the Board and will depend on the Company’s financial results, cash requirements, future expectations, and other pertinent factors.</w:t>
      </w:r>
      <w:r>
        <w:rPr>
          <w:rFonts w:ascii="Times New Roman;Times;serif" w:hAnsi="Times New Roman;Times;serif"/>
          <w:sz w:val="20"/>
        </w:rPr>
        <w:t xml:space="preserve"> </w:t>
      </w:r>
    </w:p>
    <w:p>
      <w:pPr>
        <w:pStyle w:val="TextBody"/>
        <w:bidi w:val="0"/>
        <w:spacing w:before="0" w:after="20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12. Gain (loss) on the Sale of Assets and Other Income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During the second quarter of 2026, as part of the Company’s previously disclosed capital allocation plan to sell non-core assets, the Company sold a property in Sarasota, Florida for approximately $1.7 million. As a result of the sale, the Company recorded a gain of approximately $1.1 million, which is recorded in (gain) loss on sale of assets, net in the Company’s Condensed Consolidated Statement of Operations.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During the first quarter of 2026, as part of the Company’s previously disclosed capital allocation plan to sell non-core assets, the Company sold a property in Springfield, Massachusetts for approximately $460,000. As a result of the sale, the Company recorded a gain of approximately $80,000, which is recorded in (gain) loss on sale of assets, net in the Company’s Condensed Consolidated Statement of Operations.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first quarter of 2026, we had weather-related damages in Hilton Head, South Carolina. The Company’s insurance policy provides coverage for repairs and replacements. As part of the insurance settlement, the Company received cash proceeds of $55,000, resulting in a gain of $55,000, which is recorded in other income in the Company’s Condensed Consolidated Statement of Operations.</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Sale-Leaseback Transaction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October 17, 2025 (the “Closing Date”), the Company entered into an Asset Purchase Agreement (the “Purchase Agreement”) by and among the Company, GTC Uno, LLC (“GTC”) and certain of the Company’s subsidiaries (the “Subsidiaries”), under which the Subsidiaries agreed to sell 24 telecommunications towers and related real property and other assets located at 22 sites (the “GTC Assets”) for a total cash purchase price of approximately $10.7 million (the “Sale-Leaseback Transaction”). The Purchase Agreement contains customary representations and warranties made by the Company, GTC and the Subsidiaries. On the Closing Date, the parties closed on the sale of the 22 tower sites. Sales proceeds, net of brokerage commissions and certain adjustments, of approximately $10.1 million were paid to the Company, with the remaining purchase price of $400,000 remaining in escrow and not controlled by the Company as of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December 31, 2025. Several towers had underlying land leases requiring consent to the sale by the land-owners. There was one tower with a consent pending as of year-end, as the other were received prior to the sale and three were received during the fourth quarter of 2025. During the second quarter of 2026, the Company received the remaining consent for one tower and received the remaining escrowed funds of $400,000. Simultaneously with the closing, each Subsidiary entered into an Antenna Site Lease Agreement (a “Lease”) with GTC for the Company’s continued use of the towers that were sold, pursuant to which the Subsidiaries have agreed to make annual lease payments of $1.00 per annum. Each Lease has a term of 25 years.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evaluated the Sale-Leaseback transaction under the sale-leaseback guidance in ASC 842-40 and concluded that the transfer of the properties qualified as sales because control of the assets transferred to the buyer-lessor in accordance with the guidance in ASC 606. The Company evaluated the lease classification criteria in ASC 842 and determined that the leasebacks are classified as operating leases.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the contractual lease payments are nominal annual payments of $1.00 per lease, the present value of lease payments was not material and therefore no lease liability was recorded. In accordance with ASC 842, the Company determined that the Sale-Leaseback transaction was not at fair value based on the difference between the present value of the lease payments and the present value of market rental payments. As such, the Company adjusted the sales price of the assets to recognize the prepayment of the rent, which was included within the right-of-use assets recorded at the time of the sale and lease commencement. The prepaid rent was amortized on a straight-line basis over the 25-year lease terms and recognized within station operating expenses in the accompanying condensed consolidated statements of operations. The estimated market rent was based on comparable third-party leases, including rent escalation provisions and then discounted to present value using a rate of 9.75%. The difference between the present value of the contractual lease payments and the present value of market lease payments was determined to be $5.2 million. This amount was recorded as prepaid rent and added to the net cash proceeds of $9.85 million from the sale, after expenses, to determine the adjusted sales price of $15.1 million for purposes of calculating the gain on the sale. These proceeds do not originally include approximately $400,000 that was previously held in escrow, noted above.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time of the transaction, the carrying value of the towers was approximately $3.5 million for the 23 towers that closed as of December 31, 2025. The Company recognized a gain on sale of $11.6 million. This gain was included in other operating (income) expense, net during the year ended December 31, 2025. During the second quarter of 2026, the Company recognized an additional gain on sale of $422,000 related to the 1 remaining tower that closed during the quarter.</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second quarter of 2026, the Company entered into amendments to the existing Purchase Agreement and related lease arrangements (the “Amendments”) with GTC to align the previously executed documents with the intended economic substance of the transaction. Under the Amendments the Purchase Agreement was modified to provide for a $15.9 million purchase price which includes the $10.7 million up front cash payment that was previously received upon original closing, consistent with the original Purchase Agreement and new promissory notes totaling $5.2 million. In addition, the original lease agreements were modified to provide for market rent payments over the 25-year original lease terms. The effective date of the Amendments to the Leases and notes receivable was October 1, 2025 and therefore upon executing the Amendments, the Company recognized additional rent expenses of $191,000, a reduction in right of use asset amortization expense of $53,000 and interest income associated with the notes receivable of $244,000 during the second quarter of 2026 upon modification of the lease agreements.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amendments to the lease arrangements have been evaluated and determined to represent lease modifications in accordance with ASC 842, </w:t>
      </w:r>
      <w:r>
        <w:rPr>
          <w:rFonts w:ascii="Times New Roman;Times;serif" w:hAnsi="Times New Roman;Times;serif"/>
          <w:i/>
          <w:sz w:val="20"/>
        </w:rPr>
        <w:t>Leases</w:t>
      </w:r>
      <w:r>
        <w:rPr>
          <w:rFonts w:ascii="Times New Roman;Times;serif" w:hAnsi="Times New Roman;Times;serif"/>
          <w:sz w:val="20"/>
        </w:rPr>
        <w:t xml:space="preserve">. Upon the modification of the lease agreements in Q2 of FY2026, the Company recorded right-of-use assets and lease liabilities using the Company’s incremental borrowing rate on the date of modification. Based on the Amendments, the Sale Leaseback Transaction is determined to be at fair value as the present value of contractual lease payments equals the present value of market lease payments. As a result, the previously recognized prepaid rent of $5.2 million was derecognized.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accordance with ASC 610-20 </w:t>
      </w:r>
      <w:r>
        <w:rPr>
          <w:rFonts w:ascii="Times New Roman;Times;serif" w:hAnsi="Times New Roman;Times;serif"/>
          <w:i/>
          <w:sz w:val="20"/>
        </w:rPr>
        <w:t>Other Income—Gains and Losses from the Derecognition of Nonfinancial Assets,</w:t>
      </w:r>
      <w:r>
        <w:rPr>
          <w:rFonts w:ascii="Times New Roman;Times;serif" w:hAnsi="Times New Roman;Times;serif"/>
          <w:sz w:val="20"/>
        </w:rPr>
        <w:t xml:space="preserve"> the notes receivable now included within the purchase price were recorded at fair value in Q2 of FY2026 when the notes became enforceable. The notes receivable bears an interest rate of 9.3%, which is materially consistent to the Company’s incremental borrowing rate at the time of the Amendments. The lease payments under the amended lease agreements and principal and interest payments under the notes receivable are determinable and contractually consistent in amount and timing. The agreements include legally enforceable rights to offset, which both parties intend to exercise. As such, the notes receivable and operating lease liabilities based on the Amendments qualify for offsetting in accordance with ASC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718" w:name="Tc_rwHpYHdp_kq1C2tV_g1gdQ_7_3"/>
      <w:bookmarkStart w:id="719" w:name="Tc_5-E_HbfaNkeiHRBpGktk7Q_7_2"/>
      <w:bookmarkStart w:id="720" w:name="Tc_XJB8j8Fyc0ODUNuHIeCO5w_7_0"/>
      <w:bookmarkStart w:id="721" w:name="Tc_wHFhf0gDtE6RjgUtxYWGEg_6_0"/>
      <w:bookmarkStart w:id="722" w:name="Tc_8HTqUNgjY02WstwcaJAWLw_5_0"/>
      <w:bookmarkStart w:id="723" w:name="Tc_4wb_d3q4oUOuuDXL3rGLjw_4_2"/>
      <w:bookmarkStart w:id="724" w:name="Tc_b-r6WJfu3UCc9qigPOxLcg_4_0"/>
      <w:bookmarkStart w:id="725" w:name="Tc_fzMhvcgQCEyEIZNk_A_puA_3_0"/>
      <w:bookmarkStart w:id="726" w:name="Tc_VPLN-_JlrEGepMs4TalulQ_2_2"/>
      <w:bookmarkStart w:id="727" w:name="Tc_ks7GezKy40e_Flo8VvZy_Q_2_0"/>
      <w:bookmarkStart w:id="728" w:name="Tc_louANUlG3EWkBoffhI3DuQ_1_2"/>
      <w:bookmarkStart w:id="729" w:name="_b0de187a_fe2d_4938_93ff_7234436fed33"/>
      <w:bookmarkEnd w:id="718"/>
      <w:bookmarkEnd w:id="719"/>
      <w:bookmarkEnd w:id="720"/>
      <w:bookmarkEnd w:id="721"/>
      <w:bookmarkEnd w:id="722"/>
      <w:bookmarkEnd w:id="723"/>
      <w:bookmarkEnd w:id="724"/>
      <w:bookmarkEnd w:id="725"/>
      <w:bookmarkEnd w:id="726"/>
      <w:bookmarkEnd w:id="727"/>
      <w:bookmarkEnd w:id="728"/>
      <w:bookmarkEnd w:id="729"/>
      <w:r>
        <w:rPr>
          <w:rFonts w:ascii="Times New Roman;Times;serif" w:hAnsi="Times New Roman;Times;serif"/>
          <w:sz w:val="20"/>
        </w:rPr>
        <w:t xml:space="preserve">210-20, </w:t>
      </w:r>
      <w:r>
        <w:rPr>
          <w:rFonts w:ascii="Times New Roman;Times;serif" w:hAnsi="Times New Roman;Times;serif"/>
          <w:i/>
          <w:sz w:val="20"/>
        </w:rPr>
        <w:t xml:space="preserve">Balance Sheet – Offsetting. </w:t>
      </w:r>
      <w:r>
        <w:rPr>
          <w:rFonts w:ascii="Times New Roman;Times;serif" w:hAnsi="Times New Roman;Times;serif"/>
          <w:sz w:val="20"/>
        </w:rPr>
        <w:t xml:space="preserve">As of June 30, 2026, notes receivable with a gross carrying amount of $5.5 million have been offset against operating lease liabilities, reducing the net amount of notes receivable to $0. The gross carrying amount of operating lease liabilities prior to offsetting of the notes receivable of $5.5 million was $10.6 million, with the remaining net amount of operating </w:t>
      </w:r>
      <w:r>
        <w:rPr>
          <w:rFonts w:ascii="Times New Roman;Times;serif" w:hAnsi="Times New Roman;Times;serif"/>
          <w:b w:val="false"/>
          <w:i w:val="false"/>
          <w:caps w:val="false"/>
          <w:smallCaps w:val="false"/>
          <w:sz w:val="20"/>
        </w:rPr>
        <w:t>lease liabilities</w:t>
      </w:r>
      <w:r>
        <w:rPr>
          <w:rFonts w:ascii="Times New Roman;Times;serif" w:hAnsi="Times New Roman;Times;serif"/>
          <w:sz w:val="20"/>
        </w:rPr>
        <w:t xml:space="preserve"> of $5.1 million, of which $1.4 million is included </w:t>
      </w:r>
      <w:r>
        <w:rPr>
          <w:rFonts w:ascii="Times New Roman;Times;serif" w:hAnsi="Times New Roman;Times;serif"/>
          <w:b w:val="false"/>
          <w:i w:val="false"/>
          <w:caps w:val="false"/>
          <w:smallCaps w:val="false"/>
          <w:sz w:val="20"/>
        </w:rPr>
        <w:t>other accrued expenses</w:t>
      </w:r>
      <w:r>
        <w:rPr>
          <w:rFonts w:ascii="Times New Roman;Times;serif" w:hAnsi="Times New Roman;Times;serif"/>
          <w:sz w:val="20"/>
        </w:rPr>
        <w:t xml:space="preserve"> and $3.7 million included in </w:t>
      </w:r>
      <w:r>
        <w:rPr>
          <w:rFonts w:ascii="Times New Roman;Times;serif" w:hAnsi="Times New Roman;Times;serif"/>
          <w:b w:val="false"/>
          <w:i w:val="false"/>
          <w:caps w:val="false"/>
          <w:smallCaps w:val="false"/>
          <w:sz w:val="20"/>
        </w:rPr>
        <w:t xml:space="preserve">other liabilities </w:t>
      </w:r>
      <w:r>
        <w:rPr>
          <w:rFonts w:ascii="Times New Roman;Times;serif" w:hAnsi="Times New Roman;Times;serif"/>
          <w:sz w:val="20"/>
        </w:rPr>
        <w:t>in the accompanying condensed consolidated balance sheet as of June 30, 2026. The Company does not have any further amounts subject to master offsetting arrangements that are not offset as of June 30,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June 30, 2026 and December 31, 2025, the carrying value of the prepaid rent included in the right-of-use asset associated with the sale-leaseback transaction was $0 and $5.2 million,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activity related to the prepaid rent associated with the sale-leaseback transaction for the six months ended June 30, 2026 was as follows (in thousands):</w:t>
      </w:r>
    </w:p>
    <w:tbl>
      <w:tblPr>
        <w:tblW w:w="5452" w:type="dxa"/>
        <w:jc w:val="left"/>
        <w:tblInd w:w="0" w:type="dxa"/>
        <w:tblLayout w:type="fixed"/>
        <w:tblCellMar>
          <w:top w:w="0" w:type="dxa"/>
          <w:left w:w="0" w:type="dxa"/>
          <w:bottom w:w="0" w:type="dxa"/>
          <w:right w:w="0" w:type="dxa"/>
        </w:tblCellMar>
      </w:tblPr>
      <w:tblGrid>
        <w:gridCol w:w="4396"/>
        <w:gridCol w:w="109"/>
        <w:gridCol w:w="211"/>
        <w:gridCol w:w="73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791460" cy="175260"/>
                      <wp:effectExtent l="0" t="0" r="0" b="0"/>
                      <wp:wrapNone/>
                      <wp:docPr id="152" name="Frame152"/>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67360" cy="175260"/>
                      <wp:effectExtent l="0" t="0" r="0" b="0"/>
                      <wp:wrapNone/>
                      <wp:docPr id="155" name="Frame15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 at lease commencement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5,244</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 (non-cash rent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5,190</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 (non-cash rent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Derecognition of prepaid rent upon the Amendments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(5,135)</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 at June 30, 2026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730" w:name="Tc_8JzYjsRwtU-Fc7C6M_hNsg_8_2"/>
      <w:bookmarkStart w:id="731" w:name="Tc_brutWrNU3Eqee33FO-nXog_8_0"/>
      <w:bookmarkStart w:id="732" w:name="Tc_iCpgTM41ckCJg_4y6iRFpw_7_8"/>
      <w:bookmarkStart w:id="733" w:name="Tc_MFhPt34T6E2CKakEZ66jtg_7_2"/>
      <w:bookmarkStart w:id="734" w:name="Tc_Zah62MVigkO1lr3cMyzOGA_7_0"/>
      <w:bookmarkStart w:id="735" w:name="Tc_yGvzXNiVukiApC1fp01Uyg_6_2"/>
      <w:bookmarkStart w:id="736" w:name="Tc_PP3LCNWQPk-7HkUyMIADfA_6_0"/>
      <w:bookmarkStart w:id="737" w:name="Tc_zXTNVgq4NE2PkfCb42_cHA_5_2"/>
      <w:bookmarkStart w:id="738" w:name="Tc_5dC-t1hcf0uE45R6wuPAiA_5_0"/>
      <w:bookmarkStart w:id="739" w:name="Tc_i9UaYcNF0UeG-zmWyuZZHA_4_7"/>
      <w:bookmarkStart w:id="740" w:name="Tc_ubMwWk_yFECiLtuNzBHmhA_4_4"/>
      <w:bookmarkStart w:id="741" w:name="Tc_wZUHq3VrLUePqOLs1t4BLw_4_2"/>
      <w:bookmarkStart w:id="742" w:name="Tc_QkLQ7EOxkkGZQEhVBRsdIA_4_0"/>
      <w:bookmarkStart w:id="743" w:name="Tc_eWU5091HXk6y1PmmEtqAgw_3_7"/>
      <w:bookmarkStart w:id="744" w:name="Tc_d5_CFoXbAEiL6b8cnnS_XA_3_4"/>
      <w:bookmarkStart w:id="745" w:name="Tc_9R8F9T32REOpjpauwCo3QA_3_2"/>
      <w:bookmarkStart w:id="746" w:name="Tc_WAvwxHAYW0aE6oI0I3Y7Lw_3_0"/>
      <w:bookmarkStart w:id="747" w:name="Tc_QdLBtijU5EiqtsNaRJOj-g_2_7"/>
      <w:bookmarkStart w:id="748" w:name="Tc_31zR1AFltUub1qzeXqBEdg_2_4"/>
      <w:bookmarkStart w:id="749" w:name="Tc_mB6FuOrLCUSxThugPBhiJQ_2_2"/>
      <w:bookmarkStart w:id="750" w:name="Tc_zT8RAimHTUeau08p-A1GQA_1_4"/>
      <w:bookmarkStart w:id="751" w:name="_af5cefa4_9925_4883_8e8d_e7accf8525e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Fonts w:ascii="Times New Roman;Times;serif" w:hAnsi="Times New Roman;Times;serif"/>
          <w:b/>
          <w:i w:val="false"/>
          <w:caps w:val="false"/>
          <w:smallCaps w:val="false"/>
          <w:sz w:val="20"/>
        </w:rPr>
        <w:t>14. Fair Value Measurements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defined in ASC Topic 820, fair value is defined as the price that would be received from selling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Level 1 — Quoted prices in active markets for identical assets or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Level 2 — Observable inputs other than quoted prices in active markets for identical assets and liabilities, quoted prices for identical or similar assets or liabilities in markets that are not active, or other inputs that are observable or can be corroborated by observable market data.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Level 3 — Unobservable inputs in which there is little or no market data available, which requires management to develop its own assumptions in pricing the asset or liability.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assets and liabilities disclosed at fair value are summarized below (in thousands):</w:t>
      </w:r>
    </w:p>
    <w:p>
      <w:pPr>
        <w:pStyle w:val="TextBody"/>
        <w:bidi w:val="0"/>
        <w:spacing w:before="0" w:after="200"/>
        <w:ind w:left="0" w:right="0" w:firstLine="360"/>
        <w:jc w:val="left"/>
        <w:rPr>
          <w:shd w:fill="FFFF00" w:val="clear"/>
        </w:rPr>
      </w:pPr>
      <w:r>
        <w:rPr>
          <w:shd w:fill="FFFF00" w:val="clear"/>
        </w:rPr>
        <w:t>​</w:t>
      </w:r>
    </w:p>
    <w:tbl>
      <w:tblPr>
        <w:tblW w:w="7492" w:type="dxa"/>
        <w:jc w:val="left"/>
        <w:tblInd w:w="0" w:type="dxa"/>
        <w:tblLayout w:type="fixed"/>
        <w:tblCellMar>
          <w:top w:w="0" w:type="dxa"/>
          <w:left w:w="0" w:type="dxa"/>
          <w:bottom w:w="0" w:type="dxa"/>
          <w:right w:w="0" w:type="dxa"/>
        </w:tblCellMar>
      </w:tblPr>
      <w:tblGrid>
        <w:gridCol w:w="3196"/>
        <w:gridCol w:w="346"/>
        <w:gridCol w:w="1021"/>
        <w:gridCol w:w="346"/>
        <w:gridCol w:w="211"/>
        <w:gridCol w:w="676"/>
        <w:gridCol w:w="346"/>
        <w:gridCol w:w="305"/>
        <w:gridCol w:w="1045"/>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29460" cy="175260"/>
                      <wp:effectExtent l="0" t="0" r="0" b="0"/>
                      <wp:wrapNone/>
                      <wp:docPr id="156" name="Frame156"/>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335" cy="175260"/>
                      <wp:effectExtent l="0" t="0" r="0" b="0"/>
                      <wp:wrapNone/>
                      <wp:docPr id="158" name="Frame15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260" cy="175260"/>
                      <wp:effectExtent l="0" t="0" r="0" b="0"/>
                      <wp:wrapNone/>
                      <wp:docPr id="161" name="Frame1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93675" cy="175260"/>
                      <wp:effectExtent l="0" t="0" r="0" b="0"/>
                      <wp:wrapNone/>
                      <wp:docPr id="163" name="Frame163"/>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63575" cy="175260"/>
                      <wp:effectExtent l="0" t="0" r="0" b="0"/>
                      <wp:wrapNone/>
                      <wp:docPr id="164" name="Frame164"/>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5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Financial Instrument</w:t>
            </w:r>
          </w:p>
        </w:tc>
        <w:tc>
          <w:tcPr>
            <w:tcW w:w="346" w:type="dxa"/>
            <w:tcBorders/>
            <w:shd w:fill="CCEEFF" w:val="clear"/>
            <w:vAlign w:val="center"/>
          </w:tcPr>
          <w:p>
            <w:pPr>
              <w:pStyle w:val="TableContents"/>
              <w:bidi w:val="0"/>
              <w:spacing w:before="0" w:after="1"/>
              <w:ind w:left="0" w:right="0" w:hanging="0"/>
              <w:jc w:val="left"/>
              <w:rPr/>
            </w:pPr>
            <w:r>
              <w:rPr/>
              <w:t>  ​ ​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Hierarchy</w:t>
            </w:r>
          </w:p>
        </w:tc>
        <w:tc>
          <w:tcPr>
            <w:tcW w:w="346" w:type="dxa"/>
            <w:tcBorders/>
            <w:shd w:fill="CCEEFF" w:val="clear"/>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shd w:fill="CCEEFF" w:val="clear"/>
            <w:vAlign w:val="center"/>
          </w:tcPr>
          <w:p>
            <w:pPr>
              <w:pStyle w:val="TableContents"/>
              <w:bidi w:val="0"/>
              <w:spacing w:before="0" w:after="1"/>
              <w:ind w:left="0" w:right="0" w:hanging="0"/>
              <w:jc w:val="left"/>
              <w:rPr/>
            </w:pPr>
            <w:r>
              <w:rPr/>
              <w:t>  ​ ​ ​</w:t>
            </w:r>
          </w:p>
        </w:tc>
        <w:tc>
          <w:tcPr>
            <w:tcW w:w="1350"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18,378</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22,506</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9,466</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9,300</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 of allowance</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13,208</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14,031</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5,660</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5,000</w:t>
            </w:r>
          </w:p>
        </w:tc>
      </w:tr>
    </w:tbl>
    <w:p>
      <w:pPr>
        <w:pStyle w:val="TextBody"/>
        <w:bidi w:val="0"/>
        <w:spacing w:before="0" w:after="200"/>
        <w:ind w:left="0" w:right="0" w:firstLine="360"/>
        <w:jc w:val="left"/>
        <w:rPr>
          <w:shd w:fill="FFFF00" w:val="clear"/>
        </w:rPr>
      </w:pPr>
      <w:r>
        <w:rPr>
          <w:shd w:fill="FFFF00" w:val="clear"/>
        </w:rPr>
        <w:t>​</w:t>
      </w:r>
    </w:p>
    <w:p>
      <w:pPr>
        <w:pStyle w:val="TextBody"/>
        <w:bidi w:val="0"/>
        <w:spacing w:before="0" w:after="200"/>
        <w:ind w:left="0" w:right="0" w:hanging="0"/>
        <w:jc w:val="left"/>
        <w:rPr>
          <w:shd w:fill="FFFF00" w:val="clear"/>
        </w:rPr>
      </w:pPr>
      <w:r>
        <w:rPr>
          <w:shd w:fill="FFFF00" w:val="clea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financial instruments are comprised of cash and cash equivalents, short-term investments and long-term debt. The carrying value of cash and cash equivalents, short-term investments and accounts receivable approximate fair value due to their short maturities. The fair value of cash and cash equivalents, and short-term investments derived from quoted market prices and are considered a level 1. The notes receivable are recorded at amortized cost based on the contractual interest rate and are considered a level 3. Interest on the Credit Facility is at a variable rate, and as such the debt obligation outstanding approximates fair value and is considered a level 2.</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pPr>
      <w:r>
        <w:rPr/>
        <w:t>​</w:t>
      </w:r>
    </w:p>
    <w:p>
      <w:pPr>
        <w:pStyle w:val="TextBody"/>
        <w:bidi w:val="0"/>
        <w:spacing w:before="0" w:after="200"/>
        <w:ind w:left="0" w:right="0" w:hanging="0"/>
        <w:jc w:val="left"/>
        <w:rPr>
          <w:rFonts w:ascii="Times New Roman;Times;serif" w:hAnsi="Times New Roman;Times;serif"/>
          <w:b/>
          <w:i/>
          <w:sz w:val="20"/>
        </w:rPr>
      </w:pPr>
      <w:bookmarkStart w:id="752" w:name="Item2ManagementsDiscussionandAnalysisofF"/>
      <w:bookmarkStart w:id="753" w:name="_52f76081_9ec2_4a57_a980_686fc9598839"/>
      <w:bookmarkEnd w:id="752"/>
      <w:bookmarkEnd w:id="753"/>
      <w:r>
        <w:rPr>
          <w:rFonts w:ascii="Times New Roman;Times;serif" w:hAnsi="Times New Roman;Times;serif"/>
          <w:b/>
          <w:i/>
          <w:sz w:val="20"/>
        </w:rPr>
        <w:t>Item 2. Management’s Discussion and Analysis of Financial Condition and Results of Operations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200"/>
        <w:ind w:left="0" w:right="0" w:firstLine="360"/>
        <w:jc w:val="left"/>
        <w:rPr>
          <w:rFonts w:ascii="Times New Roman;Times;serif" w:hAnsi="Times New Roman;Times;serif"/>
          <w:sz w:val="20"/>
        </w:rPr>
      </w:pPr>
      <w:r>
        <w:rPr>
          <w:rFonts w:ascii="Times New Roman" w:hAnsi="Times New Roman"/>
          <w:sz w:val="20"/>
        </w:rPr>
        <w:t xml:space="preserve">This quarterly report on Form 10-Q contains forward-looking statements within the meaning of the safe harbor provisions of the Private Securities Litigation Reform Act of 1995. Forward-looking statements may be identified by the use of forward-looking terms such as “will,” “may,” “believes,” “intends,” “expects,” “anticipates,” “plans,” “estimates,” “guidance,” and similar expressions that are intended to identify forward-looking statements that are not historical facts. These statements are made as of the date of this report or as otherwise indicated, based on current expectations. </w:t>
      </w:r>
      <w:r>
        <w:rPr>
          <w:rFonts w:ascii="Times New Roman;background:#ffffff" w:hAnsi="Times New Roman;background:#ffffff"/>
          <w:sz w:val="20"/>
        </w:rPr>
        <w:t>These statements are not guarantees of future performance and involve certain risks, uncertainties and assumptions (“Future Factors”) that are difficult to predict with regard to timing, extent, likelihood and degree of occurrence. Therefore, actual results and outcomes may materially differ from what may be expressed or forecasted in such forward-looking statements. We undertake no obligation to update, amend, or clarify forward-looking statements, whether as a result of new information, future events (whether anticipated or unanticipated), or otherwise</w:t>
      </w:r>
    </w:p>
    <w:p>
      <w:pPr>
        <w:pStyle w:val="TextBody"/>
        <w:bidi w:val="0"/>
        <w:spacing w:before="0" w:after="200"/>
        <w:ind w:left="0" w:right="0" w:firstLine="360"/>
        <w:jc w:val="left"/>
        <w:rPr>
          <w:rFonts w:ascii="Times New Roman;Times;serif" w:hAnsi="Times New Roman;Times;serif"/>
          <w:sz w:val="20"/>
        </w:rPr>
      </w:pPr>
      <w:r>
        <w:rPr>
          <w:rFonts w:ascii="Times New Roman;background:#ffffff" w:hAnsi="Times New Roman;background:#ffffff"/>
          <w:sz w:val="20"/>
        </w:rPr>
        <w:t xml:space="preserve">Future Factors include, among others, changes in national, regional and local economic conditions and advertising demand; shifts in audience behavior and listening habits competition from traditional and non traditional media; including digital, streaming and other online platforms; our ability to attract and retain advertising customers and to maintain or increase advertising rates; adverse changes in interest rates and interest rate relationships; our ability to maintain sufficient liquidity following the repayment and termination of our Credit Agreement; our ability to obtain additional financing on acceptable terms, if needed; and the impact of reduced committed borrowing capacity on our ability to pursue acquisitions, capital allocation initiatives or other strategic opportunities; dependence on key personnel; dependence on key stations and the advertising revenue they generate; U.S. national and local economic conditions or an economic recession; market volatility; demand for our services; the degree of competition by traditional and non-traditional competitors; our ability to successfully integrate acquired stations; regulatory requirements including royalties we pay; variability in political advertising revenue </w:t>
      </w:r>
      <w:r>
        <w:rPr>
          <w:rFonts w:ascii="Times New Roman;Times;serif" w:hAnsi="Times New Roman;Times;serif"/>
          <w:sz w:val="20"/>
          <w:shd w:fill="FFFFFF" w:val="clear"/>
        </w:rPr>
        <w:t>due to election cycles, timing, candidate spending levels, regulatory developments, and advertising demand</w:t>
      </w:r>
      <w:r>
        <w:rPr>
          <w:rFonts w:ascii="Times New Roman;background:#ffffff" w:hAnsi="Times New Roman;background:#ffffff"/>
          <w:sz w:val="20"/>
        </w:rPr>
        <w:t>; our ability to execute our digital strategy, including our ability to deliver measurable outcomes across paid search, display, social and online news offerings; our ability to successfully implement and scale our consumer-journey focus (including “</w:t>
      </w:r>
      <w:r>
        <w:rPr>
          <w:rFonts w:ascii="Times New Roman;Times;serif" w:hAnsi="Times New Roman;Times;serif"/>
          <w:sz w:val="20"/>
        </w:rPr>
        <w:t xml:space="preserve">Click, Visit, Call and Search”) and to demonstrate value to customers; our ability to maintain and grow our “blended advertising” model and to integrate radio and digital solutions in a manner that is easy for advertisers to adopt; </w:t>
      </w:r>
      <w:r>
        <w:rPr>
          <w:rFonts w:ascii="Times New Roman;background:#ffffff" w:hAnsi="Times New Roman;background:#ffffff"/>
          <w:sz w:val="20"/>
        </w:rPr>
        <w:t xml:space="preserve">governmental and regulatory policy changes; changes in tax laws; the impact of technological advances; risks associated with cyber-attacks on our computer systems and those of our vendors; the outcomes of contingencies; trends in audience behavior; damage to our reputation resulting from adverse publicity, regulatory actions, litigation, and operational failures, the failure to meet client or listener expectations and other facts; changes in local real estate values; natural disasters; terrorist attacks; </w:t>
      </w:r>
      <w:r>
        <w:rPr>
          <w:rFonts w:ascii="Times New Roman;Times;serif" w:hAnsi="Times New Roman;Times;serif"/>
          <w:sz w:val="20"/>
          <w:shd w:fill="FFFFFF" w:val="clear"/>
        </w:rPr>
        <w:t>geopolitical conflicts, including conflicts in regions where we or our advertisers conduct business,</w:t>
      </w:r>
      <w:r>
        <w:rPr>
          <w:rFonts w:ascii="Times New Roman;Times;serif" w:hAnsi="Times New Roman;Times;serif"/>
          <w:sz w:val="20"/>
        </w:rPr>
        <w:t xml:space="preserve"> </w:t>
      </w:r>
      <w:r>
        <w:rPr>
          <w:rFonts w:ascii="Times New Roman;white-space:pre-wrap;background:#ffffff" w:hAnsi="Times New Roman;white-space:pre-wrap;background:#ffffff"/>
          <w:sz w:val="20"/>
        </w:rPr>
        <w:t>the effects of widespread outbreak of illness or disease, inflation or deflation; increased energy costs; and risk factors described in our annual report on Form 10-K for the year ended December 31, 2025 or elsewhere in this quarterly report. These are representative of the Future Factors that could cause a difference between an ultimate actual outcome and a forward-looking statement.</w:t>
      </w:r>
      <w:r>
        <w:rPr>
          <w:rFonts w:ascii="Times New Roman;Times;serif" w:hAnsi="Times New Roman;Times;serif"/>
          <w:sz w:val="20"/>
        </w:rPr>
        <w:t xml:space="preserve">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Introduction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discussion should be read in conjunction with the unaudited condensed consolidated financial statements and accompanying notes thereto of Saga Communications, Inc. and its subsidiaries contained elsewhere herein and the audited financial statements and Management’s Discussion and Analysis contained in our annual report on Form 10-K for the year ended December 31, 2025. The following discussion is presented on a consolidated basis.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Critical Accounting Policies and Estimates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consolidated financial statements have been prepared in conformity with accounting principles generally accepted in the United States (GAAP), which require us to make estimates, judgments and assumptions that affect the reported amounts of certain assets, liabilities, revenues, expenses and related disclosures and contingencies. We evaluate estimates used in preparation of our financial statements on a continual basis. There have been no significant changes to our critical accounting policies that are described in Item 7. “Management’s Discussion and Analysis of Financial Condition and Results of Operations — Critical Accounting Policies” in our annual report on Form 10-K for the year ended December 31, 2025.</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impairment of intangible assets and impairment of goodwill). Station operating income is generally recognized by the broadcasting industry as a measure of performance, is used by analysts who report on the performance of the broadcasting industry, and it serves as an indicator of the market value of a group of stations. In addition, we use it to evaluate individual stations, market-level performance, overall operations and as a primary measure for incentive-based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 The most directly comparable GAAP measure to station operating income is operating income (loss).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00"/>
        <w:ind w:left="0" w:right="0" w:firstLine="1"/>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a media company primarily engaged in acquiring, developing and operating broadcast properties including opportunities complementary to our core radio business including digital, e-commerce and non-traditional revenue initiatives. We actively seek and explore opportunities for expansion through the acquisition of additional broadcast properties. We review acquisition opportunities on an ongoing basis.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Radio Stations and Complementary Digital Marketing Services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radio stations’ primary source of revenue is from the sale of advertising for broadcast on our stations. Depending on the format of a particular radio station, there are a predetermined number of advertisements available to be broadcast each hour.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Most advertising contracts are short-term and generally run for a few weeks only. The majority of our revenue is generated from local advertising, which is sold primarily by each radio market’s sales staff. For the six months ended June 30, 2026 and 2025, approximately 90% and 90%, respectively, of our radio stations’ gross revenue was from local advertising. To generate national advertising sales, we engage independent advertising sales representative firms that specialize in national sales for each of our broadcast markets.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revenue varies throughout the year. Advertising expenditures, our primary source of revenue, generally have been lowest during the winter months, which include the first quarter of each year. Furthermore, political advertising revenue may fluctuate significantly from period to period and year to year based on election cycles, the timing and competitiveness of races within our markets, and advertiser spending patterns. While gross political revenue was not a significant factor in our results during the first six months of 2026, we expect political advertising to increase in periods that include higher levels of election activity; however, the timing and amount of political revenue is difficult to predict and may vary materially from historical levels. Our gross political revenue for the six months ended June 30, 2026 and 2025 was $725,000 and $321,000, respectively. For the remainder of the year, we have approximately $1.1 million of gross political revenue sold for a total of $1.9 million of gross political revenue sold thus far for the entire year compared to $650,000 for 2025.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net operating revenue, station operating expense and operating income varies from market to market based upon each market’s rank or size which is based upon population and the available radio advertising revenue in that particular market.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broadcasting industry and advertising in general is influenced by the state of the overall economy, including unemployment rates, inflation, energy prices and consumer interest rates. Our stations primarily broadcast in small to midsize markets.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these results based on increased demand for their goods or services and/or actual revenues generated from such demand. Various factors affect the rates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is increasing at a faster rate than our growth in revenues, until such time as we achieve our targeted levels of revenue for the acquired station or group of stations.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adjusting prices based upon local market conditions and ratings. While there may be shifts from time to time in the number of advertisements broadcast during a particular time of day, the total number of advertisements broadcast on a particular station generally does not vary significantly from year to year. Any change in our revenue, with the exception of those instances where stations are acquired or sold, is generally the result of inventory sell-out ratios and pricing adjustments, which are made to ensure that the station efficiently utilizes available inventory.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primary operating expenses involved in owning and operating radio stations are employee salaries and related benefits costs, sales commissions, programming expenses, depreciation, and advertising and promotion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The advertising industry continues to evolve as businesses increasingly utilize multiple media channels to reach consumers. In response to these industry trends, we have expanded the range of advertising solutions offered to our clients to include both broadcast radio advertising and complementary digital marketing services.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We continue to execute Saga’s digital strategy focused on the consumer journey. Our integrated (or “blended”) advertising approach allows advertisers to combine the reach and audience engagement of radio with digital advertising tools that enable more targeted consumer engagement and campaign measurement. These services include paid search advertising, targeted digital display advertising, streaming advertising, social media advertising, online video advertising, website-based advertising, on-line news services and other related digital marketing services.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Paid search advertising campaigns are designed to reach consumers actively searching for products or services. Targeted digital display advertising campaigns are delivered through programmatic advertising platforms and allow advertisers to reach audiences based on geographic location, behavioral attributes, contextual relevance and other targeting parameters. Most of our radio stations are able to be streamed on third party music platforms and our customers advertise between songs played on the streaming service. Additionally, we have online news sites, where advertisers place web banners that link to the client’s website and other e-commerce initiatives. Performance within these digital product categories may vary based on consumer behavior, advertiser demand, and the effectiveness of our sales execution. We consider these categories part of our broader digital strategy to provide advertisers with measurable outcomes across multiple touchpoints in the consumer journey. For the six months ended June 30, 2026 and 2025, approximately 19% and 14%, respectively, of our radio stations’ gross revenue was from digital advertising.</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 xml:space="preserve">Our digital advertising services are supported by a centralized team of digital implementation specialists who work in conjunction with local market personnel to execute and optimize campaigns. Campaign performance is monitored throughout the duration of the advertising schedule and clients are generally provided periodic reports which may include impressions, clicks, website visits, calls generated and other campaign performance indicators. As part of our digital transformation strategy, we focus on a blended approach that combines broadcast radio with complementary digital products, including paid search and targeted digital display, to support the consumer journey. In evaluating progress, we monitor key operating metrics such as (i) growth in paid search and targeted display activity, (ii) the number of advertising accounts that purchase blended campaigns and related client retention, and (iii) changes in local direct advertising activity associated with blended campaigns. These operating metrics are intended to provide insight into our execution and adoption of our blended strategy, and may be influenced by factors such as overall advertising demand, our ability to train and retain personnel, competition, and client budget allocations. </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Our digital advertising services rely on a number of third-party technology platforms and advertising exchanges, including major search, social media and programmatic advertising providers. Changes in the policies, technologies or pricing structures of these platforms could affect the manner in which digital advertising services are delivered.</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We expect the use of integrated advertising strategies combining broadcast and digital media to continue evolving as advertisers seek broader reach, targeted messaging and measurable marketing outcomes.</w:t>
      </w:r>
    </w:p>
    <w:p>
      <w:pPr>
        <w:pStyle w:val="TextBody"/>
        <w:bidi w:val="0"/>
        <w:spacing w:before="280" w:after="200"/>
        <w:ind w:left="0" w:right="0" w:firstLine="360"/>
        <w:jc w:val="left"/>
        <w:rPr>
          <w:rFonts w:ascii="Times New Roman;Times;serif" w:hAnsi="Times New Roman;Times;serif"/>
          <w:sz w:val="20"/>
        </w:rPr>
      </w:pPr>
      <w:r>
        <w:rPr>
          <w:rFonts w:ascii="Times New Roman;Times;serif" w:hAnsi="Times New Roman;Times;serif"/>
          <w:sz w:val="20"/>
        </w:rPr>
        <w:t>We also continue to evaluate opportunities to increase operating efficiencies through technology and automation, including the use of artificial intelligence in certain content and operational workflows, where appropriate, to support efficiency and scalability.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and 2025 and the twelve months ended December 31, 2025 and 2024, our Charleston, South Carolina; Columbus, Ohio; Milwaukee, Wisconsin; Norfolk, Virginia; and Portland, Maine markets, when combined, represented approximately 36%, 35%, 34% and 36%, respectively, of our consolidated net operating revenue. An adverse change in any of these radio markets or our relative market position in those markets could have a significant impact on our operating results as a whole.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describes the percentage of our consolidated net operating revenue represented by each of these markets:</w:t>
      </w:r>
    </w:p>
    <w:tbl>
      <w:tblPr>
        <w:tblW w:w="8527" w:type="dxa"/>
        <w:jc w:val="left"/>
        <w:tblInd w:w="0" w:type="dxa"/>
        <w:tblLayout w:type="fixed"/>
        <w:tblCellMar>
          <w:top w:w="0" w:type="dxa"/>
          <w:left w:w="0" w:type="dxa"/>
          <w:bottom w:w="0" w:type="dxa"/>
          <w:right w:w="0" w:type="dxa"/>
        </w:tblCellMar>
      </w:tblPr>
      <w:tblGrid>
        <w:gridCol w:w="2326"/>
        <w:gridCol w:w="346"/>
        <w:gridCol w:w="899"/>
        <w:gridCol w:w="617"/>
        <w:gridCol w:w="900"/>
        <w:gridCol w:w="361"/>
        <w:gridCol w:w="899"/>
        <w:gridCol w:w="617"/>
        <w:gridCol w:w="900"/>
        <w:gridCol w:w="271"/>
        <w:gridCol w:w="391"/>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77010" cy="175260"/>
                      <wp:effectExtent l="0" t="0" r="0" b="0"/>
                      <wp:wrapNone/>
                      <wp:docPr id="165" name="Frame165"/>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70865" cy="175260"/>
                      <wp:effectExtent l="0" t="0" r="0" b="0"/>
                      <wp:wrapNone/>
                      <wp:docPr id="167" name="Frame167"/>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91795" cy="175260"/>
                      <wp:effectExtent l="0" t="0" r="0" b="0"/>
                      <wp:wrapNone/>
                      <wp:docPr id="168" name="Frame168"/>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71500" cy="175260"/>
                      <wp:effectExtent l="0" t="0" r="0" b="0"/>
                      <wp:wrapNone/>
                      <wp:docPr id="169" name="Frame16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29235" cy="175260"/>
                      <wp:effectExtent l="0" t="0" r="0" b="0"/>
                      <wp:wrapNone/>
                      <wp:docPr id="170" name="Frame1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70865" cy="175260"/>
                      <wp:effectExtent l="0" t="0" r="0" b="0"/>
                      <wp:wrapNone/>
                      <wp:docPr id="171" name="Frame17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91795" cy="175260"/>
                      <wp:effectExtent l="0" t="0" r="0" b="0"/>
                      <wp:wrapNone/>
                      <wp:docPr id="172" name="Frame172"/>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71500" cy="175260"/>
                      <wp:effectExtent l="0" t="0" r="0" b="0"/>
                      <wp:wrapNone/>
                      <wp:docPr id="173" name="Frame17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72085" cy="175260"/>
                      <wp:effectExtent l="0" t="0" r="0" b="0"/>
                      <wp:wrapNone/>
                      <wp:docPr id="174" name="Frame17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48285" cy="175260"/>
                      <wp:effectExtent l="0" t="0" r="0" b="0"/>
                      <wp:wrapNone/>
                      <wp:docPr id="175" name="Frame17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Operating Revenue for</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Operating Revenue</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the Six Months Ended </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617" w:type="dxa"/>
            <w:tcBorders/>
            <w:vAlign w:val="center"/>
          </w:tcPr>
          <w:p>
            <w:pPr>
              <w:pStyle w:val="TableContents"/>
              <w:bidi w:val="0"/>
              <w:spacing w:before="0" w:after="0"/>
              <w:ind w:left="0" w:right="0" w:hanging="0"/>
              <w:jc w:val="left"/>
              <w:rPr/>
            </w:pPr>
            <w:r>
              <w:rPr/>
              <w:t>  ​ ​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left"/>
              <w:rPr/>
            </w:pPr>
            <w:r>
              <w:rPr/>
              <w:t>  ​ ​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17" w:type="dxa"/>
            <w:tcBorders/>
            <w:vAlign w:val="center"/>
          </w:tcPr>
          <w:p>
            <w:pPr>
              <w:pStyle w:val="TableContents"/>
              <w:bidi w:val="0"/>
              <w:spacing w:before="0" w:after="0"/>
              <w:ind w:left="0" w:right="0" w:hanging="0"/>
              <w:jc w:val="left"/>
              <w:rPr/>
            </w:pPr>
            <w:r>
              <w:rPr/>
              <w:t>  ​ ​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27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 ​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  ​ ​ ​</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Charleston, South Carolina</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Columbus, Ohio</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Milwaukee, Wisconsin</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Norfolk, Virginia</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Portland, Maine</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and 2025 and the twelve months ended December 31, 2025 and 2024, the radio stations in our five largest markets, when combined, represented approximately 52%, 44%, 39% and 40%, respectively, of our consolidated station operating income. The following table describes the percentage of our consolidated station operating income represented by each of these markets:</w:t>
      </w:r>
    </w:p>
    <w:tbl>
      <w:tblPr>
        <w:tblW w:w="8781" w:type="dxa"/>
        <w:jc w:val="left"/>
        <w:tblInd w:w="0" w:type="dxa"/>
        <w:tblLayout w:type="fixed"/>
        <w:tblCellMar>
          <w:top w:w="0" w:type="dxa"/>
          <w:left w:w="0" w:type="dxa"/>
          <w:bottom w:w="0" w:type="dxa"/>
          <w:right w:w="0" w:type="dxa"/>
        </w:tblCellMar>
      </w:tblPr>
      <w:tblGrid>
        <w:gridCol w:w="2326"/>
        <w:gridCol w:w="346"/>
        <w:gridCol w:w="954"/>
        <w:gridCol w:w="655"/>
        <w:gridCol w:w="957"/>
        <w:gridCol w:w="361"/>
        <w:gridCol w:w="938"/>
        <w:gridCol w:w="643"/>
        <w:gridCol w:w="939"/>
        <w:gridCol w:w="271"/>
        <w:gridCol w:w="391"/>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77010" cy="175260"/>
                      <wp:effectExtent l="0" t="0" r="0" b="0"/>
                      <wp:wrapNone/>
                      <wp:docPr id="176" name="Frame176"/>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05790" cy="175260"/>
                      <wp:effectExtent l="0" t="0" r="0" b="0"/>
                      <wp:wrapNone/>
                      <wp:docPr id="178" name="Frame178"/>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15925" cy="175260"/>
                      <wp:effectExtent l="0" t="0" r="0" b="0"/>
                      <wp:wrapNone/>
                      <wp:docPr id="179" name="Frame179"/>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07695" cy="175260"/>
                      <wp:effectExtent l="0" t="0" r="0" b="0"/>
                      <wp:wrapNone/>
                      <wp:docPr id="180" name="Frame180"/>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29235" cy="175260"/>
                      <wp:effectExtent l="0" t="0" r="0" b="0"/>
                      <wp:wrapNone/>
                      <wp:docPr id="181" name="Frame18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95630" cy="175260"/>
                      <wp:effectExtent l="0" t="0" r="0" b="0"/>
                      <wp:wrapNone/>
                      <wp:docPr id="182" name="Frame182"/>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08305" cy="175260"/>
                      <wp:effectExtent l="0" t="0" r="0" b="0"/>
                      <wp:wrapNone/>
                      <wp:docPr id="183" name="Frame183"/>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96265" cy="175260"/>
                      <wp:effectExtent l="0" t="0" r="0" b="0"/>
                      <wp:wrapNone/>
                      <wp:docPr id="184" name="Frame184"/>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72085" cy="175260"/>
                      <wp:effectExtent l="0" t="0" r="0" b="0"/>
                      <wp:wrapNone/>
                      <wp:docPr id="185" name="Frame18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48285" cy="175260"/>
                      <wp:effectExtent l="0" t="0" r="0" b="0"/>
                      <wp:wrapNone/>
                      <wp:docPr id="186" name="Frame18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27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Station Operating Income (*)</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Station Operating Income(*)</w:t>
            </w:r>
          </w:p>
        </w:tc>
        <w:tc>
          <w:tcPr>
            <w:tcW w:w="27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Six Months Ended </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w:t>
            </w:r>
          </w:p>
        </w:tc>
        <w:tc>
          <w:tcPr>
            <w:tcW w:w="27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27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655" w:type="dxa"/>
            <w:tcBorders/>
            <w:vAlign w:val="center"/>
          </w:tcPr>
          <w:p>
            <w:pPr>
              <w:pStyle w:val="TableContents"/>
              <w:bidi w:val="0"/>
              <w:spacing w:before="0" w:after="0"/>
              <w:ind w:left="0" w:right="0" w:hanging="0"/>
              <w:jc w:val="left"/>
              <w:rPr/>
            </w:pPr>
            <w:r>
              <w:rPr/>
              <w:t>  ​ ​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left"/>
              <w:rPr/>
            </w:pPr>
            <w:r>
              <w:rPr/>
              <w:t>  ​ ​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43" w:type="dxa"/>
            <w:tcBorders/>
            <w:vAlign w:val="center"/>
          </w:tcPr>
          <w:p>
            <w:pPr>
              <w:pStyle w:val="TableContents"/>
              <w:bidi w:val="0"/>
              <w:spacing w:before="0" w:after="0"/>
              <w:ind w:left="0" w:right="0" w:hanging="0"/>
              <w:jc w:val="left"/>
              <w:rPr/>
            </w:pPr>
            <w:r>
              <w:rPr/>
              <w:t>  ​ ​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27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 ​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w:t>
            </w:r>
          </w:p>
        </w:tc>
        <w:tc>
          <w:tcPr>
            <w:tcW w:w="34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Charleston, South Carolina</w:t>
            </w:r>
          </w:p>
        </w:tc>
        <w:tc>
          <w:tcPr>
            <w:tcW w:w="34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Columbus, Ohio</w:t>
            </w:r>
          </w:p>
        </w:tc>
        <w:tc>
          <w:tcPr>
            <w:tcW w:w="34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Milwaukee, Wisconsin</w:t>
            </w:r>
          </w:p>
        </w:tc>
        <w:tc>
          <w:tcPr>
            <w:tcW w:w="34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Norfolk, Virginia</w:t>
            </w:r>
          </w:p>
        </w:tc>
        <w:tc>
          <w:tcPr>
            <w:tcW w:w="34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pPr>
            <w:r>
              <w:rPr/>
              <w:t>—</w:t>
            </w:r>
          </w:p>
        </w:tc>
        <w:tc>
          <w:tcPr>
            <w:tcW w:w="6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Portland, Maine</w:t>
            </w:r>
          </w:p>
        </w:tc>
        <w:tc>
          <w:tcPr>
            <w:tcW w:w="34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Station operating income is operating income adjusted for corporate general and administrative expenses, depreciation and amortization, other operating (income) expenses, impairment of goodwill and impairment of intangible assets (a non-GAAP measure). Markets may reflect negative percentages when station operating income is negative.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Three Months Ended June 30, 2026 Compared to Three Months Ended June 30, 2025</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June 30, 2026 and 2025.</w:t>
      </w:r>
    </w:p>
    <w:tbl>
      <w:tblPr>
        <w:tblW w:w="8443" w:type="dxa"/>
        <w:jc w:val="left"/>
        <w:tblInd w:w="0" w:type="dxa"/>
        <w:tblLayout w:type="fixed"/>
        <w:tblCellMar>
          <w:top w:w="0" w:type="dxa"/>
          <w:left w:w="0" w:type="dxa"/>
          <w:bottom w:w="0" w:type="dxa"/>
          <w:right w:w="0" w:type="dxa"/>
        </w:tblCellMar>
      </w:tblPr>
      <w:tblGrid>
        <w:gridCol w:w="3136"/>
        <w:gridCol w:w="346"/>
        <w:gridCol w:w="211"/>
        <w:gridCol w:w="691"/>
        <w:gridCol w:w="346"/>
        <w:gridCol w:w="211"/>
        <w:gridCol w:w="676"/>
        <w:gridCol w:w="346"/>
        <w:gridCol w:w="211"/>
        <w:gridCol w:w="691"/>
        <w:gridCol w:w="346"/>
        <w:gridCol w:w="916"/>
        <w:gridCol w:w="316"/>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991360" cy="175260"/>
                      <wp:effectExtent l="0" t="0" r="0" b="0"/>
                      <wp:wrapNone/>
                      <wp:docPr id="187" name="Frame187"/>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8785" cy="175260"/>
                      <wp:effectExtent l="0" t="0" r="0" b="0"/>
                      <wp:wrapNone/>
                      <wp:docPr id="190" name="Frame1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29260" cy="175260"/>
                      <wp:effectExtent l="0" t="0" r="0" b="0"/>
                      <wp:wrapNone/>
                      <wp:docPr id="193" name="Frame1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8785" cy="175260"/>
                      <wp:effectExtent l="0" t="0" r="0" b="0"/>
                      <wp:wrapNone/>
                      <wp:docPr id="196" name="Frame1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81660" cy="175260"/>
                      <wp:effectExtent l="0" t="0" r="0" b="0"/>
                      <wp:wrapNone/>
                      <wp:docPr id="198" name="Frame19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0660" cy="175260"/>
                      <wp:effectExtent l="0" t="0" r="0" b="0"/>
                      <wp:wrapNone/>
                      <wp:docPr id="199" name="Frame19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16" w:type="dxa"/>
            <w:tcBorders/>
            <w:vAlign w:val="center"/>
          </w:tcPr>
          <w:p>
            <w:pPr>
              <w:pStyle w:val="TableContents"/>
              <w:bidi w:val="0"/>
              <w:spacing w:before="0" w:after="0"/>
              <w:ind w:left="0" w:right="0" w:hanging="0"/>
              <w:jc w:val="left"/>
              <w:rPr/>
            </w:pPr>
            <w:r>
              <w:rPr/>
              <w:t> </w:t>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844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4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per share information)</w:t>
            </w:r>
          </w:p>
        </w:tc>
        <w:tc>
          <w:tcPr>
            <w:tcW w:w="316" w:type="dxa"/>
            <w:tcBorders/>
            <w:vAlign w:val="center"/>
          </w:tcPr>
          <w:p>
            <w:pPr>
              <w:pStyle w:val="TableContents"/>
              <w:bidi w:val="0"/>
              <w:spacing w:before="0" w:after="0"/>
              <w:ind w:left="0" w:right="0" w:hanging="0"/>
              <w:jc w:val="left"/>
              <w:rPr/>
            </w:pPr>
            <w:r>
              <w:rPr/>
              <w:t> </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Station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sale of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income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before income tax expense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(benefit) expense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per share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2026, consolidated net operating revenue was $26,402,000 compared with $28,229,000 for the three months ended June 30, 2025, a decrease of $1,827,000 or 6.5%. The decrease in revenue was primarily a result of decreases in gross national revenue of $635,000 and gross local revenue of $2,060,000, partially offset by an increase in political revenue of $400,000 and digital revenue of $700,000, from the second quarter of 2025. The decrease in gross national revenue is primarily due to decreases at our Columbus, Ohio; Milwaukee, Wisconsin, and Norfolk, Virginia markets partially offset by an increase at our Des Moines, Iowa market. The decrease in gross local revenues was attributable to decreases at our Charleston, South Carolina; Milwaukee, Wisconsin, and Ocala, Florida markets partially offset by an increase in our Springfield, Massachusetts market. The gross political revenue increased due to an increase in the number of national, state and local elections. The increase in gross digital revenue is primarily due to an increase in our digital services revenue of $1,041,000, which is comprised of search, display, OTT/CTV campaigns, social media campaigns, best of digital, search engine optimization, and managed email; and an increase in mobile streaming, partially offset by a decline in streaming revenue and online news revenue of $427,000.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Station operating expense was $23,436,000 for the three months ended June 30, 2026, compared with $22,226,000 for the three months ended June 30, 2025, an increase of $1,210,000 or 5.4%. The increase is related to increases in digital service expenses, compensation related expenses and tower lease expenses of $525,000, $300,000 and $309,000, respectively, from the second quarter of 2025. The increases in digital services expenses relates to the cost of digital service products associated with the increase in digital services revenue. For 2026, we expect our compensation expenses to increase approximately $800,000 to cover the investment we are making in our digital fulfillment team and digital campaign managers, of which $210,000 occurred in the second quarter of 2026. We are also investing in local sales managers at several of our markets, which we expense to increase station operating expense approximately $615,000 in 2026, of which $146,000 occurred in the second quarter of 2026. Additionally, as a result of the tower sale-leaseback transaction that occurred in the fourth quarter of 2025, as discussed in Note 13 Sale-leaseback transaction, our tower lease expense has increased. This tower lease expense is non-cash expense and is partially offset by non-cash interest income. We expect our non-cash tower lease expense to be approximately $154,000 per quarter and $615,000 per year. The increase in the second quarter of 2026 is due to the amendments entered into in the second quarter of 2026 to align the previously executed documents with the intended economic substance of the transaction.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had an operating income for the three months ended June 30, 2026 of $623,000 compared to $1,409,000 for the three months ended June 30, 2025, a decrease of $786,000. The decrease in operating income was the result of a decrease in net operating revenue, and an increase in station operating expenses noted above, partially offset by an increase in gain on sale of assets of $1,770,000, a decrease in corporate general and administrative expenses of $398,000 and a decrease in depreciation and amortization of $83,000. The decrease in corporate general and administrative expenses was primarily due to decreases in legal expenses of $194,000, consulting and audit related expenses of $153,000 and additional expenses related to shareholder activism and a potential proxy contest of $89,000 in 2025. The decrease in depreciation and amortization is primarily attributable to a reduction in assets as a result of the tower sales described in Note 13. In the second quarter of 2026, we recorded a gain on sale of fixed assets of $1,517,000 compared to a loss on sale of fixed assets of $253,000 in the second quarter of 2025. As described in Note 12, as part of the Company’s previously disclosed capital allocation plan to sell non-core assets, the Company’s sold a property in Sarasota, Florida and closed on the sale of the final tower in the sale-leaseback transaction described in Note 13.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generated net income of $960,000 ($0.15 per share on a fully diluted basis) during the three months ended June 30, 2026, compared to $1,128,000 ($0.18 per share on a fully diluted basis) for the three months ended June 30, 2025, a decrease of $168,000. The decrease in net income is primarily due to the decrease in operating income, described above partially offset by an increase in interest income of $368,000, and a decrease in income tax expense of $235,000. As a result of the tower sale-leaseback transaction that occurred in the fourth quarter of 2025, as discussed in Note 13 Sale-leaseback transaction, our interest income has increased. This interest income is non-cash and is partially offset by non-cash tower lease expense noted above. We expect our non-cash interest income to be approximately $127,000 per quarter and $508,000 for the entire year of 2026. The increase in the second quarter of 2026 is due to the amendments entered into in the second quarter of 2026 to align the previously executed documents with the intended economic substance of the transaction. The decrease in our income tax expense is due to lower income before income tax expense from the second quarter of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Six Months Ended June 30, 2026 Compared to Six Months Ended June 30, 2025</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six months ended June 30, 2026 and 2025.</w:t>
      </w:r>
    </w:p>
    <w:tbl>
      <w:tblPr>
        <w:tblW w:w="8443" w:type="dxa"/>
        <w:jc w:val="left"/>
        <w:tblInd w:w="0" w:type="dxa"/>
        <w:tblLayout w:type="fixed"/>
        <w:tblCellMar>
          <w:top w:w="0" w:type="dxa"/>
          <w:left w:w="0" w:type="dxa"/>
          <w:bottom w:w="0" w:type="dxa"/>
          <w:right w:w="0" w:type="dxa"/>
        </w:tblCellMar>
      </w:tblPr>
      <w:tblGrid>
        <w:gridCol w:w="3136"/>
        <w:gridCol w:w="346"/>
        <w:gridCol w:w="211"/>
        <w:gridCol w:w="691"/>
        <w:gridCol w:w="346"/>
        <w:gridCol w:w="211"/>
        <w:gridCol w:w="676"/>
        <w:gridCol w:w="346"/>
        <w:gridCol w:w="211"/>
        <w:gridCol w:w="691"/>
        <w:gridCol w:w="346"/>
        <w:gridCol w:w="916"/>
        <w:gridCol w:w="316"/>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991360" cy="175260"/>
                      <wp:effectExtent l="0" t="0" r="0" b="0"/>
                      <wp:wrapNone/>
                      <wp:docPr id="200" name="Frame200"/>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38785" cy="175260"/>
                      <wp:effectExtent l="0" t="0" r="0" b="0"/>
                      <wp:wrapNone/>
                      <wp:docPr id="203" name="Frame2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29260" cy="175260"/>
                      <wp:effectExtent l="0" t="0" r="0" b="0"/>
                      <wp:wrapNone/>
                      <wp:docPr id="206" name="Frame2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38785" cy="175260"/>
                      <wp:effectExtent l="0" t="0" r="0" b="0"/>
                      <wp:wrapNone/>
                      <wp:docPr id="209" name="Frame2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81660" cy="175260"/>
                      <wp:effectExtent l="0" t="0" r="0" b="0"/>
                      <wp:wrapNone/>
                      <wp:docPr id="211" name="Frame21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0660" cy="175260"/>
                      <wp:effectExtent l="0" t="0" r="0" b="0"/>
                      <wp:wrapNone/>
                      <wp:docPr id="212" name="Frame21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16" w:type="dxa"/>
            <w:tcBorders/>
            <w:vAlign w:val="center"/>
          </w:tcPr>
          <w:p>
            <w:pPr>
              <w:pStyle w:val="TableContents"/>
              <w:bidi w:val="0"/>
              <w:spacing w:before="0" w:after="1"/>
              <w:ind w:left="0" w:right="0" w:hanging="0"/>
              <w:jc w:val="left"/>
              <w:rPr/>
            </w:pPr>
            <w:r>
              <w:rPr/>
              <w:t> </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1"/>
              <w:ind w:left="0" w:right="0" w:hanging="0"/>
              <w:jc w:val="left"/>
              <w:rPr/>
            </w:pPr>
            <w:r>
              <w:rPr/>
              <w:t> </w:t>
            </w:r>
          </w:p>
        </w:tc>
      </w:tr>
      <w:tr>
        <w:trPr/>
        <w:tc>
          <w:tcPr>
            <w:tcW w:w="844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45"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per share information)</w:t>
            </w:r>
          </w:p>
        </w:tc>
        <w:tc>
          <w:tcPr>
            <w:tcW w:w="316" w:type="dxa"/>
            <w:tcBorders/>
            <w:vAlign w:val="center"/>
          </w:tcPr>
          <w:p>
            <w:pPr>
              <w:pStyle w:val="TableContents"/>
              <w:bidi w:val="0"/>
              <w:spacing w:before="0" w:after="1"/>
              <w:ind w:left="0" w:right="0" w:hanging="0"/>
              <w:jc w:val="left"/>
              <w:rPr/>
            </w:pPr>
            <w:r>
              <w:rPr/>
              <w:t> </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(3,172)</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Station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sale of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(1,857)</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Loss before income tax expense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(benefit) expense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Deferred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share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36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For the six months ended June 30, 2026, consolidated net operating revenue was $49,269,000 compared with $52,441,000 for the six months ended June 30, 2025, a decrease of $3,172,000 or 6.0%. The decrease in revenue was primarily a result of decreases in gross national revenue of $882,000, gross local revenue of $3,777,000 and non-spot revenue of $432,000, partially offset by an increase in gross digital revenue of $1,579,000 and a decrease in agency commissions of $415,000, from 2025. The decrease in gross national revenue is primarily due to decreases at our Columbus, Ohio; Norfolk, Virginia and Milwaukee, Wisconsin markets partially offset by an increase at our Jonesboro, Arkansas market. The decrease in gross local revenues was attributable to decreases at our Charleston, South Carolina; Des Moines, Iowa; Milwaukee, Wisconsin and Ocala, Florida markets partially offset by an increase at our Springfield, Massachusetts market. The decrease in non-spot revenue is due to decreases at our Charleston, South Carolina and Ithaca, New York markets. The increase in gross digital revenue is primarily due to an increase in our digital services revenue of $2,118,000, which is comprised of display, search, OTT/CTV campaigns, social media campaigns, best of digital, search engine optimization, and managed email; and an increase in mobile streaming, partially offset by a decline in streaming revenue and online news revenue of $718,000. The decrease in agency commissions is due to the decrease in national and local agency revenue.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Station operating expense was $45,448,000 for the six months ended June 30, 2026, compared with $44,189,000 for the six months ended June 30, 2025, an increase of $1,259,000 or 2.8%. The increase is related to increases in digital service expenses, tower lease expenses, legal expenses and utilities of $1,048,000, $303,000, $157,000 and $112,000, respectively, from 2025. The increases in digital services expenses relates to the cost of digital service products associated with the increase in digital services revenue. Additionally, as a result of the tower sale-leaseback transaction that occurred in the fourth quarter of 2025, as discussed in Note 13 Sale-leaseback transaction, our tower lease expense has increased. This tower lease expense is non-cash expense and is partially offset by non-cash interest income. We expect our non-cash tower lease expense to be approximately $154,000 per quarter and $615,000 per year. The increase in 2026 is due to the amendments entered into in the second quarter of 2026 to align the previously executed documents with the intended economic substance of the transaction.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had an operating loss for the six months ended June 30, 2026, of $2,639,000 compared to $889,000 for the six months ended June 30, 2025, a decrease of $1,750,000. The decrease in operating income was the result of a decrease in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net operating revenue, and an increase in station operating expenses noted above, partially offset by a decrease in corporate general and administrative expenses of $588,000, a decrease in depreciation and amortization of $235,000, and an increase in the gain on sale of assets of $1,857,000. The decrease in corporate general and administrative expenses was primarily due to decreases in legal expenses of $199,000, consulting and audit related expenses of $187,000, travel expenses of $109,000 and additional expenses related to shareholder activism and a potential proxy contest of $199,000, partially offset by an increase in compensation related expenses of $93,000 in 2025. The decrease in depreciation and amortization is primarily attributable to a reduction in assets as a result of the tower sales described in Note 13. In 2026, we recorded a gain on sale of fixed assets of $1,550,000 compared to a loss on sale of fixed assets of $307,000 in 2025. As described in Note 12, as part of the Company’s previously disclosed capital allocation plan to sell non-core assets, the Company sold a property in Sarasota, Florida, another property in Springfield, Massachusetts and closed on the sale of the final tower in the sale-leaseback transaction described in Note 13.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generated a net loss of $1,434,000 ($ (0.23) per share on a fully diluted basis) during the six months ended June 30, 2026, compared to $447,000 ($ (0.07) per share on a fully diluted basis) for the six months ended June 30, 2025, a decrease of $987,000. The decrease in net income is primarily due to the decrease in operating income, described above and an increase in income tax benefit of $320,000 partially offset by a decrease in interest expense of $32,000 and an increase in interest income of $380,000. As a result of the tower sale-leaseback transaction that occurred in the fourth quarter of 2025, as discussed in Note 13 Sale-leaseback transaction, our interest income has increased. This interest income is non-cash and is partially offset by non-cash tower lease expense noted above. We expect our non-cash interest income to be approximately $127,000 per quarter and $508,000 for the entire year of 2026. The increase in 2026 is due to the amendments entered into in the second quarter of 2026 to align the previously executed documents with the intended economic substance of the transaction. The increase in our income tax benefit was primarily due to a higher loss before income tax benefit for the comparable period.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Debt Arrangements and Debt Service Requirements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Sale Leaseback Transaction described in note 13 to the accompanying consolidated financial statements, the Company entered into a Fourth Amendment (“Fourth Amendment”) to its Credit Agreement, dated as of August 18, 2015 and amended on September 1, 2017, June 17, 2018, and December 19, 2022, between the Company, JPMorgan Chase Bank, N.A. and The Huntington National Bank (collectively, the “Lenders”), and JPMorgan Chase Bank, N.A., in its capacity as Administrative Agent for the Lenders (“Agent”), (i) reducing the aggregate amount of the Lender’s revolving commitments from $50,000,000 to $40,000,000, and (ii) releasing the Agent’s security interest in the GTC Assets, but not any proceeds paid for the GTC Assets or any other collateral (the borrowing arrangement governed by the Credit Agreement). Previously, on December 19, 2022, we entered into a Third Amendment to our Credit Agreement, (the “Third Amendment”), which extended the maturity date to December 19, 2027, reduced the lenders to JPMorgan Chase Bank, N.A., and the Huntington National Bank (collectively, the “Lenders”), established an interest rate equal to the secured overnight financing rate (“SOFR”) as administered by the SOFR Administrator (currently established as the Federal Reserve Bank of New York) as the interest base, and increased the basis points.</w:t>
      </w:r>
    </w:p>
    <w:p>
      <w:pPr>
        <w:pStyle w:val="TextBody"/>
        <w:bidi w:val="0"/>
        <w:spacing w:before="0" w:after="20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had $5.0 million of borrowings outstanding under the Credit Agreement at both June 30, 2026 and December 31, 2025, which borrowings were incurred in connection with our Lafayette acquisition. As of June 30, 2026, we also had approximately $35.0 million of unused borrowing capacity under the Credit Agreement. However, as of June 30, 2026, we were not in compliance with the Credit Agreement’s minimum fixed charge coverage ratio covenant.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Subsequent to June 30, 2026, after evaluating our cash position, short-term investments, expected operating cash flows and anticipated liquidity needs, we determined to repay all outstanding borrowings under the Credit Agreement and terminate the facility. On August 6, 2026, we repaid the outstanding $5.0 million principal balance, together with all accrued and unpaid interest and other amounts payable in connection therewith. On August 11, 2026, we terminated the Credit Agreement. The Credit Agreement contained a number of financial covenants which, among other things, require us to maintain specified financial ratios and impose certain limitations on us with respect to investments, additional indebtedness, dividends, distributions, guarantees, liens and encumbrances. Following such termination, we no longer have borrowing availability under the Credit Agreement.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Sources and Uses of Cash</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2026 and 2025, we had net cash used in operating activities of $1,277,000 and net cash provided by operating activities of $2,119,000, respectively. The change in cash from operating activities is primarily due to the increase in the net loss, increase in gain on sale of assets and the change in operating lease assets and liabilities. We believe that our existing cash and cash equivalents, short-term investments and cash flow from operations will be sufficient to fund our current operating requirements, anticipated capital expenditures and dividend payments for at least the next twelve months. However, the termination of the Credit Agreement reduces our available sources of committed liquidity, and any future acquisitions, share repurchases, special dividends or other capital allocation initiatives may require cash on hand, cash generated from operations, proceeds from asset sales or new debt or equity financing, which may not be available on acceptable terms, or at all.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March 2013, our Board of Directors authorized an increase to our Stock Buy-Back Program (the “Buy Back Program”) to allow us to purchase up to $75.8 million of our Class A Common Stock. From its inception in 1998 through June 30, 2026, we have repurchased 2.4 million shares of our Class A Common Stock for $60.6 million. During the six months ended June 30, 2026, approximately 1,067 shares were retained for payment of withholding taxes for approximately $13,000 related to the vesting of restricted stock. We continue to monitor economic conditions to determine if and when it makes sense to make additional buybacks under our plan.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capital expenditures, exclusive of acquisitions, for the six months ended June 30, 2026 were $2,041,000 ($2,010,000 for the six months ended June 30, 2025). We anticipate capital expenditures in 2026 to be approximately $3.0 million to $3.5 million, which we expect to finance through funds generated from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first quarter of 2026, as part of the Company’s previously disclosed capital allocation plan to sell non-core assets, the Company sold a property in Springfield, Massachusetts for approximately $460,000. As a result of the sale, the Company recorded a gain of approximately $80,000, which is recorded in other operating (income) expense, net in the Company’s Condensed Consolidated Statement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second quarter of 2026, as part of the Company’s previously disclosed capital allocation plan to sell non-core assets, the Company sold a property in Sarasota, Florida for approximately $1.7 million. As a result of the sale, the Company recorded a gain of approximately $1.1 million, which is recorded in other operating (income) expense net in the Company’s Condensed Consolidated Statement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2026, the Company’s Board of Directors have declared two quarterly cash dividends on its Class A Common Stock. These dividends totaling $0.50 per share and approximately $3.2 million were paid as of June 30, 2026.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2025, the Company’s Board of Directors declared two quarterly cash dividends on its Class A Common Stock. These dividends totaling $0.50 per share and approximately $3.2 million were paid during 2025.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Summary Disclosures About Contractual Obligations and Commercial Commitments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future cash obligations under various types of contracts, including the terms of our operating leases, programming contracts, employment agreements, and other operating contracts. For additional information concerning our future cash obligations see “Item 7. Management’s Discussion and Analysis of Financial Condition and Results of Operation — Summary Disclosures About Contractual Obligations” in our annual report on Form 10-K for the year ended December 31, 2025.</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anticipate that our contractual cash obligations will be financed through cash on hand, short-term investments, funds generated from operations, proceeds from asset sales, future financing arrangements, if available, or a combination thereof.</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Recent accounting pronouncements are described in Note 2 to the accompanying financial statements.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impact of inflation on our operations has not been significant to date. We are, however, starting to see the effects of higher inflation starting to impact costs of most goods and services. There can be no assurance that a high rate of inflation in the future would not have an adverse effect on our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bookmarkStart w:id="754" w:name="Item3QuantitativeandQualitativeDisclosur"/>
      <w:bookmarkStart w:id="755" w:name="_6e2dfc8b_7844_43f8_9e23_caf623370fa8"/>
      <w:bookmarkEnd w:id="754"/>
      <w:bookmarkEnd w:id="755"/>
      <w:r>
        <w:rPr>
          <w:rFonts w:ascii="Times New Roman;Times;serif" w:hAnsi="Times New Roman;Times;serif"/>
          <w:b/>
          <w:i/>
          <w:sz w:val="20"/>
        </w:rPr>
        <w:t>Item 3. Quantitative and Qualitative Disclosures about Market Risk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Refer to “Item 7A. Quantitative and Qualitative Disclosures About Market Risk” and “Item 7. Management’s Discussion and Analysis of Financial Condition and Results of Operations — Market Risk and Risk Management Policies” in our annual report on Form 10-K for the year ended December 31, 2025 for a complete discussion of our market risk. There have been no material changes to the market risk information included in our 2025 annual report on Form 10-K.</w:t>
      </w:r>
    </w:p>
    <w:p>
      <w:pPr>
        <w:pStyle w:val="TextBody"/>
        <w:bidi w:val="0"/>
        <w:spacing w:before="0" w:after="200"/>
        <w:ind w:left="0" w:right="0" w:hanging="0"/>
        <w:jc w:val="left"/>
        <w:rPr>
          <w:rFonts w:ascii="Times New Roman;Times;serif" w:hAnsi="Times New Roman;Times;serif"/>
          <w:b/>
          <w:i/>
          <w:sz w:val="20"/>
        </w:rPr>
      </w:pPr>
      <w:bookmarkStart w:id="756" w:name="Item4ControlsandProcedures_643394"/>
      <w:bookmarkStart w:id="757" w:name="_bf9b8b8b_1499_4ac5_96e9_e10fdbbffaa2"/>
      <w:bookmarkEnd w:id="756"/>
      <w:bookmarkEnd w:id="757"/>
      <w:r>
        <w:rPr>
          <w:rFonts w:ascii="Times New Roman;Times;serif" w:hAnsi="Times New Roman;Times;serif"/>
          <w:b/>
          <w:i/>
          <w:sz w:val="20"/>
        </w:rPr>
        <w:t>Item 4. Controls and Procedures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of the end of the period covered by this report, the Company carried out an evaluation, under the supervision and with the participation of the Company’s management, including our Chief Executive Officer and Chief Financial Officer, of the effectiveness of the design and operation of the Company’s disclosure controls and procedures pursuant to Rule 13a-15 of the Securities Exchange Act of 1934. Based upon that evaluation, the Company’s Chief Executive Officer and Chief Financial Officer concluded that the Company’s disclosure controls and procedures are effective to cause the material information required to be disclosed by the Company in the reports that it files or submits under the Securities Exchange Act of 1934 to be recorded, processed, summarized and reported within the time periods specified in the Security and Exchange Commission’s rules and forms. There have been no changes in the Company’s internal controls over financial reporting during the quarter ended June 30, 2026, that have materially affected, or are reasonably likely to materially affect, the Company’s internal controls over financial reporting. </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758" w:name="PARTIIOTHERINFORMATION_865863"/>
      <w:bookmarkEnd w:id="758"/>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i/>
          <w:sz w:val="20"/>
        </w:rPr>
      </w:pPr>
      <w:bookmarkStart w:id="759" w:name="Item1LegalProceedings_143738"/>
      <w:bookmarkStart w:id="760" w:name="_dc3fc914_3f21_4534_91b0_d7a7b1b4e40e"/>
      <w:bookmarkEnd w:id="759"/>
      <w:bookmarkEnd w:id="760"/>
      <w:r>
        <w:rPr>
          <w:rFonts w:ascii="Times New Roman;Times;serif" w:hAnsi="Times New Roman;Times;serif"/>
          <w:b/>
          <w:i/>
          <w:sz w:val="20"/>
        </w:rPr>
        <w:t>Item 1. Legal Proceedings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pStyle w:val="TextBody"/>
        <w:bidi w:val="0"/>
        <w:spacing w:before="0" w:after="200"/>
        <w:ind w:left="0" w:right="0" w:hanging="0"/>
        <w:jc w:val="left"/>
        <w:rPr>
          <w:rFonts w:ascii="Times New Roman;Times;serif" w:hAnsi="Times New Roman;Times;serif"/>
          <w:b/>
          <w:i/>
          <w:sz w:val="20"/>
        </w:rPr>
      </w:pPr>
      <w:bookmarkStart w:id="761" w:name="Item1ARiskFactors"/>
      <w:bookmarkStart w:id="762" w:name="_9a9c27fb_3219_4cb8_879b_31dece039bef"/>
      <w:bookmarkEnd w:id="761"/>
      <w:bookmarkEnd w:id="762"/>
      <w:r>
        <w:rPr>
          <w:rFonts w:ascii="Times New Roman;Times;serif" w:hAnsi="Times New Roman;Times;serif"/>
          <w:b/>
          <w:i/>
          <w:sz w:val="20"/>
        </w:rPr>
        <w:t>Item 1A. Risk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Except as described below, there have been no material changes to the risk factors previously disclosed in response to Part 1, “Item 1A. Risk Factors,” of our annual report on Form 10-K for the year ended December 31, 2025 and subsequently updated in our Quarterly Report on Form 10-Q for the quarter ended March 31, 2026..</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The termination of our Credit Agreement reduces our committed borrowing capacity and may limit our financial flexibility.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August 6, 2026, we repaid all outstanding borrowings under our Credit Agreement, and on August 11, 2026, we terminated the Credit Agreement. As a result, we no longer have borrowing availability under that facility. Although we believe our existing cash and cash equivalents, short-term investments and cash flow from operations will be sufficient to fund our current operating requirements, anticipated capital expenditures and dividend payments for at least the next twelve months, the absence of a committed revolving credit facility may reduce our financial flexibility.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particular, we may have less flexibility to fund acquisitions, special dividends, share repurchases, investments in digital initiatives, capital expenditures or other strategic opportunities without using cash on hand, generating additional cash from operations, selling assets or obtaining new debt or equity financing. Any new financing may not be available on terms acceptable to us, or at all, and could be subject to restrictive covenants, higher costs of capital or other terms that could adversely affect our business, financial condition and results of operations.</w:t>
      </w:r>
    </w:p>
    <w:p>
      <w:pPr>
        <w:pStyle w:val="TextBody"/>
        <w:bidi w:val="0"/>
        <w:spacing w:before="0" w:after="200"/>
        <w:ind w:left="0" w:right="0" w:firstLine="36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763" w:name="Item2UnregisteredSalesofEquitySecurities"/>
      <w:bookmarkStart w:id="764" w:name="_251c3514_4c34_4aaa_9db9_789d6948fe6a"/>
      <w:bookmarkEnd w:id="763"/>
      <w:bookmarkEnd w:id="764"/>
      <w:r>
        <w:rPr>
          <w:rFonts w:ascii="Times New Roman;Times;serif" w:hAnsi="Times New Roman;Times;serif"/>
          <w:b/>
          <w:i/>
          <w:sz w:val="20"/>
        </w:rPr>
        <w:t>Item 2. Unregistered Sales of Equity Securities and Use of Proceeds</w:t>
      </w:r>
    </w:p>
    <w:p>
      <w:pPr>
        <w:pStyle w:val="TextBody"/>
        <w:bidi w:val="0"/>
        <w:spacing w:before="0" w:after="20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made no unregistered sales of equity securities during the quarter ended June 30, 2026.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repurchases of our Class A Common Stock during the three months ended June 30, 2026.</w:t>
      </w:r>
    </w:p>
    <w:tbl>
      <w:tblPr>
        <w:tblW w:w="8438" w:type="dxa"/>
        <w:jc w:val="left"/>
        <w:tblInd w:w="0" w:type="dxa"/>
        <w:tblLayout w:type="fixed"/>
        <w:tblCellMar>
          <w:top w:w="0" w:type="dxa"/>
          <w:left w:w="0" w:type="dxa"/>
          <w:bottom w:w="0" w:type="dxa"/>
          <w:right w:w="0" w:type="dxa"/>
        </w:tblCellMar>
      </w:tblPr>
      <w:tblGrid>
        <w:gridCol w:w="2026"/>
        <w:gridCol w:w="346"/>
        <w:gridCol w:w="1411"/>
        <w:gridCol w:w="346"/>
        <w:gridCol w:w="312"/>
        <w:gridCol w:w="514"/>
        <w:gridCol w:w="346"/>
        <w:gridCol w:w="1306"/>
        <w:gridCol w:w="346"/>
        <w:gridCol w:w="231"/>
        <w:gridCol w:w="1254"/>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286510" cy="175260"/>
                      <wp:effectExtent l="0" t="0" r="0" b="0"/>
                      <wp:wrapNone/>
                      <wp:docPr id="213" name="Frame213"/>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895985" cy="175260"/>
                      <wp:effectExtent l="0" t="0" r="0" b="0"/>
                      <wp:wrapNone/>
                      <wp:docPr id="215" name="Frame21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98120" cy="175260"/>
                      <wp:effectExtent l="0" t="0" r="0" b="0"/>
                      <wp:wrapNone/>
                      <wp:docPr id="217" name="Frame217"/>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26390" cy="175260"/>
                      <wp:effectExtent l="0" t="0" r="0" b="0"/>
                      <wp:wrapNone/>
                      <wp:docPr id="218" name="Frame218"/>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829310" cy="175260"/>
                      <wp:effectExtent l="0" t="0" r="0" b="0"/>
                      <wp:wrapNone/>
                      <wp:docPr id="220" name="Frame22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6685" cy="175260"/>
                      <wp:effectExtent l="0" t="0" r="0" b="0"/>
                      <wp:wrapNone/>
                      <wp:docPr id="222" name="Frame22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96290" cy="175260"/>
                      <wp:effectExtent l="0" t="0" r="0" b="0"/>
                      <wp:wrapNone/>
                      <wp:docPr id="223" name="Frame223"/>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r>
          </w:p>
        </w:tc>
        <w:tc>
          <w:tcPr>
            <w:tcW w:w="34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Approximate</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w:t>
            </w:r>
          </w:p>
        </w:tc>
        <w:tc>
          <w:tcPr>
            <w:tcW w:w="34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4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 of</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c>
          <w:tcPr>
            <w:tcW w:w="34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Part of</w:t>
            </w:r>
          </w:p>
        </w:tc>
        <w:tc>
          <w:tcPr>
            <w:tcW w:w="34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that May Yet be</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Publicly</w:t>
            </w:r>
          </w:p>
        </w:tc>
        <w:tc>
          <w:tcPr>
            <w:tcW w:w="34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Shares</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 per</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Announced</w:t>
            </w:r>
          </w:p>
        </w:tc>
        <w:tc>
          <w:tcPr>
            <w:tcW w:w="34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Period</w:t>
            </w:r>
          </w:p>
        </w:tc>
        <w:tc>
          <w:tcPr>
            <w:tcW w:w="346" w:type="dxa"/>
            <w:tcBorders/>
            <w:vAlign w:val="center"/>
          </w:tcPr>
          <w:p>
            <w:pPr>
              <w:pStyle w:val="TableContents"/>
              <w:bidi w:val="0"/>
              <w:spacing w:before="0" w:after="0"/>
              <w:ind w:left="0" w:right="0" w:hanging="0"/>
              <w:jc w:val="left"/>
              <w:rPr/>
            </w:pPr>
            <w:r>
              <w:rPr/>
              <w:t>  ​ ​ ​</w:t>
            </w:r>
          </w:p>
        </w:tc>
        <w:tc>
          <w:tcPr>
            <w:tcW w:w="141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 xml:space="preserve">Purchased </w:t>
            </w:r>
            <w:r>
              <w:rPr>
                <w:rFonts w:ascii="Times New Roman;Times;serif" w:hAnsi="Times New Roman;Times;serif"/>
                <w:b/>
                <w:sz w:val="15"/>
              </w:rPr>
              <w:t>(1) (3)</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 xml:space="preserve">Share </w:t>
            </w:r>
            <w:r>
              <w:rPr>
                <w:rFonts w:ascii="Times New Roman;Times;serif" w:hAnsi="Times New Roman;Times;serif"/>
                <w:b/>
                <w:sz w:val="15"/>
              </w:rPr>
              <w:t>(2)</w:t>
            </w:r>
          </w:p>
        </w:tc>
        <w:tc>
          <w:tcPr>
            <w:tcW w:w="346" w:type="dxa"/>
            <w:tcBorders/>
            <w:vAlign w:val="center"/>
          </w:tcPr>
          <w:p>
            <w:pPr>
              <w:pStyle w:val="TableContents"/>
              <w:bidi w:val="0"/>
              <w:spacing w:before="0" w:after="0"/>
              <w:ind w:left="0" w:right="0" w:hanging="0"/>
              <w:jc w:val="left"/>
              <w:rPr/>
            </w:pPr>
            <w:r>
              <w:rPr/>
              <w:t>  ​ ​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Program</w:t>
            </w:r>
          </w:p>
        </w:tc>
        <w:tc>
          <w:tcPr>
            <w:tcW w:w="346" w:type="dxa"/>
            <w:tcBorders/>
            <w:vAlign w:val="center"/>
          </w:tcPr>
          <w:p>
            <w:pPr>
              <w:pStyle w:val="TableContents"/>
              <w:bidi w:val="0"/>
              <w:spacing w:before="0" w:after="0"/>
              <w:ind w:left="0" w:right="0" w:hanging="0"/>
              <w:jc w:val="left"/>
              <w:rPr/>
            </w:pPr>
            <w:r>
              <w:rPr/>
              <w:t>  ​ ​ ​</w:t>
            </w:r>
          </w:p>
        </w:tc>
        <w:tc>
          <w:tcPr>
            <w:tcW w:w="148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 xml:space="preserve">Program </w:t>
            </w:r>
            <w:r>
              <w:rPr>
                <w:rFonts w:ascii="Times New Roman;Times;serif" w:hAnsi="Times New Roman;Times;serif"/>
                <w:b/>
                <w:sz w:val="15"/>
              </w:rPr>
              <w:t>(3)</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April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15,140,474</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May 31, 2026</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15,140,474</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15,140,474</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14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15,140,474</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we may repurchase shares of our Class A Common Stock pursuant to our publicly announced share repurchase program through open market purchases, privately negotiated transactions, or pursuant to a trading plan adopted under Rule 10b5-1 under the Exchange Act. </w:t>
            </w:r>
          </w:p>
        </w:tc>
      </w:tr>
    </w:tbl>
    <w:tbl>
      <w:tblPr>
        <w:tblW w:w="10205" w:type="dxa"/>
        <w:jc w:val="left"/>
        <w:tblInd w:w="0" w:type="dxa"/>
        <w:tblLayout w:type="fixed"/>
        <w:tblCellMar>
          <w:top w:w="28" w:type="dxa"/>
          <w:left w:w="28" w:type="dxa"/>
          <w:bottom w:w="28" w:type="dxa"/>
          <w:right w:w="28" w:type="dxa"/>
        </w:tblCellMar>
      </w:tblPr>
      <w:tblGrid>
        <w:gridCol w:w="124"/>
        <w:gridCol w:w="297"/>
        <w:gridCol w:w="97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average price paid per share, as applicable, reflects (i) the amount privately negotiated and (ii) the fair market value of our Class A Common Stock on the applicable vesting or settlement date for purposes of satisfying tax withholding obligations. </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1998, we established a share repurchase program allowing us to purchase Class A Common Stock. In March 2013, our Board of Directors authorized an amendment to our share repurchase program increasing the amount authorized from $60 million to approximately $75.8 million in common stock.</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bookmarkStart w:id="765" w:name="Item_5_Other"/>
      <w:bookmarkStart w:id="766" w:name="_49deccde_e3d8_403a_aaed_e97d58ff4391"/>
      <w:bookmarkEnd w:id="765"/>
      <w:bookmarkEnd w:id="766"/>
      <w:r>
        <w:rPr>
          <w:rFonts w:ascii="Times New Roman;Times;serif" w:hAnsi="Times New Roman;Times;serif"/>
          <w:b/>
          <w:i/>
          <w:sz w:val="20"/>
        </w:rPr>
        <w:t>Item 5. Other Information</w:t>
      </w:r>
    </w:p>
    <w:tbl>
      <w:tblPr>
        <w:tblW w:w="3336" w:type="dxa"/>
        <w:jc w:val="left"/>
        <w:tblInd w:w="0" w:type="dxa"/>
        <w:tblLayout w:type="fixed"/>
        <w:tblCellMar>
          <w:top w:w="28" w:type="dxa"/>
          <w:left w:w="28" w:type="dxa"/>
          <w:bottom w:w="28" w:type="dxa"/>
          <w:right w:w="28" w:type="dxa"/>
        </w:tblCellMar>
      </w:tblPr>
      <w:tblGrid>
        <w:gridCol w:w="124"/>
        <w:gridCol w:w="31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Credit Agreement.</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August 11, 2026, the Company terminated its Credit Agreement, dated as of August 18, 2015, as amended by that certain First Amendment, dated September 1, 2017, that certain Second Amendment, dated June 17, 2018, that certain Third Amendment, dated December 19, 2022, and that certain Fourth Amendment, dated October 17, 2025, among the Company, JPMorgan Chase Bank, N.A., as administrative agent, and the lenders party thereto (as amended, the “Credit Agreement”).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Prior to termination, the Credit Agreement provided for a revolving credit facility with aggregate commitments of $40.0 million. As of June 30, 2026, the Company had $5.0 million of borrowings outstanding under the Credit Agreement, which borrowings were incurred in connection with the Company’s Lafayette acquisition, and approximately $35.0 million of unused borrowing capacity. As of June 30, 2026, the Company was not in compliance with the Credit Agreement’s minimum fixed charge coverage ratio covenant.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After evaluating its cash position, short-term investments, expected operating cash flows and anticipated liquidity needs, the Company determined to repay all outstanding borrowings under the Credit Agreement and terminate the facility. On August 6, 2026, the Company repaid the outstanding $5.0 million principal balance under the Credit Agreement, together with all accrued and unpaid interest and other amounts payable in connection therewith. On August 11, 2026, the Company terminated the Credit Agreement. Following such termination, the Company no longer has borrowing availability under the Credit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did not incur any material early termination penalties in connection with the termination of the Credit Agreement. The foregoing description of the Credit Agreement does not purport to be complete and is qualified in its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entirety by reference to the Credit Agreement and amendments thereto, including the Fourth Amendment previously filed by the Company with the Securities and Exchange Commission. </w:t>
      </w:r>
    </w:p>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 ) None of the Company’s directors or executive officers adopted, modified or terminated a Rule 10b5-1 trading arrangement or a non-Rule 10b5-1 trading arrangement, as defined in Item 408 of Regulation S-K, during the Company’s fiscal quarter ended June 30, 2026.</w:t>
      </w:r>
    </w:p>
    <w:p>
      <w:pPr>
        <w:pStyle w:val="TextBody"/>
        <w:bidi w:val="0"/>
        <w:spacing w:before="0" w:after="200"/>
        <w:ind w:left="0" w:right="0" w:hanging="0"/>
        <w:jc w:val="left"/>
        <w:rPr>
          <w:rFonts w:ascii="Times New Roman;Times;serif" w:hAnsi="Times New Roman;Times;serif"/>
          <w:b/>
          <w:i/>
          <w:sz w:val="20"/>
        </w:rPr>
      </w:pPr>
      <w:bookmarkStart w:id="767" w:name="Item6Exhibits_526642"/>
      <w:bookmarkStart w:id="768" w:name="_2e18841b_12d6_4d2f_bf71_afcbc702c04c"/>
      <w:bookmarkEnd w:id="767"/>
      <w:bookmarkEnd w:id="768"/>
      <w:r>
        <w:rPr>
          <w:rFonts w:ascii="Times New Roman;Times;serif" w:hAnsi="Times New Roman;Times;serif"/>
          <w:b/>
          <w:i/>
          <w:sz w:val="20"/>
        </w:rPr>
        <w:t>Item 6. Exhibits</w:t>
      </w:r>
    </w:p>
    <w:tbl>
      <w:tblPr>
        <w:tblW w:w="10205" w:type="dxa"/>
        <w:jc w:val="left"/>
        <w:tblInd w:w="0" w:type="dxa"/>
        <w:tblLayout w:type="fixed"/>
        <w:tblCellMar>
          <w:top w:w="0" w:type="dxa"/>
          <w:left w:w="0" w:type="dxa"/>
          <w:bottom w:w="0" w:type="dxa"/>
          <w:right w:w="0" w:type="dxa"/>
        </w:tblCellMar>
      </w:tblPr>
      <w:tblGrid>
        <w:gridCol w:w="865"/>
        <w:gridCol w:w="841"/>
        <w:gridCol w:w="8344"/>
        <w:gridCol w:w="155"/>
      </w:tblGrid>
      <w:tr>
        <w:trPr/>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34035" cy="29210"/>
                      <wp:effectExtent l="0" t="0" r="0" b="0"/>
                      <wp:wrapNone/>
                      <wp:docPr id="224" name="Frame224"/>
                      <a:graphic xmlns:a="http://schemas.openxmlformats.org/drawingml/2006/main">
                        <a:graphicData uri="http://schemas.microsoft.com/office/word/2010/wordprocessingShape">
                          <wps:wsp>
                            <wps:cNvSpPr txBox="1"/>
                            <wps:spPr>
                              <a:xfrm>
                                <a:off x="0" y="0"/>
                                <a:ext cx="534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344"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34035" cy="175260"/>
                      <wp:effectExtent l="0" t="0" r="0" b="0"/>
                      <wp:wrapNone/>
                      <wp:docPr id="225" name="Frame2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34035" cy="175260"/>
                      <wp:effectExtent l="0" t="0" r="0" b="0"/>
                      <wp:wrapNone/>
                      <wp:docPr id="226" name="Frame22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34035" cy="175260"/>
                      <wp:effectExtent l="0" t="0" r="0" b="0"/>
                      <wp:wrapNone/>
                      <wp:docPr id="227" name="Frame22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No.</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w: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hyperlink w:anchor="sga-20260630xex31d1.htm">
              <w:r>
                <w:rPr>
                  <w:rStyle w:val="InternetLink"/>
                  <w:rFonts w:ascii="Times New Roman;Times;serif" w:hAnsi="Times New Roman;Times;serif"/>
                  <w:b w:val="false"/>
                  <w:i w:val="false"/>
                  <w:caps w:val="false"/>
                  <w:smallCaps w:val="false"/>
                  <w:sz w:val="20"/>
                </w:rPr>
                <w:t>31.1</w:t>
              </w:r>
            </w:hyperlink>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pPr>
            <w:hyperlink w:anchor="sga-20260630xex31d1.htm">
              <w:r>
                <w:rPr>
                  <w:rStyle w:val="InternetLink"/>
                  <w:rFonts w:ascii="Times New Roman;Times;serif" w:hAnsi="Times New Roman;Times;serif"/>
                  <w:b w:val="false"/>
                  <w:i w:val="false"/>
                  <w:caps w:val="false"/>
                  <w:smallCaps w:val="false"/>
                  <w:sz w:val="20"/>
                </w:rPr>
                <w:t>Certification of Chief Executive Officer Pursuant to Rule 13a-14(a) and Rule 15d-14(a) of the Securities Exchange Act of 1934, as Adopted Pursuant to Section 302 of the Sarbanes-Oxley Act of 2002.</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pPr>
            <w:r>
              <w:rPr/>
              <w:t>​</w:t>
            </w:r>
          </w:p>
        </w:tc>
        <w:tc>
          <w:tcPr>
            <w:tcW w:w="834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hyperlink w:anchor="sga-20260630xex31d2.htm">
              <w:r>
                <w:rPr>
                  <w:rStyle w:val="InternetLink"/>
                  <w:rFonts w:ascii="Times New Roman;Times;serif" w:hAnsi="Times New Roman;Times;serif"/>
                  <w:b w:val="false"/>
                  <w:i w:val="false"/>
                  <w:caps w:val="false"/>
                  <w:smallCaps w:val="false"/>
                  <w:sz w:val="20"/>
                </w:rPr>
                <w:t>31.2</w:t>
              </w:r>
            </w:hyperlink>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8344" w:type="dxa"/>
            <w:tcBorders/>
            <w:vAlign w:val="center"/>
          </w:tcPr>
          <w:p>
            <w:pPr>
              <w:pStyle w:val="TableContents"/>
              <w:bidi w:val="0"/>
              <w:spacing w:before="0" w:after="0"/>
              <w:ind w:left="0" w:right="0" w:hanging="0"/>
              <w:jc w:val="left"/>
              <w:rPr/>
            </w:pPr>
            <w:hyperlink w:anchor="sga-20260630xex31d2.htm">
              <w:r>
                <w:rPr>
                  <w:rStyle w:val="InternetLink"/>
                  <w:rFonts w:ascii="Times New Roman;Times;serif" w:hAnsi="Times New Roman;Times;serif"/>
                  <w:b w:val="false"/>
                  <w:i w:val="false"/>
                  <w:caps w:val="false"/>
                  <w:smallCaps w:val="false"/>
                  <w:sz w:val="20"/>
                </w:rPr>
                <w:t>Certification of Chief Financial Officer Pursuant to Rule 13a-14(a) and Rule 15d-14(a) of the Securities Exchange Act of 1934, as Adopted Pursuant to Section 302 of the Sarbanes-Oxley Act of 2002.</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pPr>
            <w:r>
              <w:rPr/>
              <w:t>​</w:t>
            </w:r>
          </w:p>
        </w:tc>
        <w:tc>
          <w:tcPr>
            <w:tcW w:w="834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hyperlink w:anchor="sga-20260630xex32.htm">
              <w:r>
                <w:rPr>
                  <w:rStyle w:val="InternetLink"/>
                  <w:rFonts w:ascii="Times New Roman;Times;serif" w:hAnsi="Times New Roman;Times;serif"/>
                  <w:b w:val="false"/>
                  <w:i w:val="false"/>
                  <w:caps w:val="false"/>
                  <w:smallCaps w:val="false"/>
                  <w:sz w:val="20"/>
                </w:rPr>
                <w:t>32</w:t>
              </w:r>
            </w:hyperlink>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pPr>
            <w:hyperlink w:anchor="sga-20260630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and Rule 13a-14(b) of the Securities Exchange Act of 1934, as Adopted Pursuant to Section 906 of the Sarbanes-Oxley Act of 2002.</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pPr>
            <w:r>
              <w:rPr/>
              <w:t>​</w:t>
            </w:r>
          </w:p>
        </w:tc>
        <w:tc>
          <w:tcPr>
            <w:tcW w:w="834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pPr>
            <w:r>
              <w:rPr/>
              <w:t>​</w:t>
            </w:r>
          </w:p>
        </w:tc>
        <w:tc>
          <w:tcPr>
            <w:tcW w:w="834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pPr>
            <w:r>
              <w:rPr/>
              <w:t>​</w:t>
            </w:r>
          </w:p>
        </w:tc>
        <w:tc>
          <w:tcPr>
            <w:tcW w:w="834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841" w:type="dxa"/>
            <w:tcBorders/>
            <w:vAlign w:val="center"/>
          </w:tcPr>
          <w:p>
            <w:pPr>
              <w:pStyle w:val="TableContents"/>
              <w:bidi w:val="0"/>
              <w:spacing w:before="0" w:after="0"/>
              <w:ind w:left="0" w:right="0" w:hanging="0"/>
              <w:jc w:val="center"/>
              <w:rPr/>
            </w:pPr>
            <w:r>
              <w:rPr/>
              <w:t>​</w:t>
            </w:r>
          </w:p>
        </w:tc>
        <w:tc>
          <w:tcPr>
            <w:tcW w:w="8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pPr>
            <w:r>
              <w:rPr/>
              <w:t>​</w:t>
            </w:r>
          </w:p>
        </w:tc>
        <w:tc>
          <w:tcPr>
            <w:tcW w:w="834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841" w:type="dxa"/>
            <w:tcBorders/>
            <w:vAlign w:val="center"/>
          </w:tcPr>
          <w:p>
            <w:pPr>
              <w:pStyle w:val="TableContents"/>
              <w:bidi w:val="0"/>
              <w:spacing w:before="0" w:after="0"/>
              <w:ind w:left="0" w:right="0" w:hanging="0"/>
              <w:jc w:val="center"/>
              <w:rPr/>
            </w:pPr>
            <w:r>
              <w:rPr/>
              <w:t>​</w:t>
            </w:r>
          </w:p>
        </w:tc>
        <w:tc>
          <w:tcPr>
            <w:tcW w:w="8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pPr>
            <w:r>
              <w:rPr/>
              <w:t>​</w:t>
            </w:r>
          </w:p>
        </w:tc>
        <w:tc>
          <w:tcPr>
            <w:tcW w:w="834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144"/>
              <w:jc w:val="left"/>
              <w:rPr>
                <w:rFonts w:ascii="Times New Roman;Times;serif" w:hAnsi="Times New Roman;Times;serif"/>
                <w:sz w:val="20"/>
              </w:rPr>
            </w:pPr>
            <w:r>
              <w:rPr>
                <w:rFonts w:ascii="Times New Roman;Times;serif" w:hAnsi="Times New Roman;Times;serif"/>
                <w:sz w:val="20"/>
              </w:rPr>
              <w:t>*</w:t>
            </w:r>
          </w:p>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8344"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865" w:type="dxa"/>
            <w:tcBorders/>
            <w:vAlign w:val="center"/>
          </w:tcPr>
          <w:p>
            <w:pPr>
              <w:pStyle w:val="TableContents"/>
              <w:pBdr/>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8499" w:type="dxa"/>
            <w:gridSpan w:val="2"/>
            <w:tcBorders/>
            <w:vAlign w:val="center"/>
          </w:tcPr>
          <w:p>
            <w:pPr>
              <w:pStyle w:val="TableContents"/>
              <w:bidi w:val="0"/>
              <w:spacing w:before="0" w:after="0"/>
              <w:ind w:left="0" w:right="0" w:hanging="0"/>
              <w:jc w:val="left"/>
              <w:rPr/>
            </w:pPr>
            <w:r>
              <w:rPr/>
              <w:t>​</w:t>
            </w:r>
          </w:p>
        </w:tc>
      </w:tr>
      <w:tr>
        <w:trPr/>
        <w:tc>
          <w:tcPr>
            <w:tcW w:w="865" w:type="dxa"/>
            <w:tcBorders/>
            <w:vAlign w:val="center"/>
          </w:tcPr>
          <w:p>
            <w:pPr>
              <w:pStyle w:val="TableContents"/>
              <w:pBdr/>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8499"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769" w:name="SIGNATURES_832543"/>
      <w:bookmarkStart w:id="770" w:name="_7de1ca17_bf83_4f0d_a3c6_d5c4fc708151"/>
      <w:bookmarkEnd w:id="769"/>
      <w:bookmarkEnd w:id="770"/>
      <w:r>
        <w:rPr>
          <w:rFonts w:ascii="Times New Roman;Times;serif" w:hAnsi="Times New Roman;Times;serif"/>
          <w:b/>
          <w:sz w:val="20"/>
        </w:rPr>
        <w:t>SIGNATURES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1854"/>
        <w:gridCol w:w="8351"/>
      </w:tblGrid>
      <w:tr>
        <w:trPr/>
        <w:tc>
          <w:tcPr>
            <w:tcW w:w="1854" w:type="dxa"/>
            <w:tcBorders/>
            <w:vAlign w:val="center"/>
          </w:tcPr>
          <w:p>
            <w:pPr>
              <w:pStyle w:val="TableContents"/>
              <w:bidi w:val="0"/>
              <w:spacing w:before="0" w:after="283"/>
              <w:ind w:left="0" w:right="0" w:hanging="0"/>
              <w:jc w:val="left"/>
              <w:rPr>
                <w:sz w:val="4"/>
                <w:szCs w:val="4"/>
              </w:rPr>
            </w:pPr>
            <w:r>
              <w:rPr>
                <w:sz w:val="4"/>
                <w:szCs w:val="4"/>
              </w:rPr>
            </w:r>
          </w:p>
        </w:tc>
        <w:tc>
          <w:tcPr>
            <w:tcW w:w="8351" w:type="dxa"/>
            <w:tcBorders/>
            <w:vAlign w:val="center"/>
          </w:tcPr>
          <w:p>
            <w:pPr>
              <w:pStyle w:val="TableContents"/>
              <w:bidi w:val="0"/>
              <w:spacing w:before="0" w:after="283"/>
              <w:ind w:left="0" w:right="0" w:hanging="0"/>
              <w:jc w:val="left"/>
              <w:rPr>
                <w:sz w:val="4"/>
                <w:szCs w:val="4"/>
              </w:rPr>
            </w:pPr>
            <w:r>
              <w:rPr>
                <w:sz w:val="4"/>
                <w:szCs w:val="4"/>
              </w:rPr>
            </w:r>
          </w:p>
        </w:tc>
      </w:tr>
      <w:tr>
        <w:trPr/>
        <w:tc>
          <w:tcPr>
            <w:tcW w:w="1854" w:type="dxa"/>
            <w:tcBorders/>
            <w:vAlign w:val="center"/>
          </w:tcPr>
          <w:p>
            <w:pPr>
              <w:pStyle w:val="TableContents"/>
              <w:bidi w:val="0"/>
              <w:spacing w:before="0" w:after="0"/>
              <w:ind w:left="0" w:right="0" w:hanging="0"/>
              <w:jc w:val="left"/>
              <w:rPr/>
            </w:pPr>
            <w:r>
              <w:rPr/>
              <w:t> </w:t>
            </w:r>
          </w:p>
        </w:tc>
        <w:tc>
          <w:tcPr>
            <w:tcW w:w="8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SAGA COMMUNICATIONS, INC.</w:t>
            </w:r>
          </w:p>
        </w:tc>
      </w:tr>
      <w:tr>
        <w:trPr/>
        <w:tc>
          <w:tcPr>
            <w:tcW w:w="1854" w:type="dxa"/>
            <w:tcBorders/>
            <w:vAlign w:val="center"/>
          </w:tcPr>
          <w:p>
            <w:pPr>
              <w:pStyle w:val="TableContents"/>
              <w:bidi w:val="0"/>
              <w:spacing w:before="0" w:after="0"/>
              <w:ind w:left="0" w:right="0" w:hanging="0"/>
              <w:jc w:val="left"/>
              <w:rPr/>
            </w:pPr>
            <w:r>
              <w:rPr/>
              <w:t> </w:t>
            </w:r>
          </w:p>
        </w:tc>
        <w:tc>
          <w:tcPr>
            <w:tcW w:w="8351" w:type="dxa"/>
            <w:tcBorders/>
            <w:vAlign w:val="center"/>
          </w:tcPr>
          <w:p>
            <w:pPr>
              <w:pStyle w:val="TableContents"/>
              <w:bidi w:val="0"/>
              <w:spacing w:before="0" w:after="0"/>
              <w:ind w:left="0" w:right="0" w:hanging="0"/>
              <w:jc w:val="left"/>
              <w:rPr/>
            </w:pPr>
            <w:r>
              <w:rPr/>
              <w:t> </w:t>
            </w:r>
          </w:p>
        </w:tc>
      </w:tr>
      <w:tr>
        <w:trPr/>
        <w:tc>
          <w:tcPr>
            <w:tcW w:w="18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835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SAMUEL D. BUSH</w:t>
            </w:r>
          </w:p>
        </w:tc>
      </w:tr>
      <w:tr>
        <w:trPr/>
        <w:tc>
          <w:tcPr>
            <w:tcW w:w="1854" w:type="dxa"/>
            <w:tcBorders/>
            <w:vAlign w:val="center"/>
          </w:tcPr>
          <w:p>
            <w:pPr>
              <w:pStyle w:val="TableContents"/>
              <w:bidi w:val="0"/>
              <w:spacing w:before="0" w:after="0"/>
              <w:ind w:left="0" w:right="0" w:hanging="0"/>
              <w:jc w:val="left"/>
              <w:rPr/>
            </w:pPr>
            <w:r>
              <w:rPr/>
              <w:t> </w:t>
            </w:r>
          </w:p>
        </w:tc>
        <w:tc>
          <w:tcPr>
            <w:tcW w:w="8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Samuel D. Bush</w:t>
            </w:r>
          </w:p>
        </w:tc>
      </w:tr>
      <w:tr>
        <w:trPr/>
        <w:tc>
          <w:tcPr>
            <w:tcW w:w="1854" w:type="dxa"/>
            <w:tcBorders/>
            <w:vAlign w:val="center"/>
          </w:tcPr>
          <w:p>
            <w:pPr>
              <w:pStyle w:val="TableContents"/>
              <w:bidi w:val="0"/>
              <w:spacing w:before="0" w:after="0"/>
              <w:ind w:left="0" w:right="0" w:hanging="0"/>
              <w:jc w:val="left"/>
              <w:rPr/>
            </w:pPr>
            <w:r>
              <w:rPr/>
              <w:t> </w:t>
            </w:r>
          </w:p>
        </w:tc>
        <w:tc>
          <w:tcPr>
            <w:tcW w:w="83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 (Principal Financial Officer)</w:t>
            </w:r>
          </w:p>
        </w:tc>
      </w:tr>
      <w:tr>
        <w:trPr/>
        <w:tc>
          <w:tcPr>
            <w:tcW w:w="1854" w:type="dxa"/>
            <w:tcBorders/>
            <w:vAlign w:val="center"/>
          </w:tcPr>
          <w:p>
            <w:pPr>
              <w:pStyle w:val="TableContents"/>
              <w:bidi w:val="0"/>
              <w:spacing w:before="0" w:after="0"/>
              <w:ind w:left="0" w:right="0" w:hanging="0"/>
              <w:jc w:val="left"/>
              <w:rPr/>
            </w:pPr>
            <w:r>
              <w:rPr/>
              <w:t> </w:t>
            </w:r>
          </w:p>
        </w:tc>
        <w:tc>
          <w:tcPr>
            <w:tcW w:w="8351" w:type="dxa"/>
            <w:tcBorders/>
            <w:vAlign w:val="center"/>
          </w:tcPr>
          <w:p>
            <w:pPr>
              <w:pStyle w:val="TableContents"/>
              <w:bidi w:val="0"/>
              <w:spacing w:before="0" w:after="0"/>
              <w:ind w:left="0" w:right="0" w:hanging="0"/>
              <w:jc w:val="left"/>
              <w:rPr/>
            </w:pPr>
            <w:r>
              <w:rPr/>
              <w:t> </w:t>
            </w:r>
          </w:p>
        </w:tc>
      </w:tr>
      <w:tr>
        <w:trPr/>
        <w:tc>
          <w:tcPr>
            <w:tcW w:w="18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835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CATHERINE A. BOBINSKI</w:t>
            </w:r>
          </w:p>
        </w:tc>
      </w:tr>
      <w:tr>
        <w:trPr/>
        <w:tc>
          <w:tcPr>
            <w:tcW w:w="1854" w:type="dxa"/>
            <w:tcBorders/>
            <w:vAlign w:val="center"/>
          </w:tcPr>
          <w:p>
            <w:pPr>
              <w:pStyle w:val="TableContents"/>
              <w:bidi w:val="0"/>
              <w:spacing w:before="0" w:after="0"/>
              <w:ind w:left="0" w:right="0" w:hanging="0"/>
              <w:jc w:val="left"/>
              <w:rPr/>
            </w:pPr>
            <w:r>
              <w:rPr/>
              <w:t> </w:t>
            </w:r>
          </w:p>
        </w:tc>
        <w:tc>
          <w:tcPr>
            <w:tcW w:w="8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Catherine A. Bobinski</w:t>
            </w:r>
          </w:p>
        </w:tc>
      </w:tr>
      <w:tr>
        <w:trPr/>
        <w:tc>
          <w:tcPr>
            <w:tcW w:w="1854" w:type="dxa"/>
            <w:tcBorders/>
            <w:vAlign w:val="center"/>
          </w:tcPr>
          <w:p>
            <w:pPr>
              <w:pStyle w:val="TableContents"/>
              <w:bidi w:val="0"/>
              <w:spacing w:before="0" w:after="0"/>
              <w:ind w:left="0" w:right="0" w:hanging="0"/>
              <w:jc w:val="left"/>
              <w:rPr/>
            </w:pPr>
            <w:r>
              <w:rPr/>
              <w:t> </w:t>
            </w:r>
          </w:p>
        </w:tc>
        <w:tc>
          <w:tcPr>
            <w:tcW w:w="83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Accounting Officer and Corporate Controller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32</w:t>
      </w:r>
    </w:p>
    <w:p>
      <w:pPr>
        <w:pStyle w:val="TextBody"/>
        <w:bidi w:val="0"/>
        <w:spacing w:lineRule="auto" w:line="285" w:before="0" w:after="0"/>
        <w:ind w:left="0" w:right="0" w:hanging="0"/>
        <w:jc w:val="right"/>
        <w:rPr>
          <w:rFonts w:ascii="Times New Roman;Times;serif" w:hAnsi="Times New Roman;Times;serif"/>
          <w:b/>
          <w:sz w:val="20"/>
        </w:rPr>
      </w:pPr>
      <w:bookmarkStart w:id="771" w:name="sga-20260630xex31d1.htm"/>
      <w:bookmarkStart w:id="772" w:name="kssga20260630xex31d1"/>
      <w:bookmarkEnd w:id="771"/>
      <w:bookmarkEnd w:id="772"/>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20"/>
        </w:rPr>
        <w:t>CERTIFICATION OF CHIEF EXECUTIVE OFFICER PURSUANT TO RULE 13a-14(a)</w:t>
      </w:r>
      <w:r>
        <w:rPr>
          <w:rFonts w:ascii="Times New Roman;Times;serif" w:hAnsi="Times New Roman;Times;serif"/>
          <w:sz w:val="20"/>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AND RULE 15d-14(a) OF THE SECURITIES EXCHANGE ACT, AS AMENDED</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Christopher S. Forgy, Chief Executive Officer of Saga Communications, Inc., certify that:</w:t>
      </w:r>
    </w:p>
    <w:p>
      <w:pPr>
        <w:pStyle w:val="TextBody"/>
        <w:bidi w:val="0"/>
        <w:spacing w:lineRule="auto" w:line="285" w:before="0" w:after="0"/>
        <w:ind w:left="0" w:right="0" w:hanging="0"/>
        <w:jc w:val="left"/>
        <w:rPr/>
      </w:pPr>
      <w:r>
        <w:rPr/>
        <w:t> </w:t>
      </w:r>
    </w:p>
    <w:tbl>
      <w:tblPr>
        <w:tblW w:w="7198" w:type="dxa"/>
        <w:jc w:val="center"/>
        <w:tblInd w:w="0" w:type="dxa"/>
        <w:tblLayout w:type="fixed"/>
        <w:tblCellMar>
          <w:top w:w="0" w:type="dxa"/>
          <w:left w:w="0" w:type="dxa"/>
          <w:bottom w:w="0" w:type="dxa"/>
          <w:right w:w="0" w:type="dxa"/>
        </w:tblCellMar>
      </w:tblPr>
      <w:tblGrid>
        <w:gridCol w:w="161"/>
        <w:gridCol w:w="256"/>
        <w:gridCol w:w="6781"/>
      </w:tblGrid>
      <w:tr>
        <w:trPr/>
        <w:tc>
          <w:tcPr>
            <w:tcW w:w="161" w:type="dxa"/>
            <w:tcBorders/>
            <w:vAlign w:val="center"/>
          </w:tcPr>
          <w:p>
            <w:pPr>
              <w:pStyle w:val="TableContents"/>
              <w:bidi w:val="0"/>
              <w:spacing w:lineRule="auto" w:line="285" w:before="0" w:after="0"/>
              <w:ind w:left="0" w:right="0" w:hanging="0"/>
              <w:jc w:val="left"/>
              <w:rPr/>
            </w:pPr>
            <w:r>
              <w:rPr/>
              <w:t> </w:t>
            </w:r>
          </w:p>
        </w:tc>
        <w:tc>
          <w:tcPr>
            <w:tcW w:w="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7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Saga Communications, Inc.;</w:t>
            </w:r>
          </w:p>
        </w:tc>
      </w:tr>
    </w:tbl>
    <w:p>
      <w:pPr>
        <w:pStyle w:val="TextBody"/>
        <w:pBdr/>
        <w:bidi w:val="0"/>
        <w:spacing w:lineRule="auto" w:line="285" w:before="0" w:after="0"/>
        <w:ind w:left="72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7"/>
        <w:gridCol w:w="9817"/>
      </w:tblGrid>
      <w:tr>
        <w:trPr/>
        <w:tc>
          <w:tcPr>
            <w:tcW w:w="161" w:type="dxa"/>
            <w:tcBorders/>
            <w:vAlign w:val="center"/>
          </w:tcPr>
          <w:p>
            <w:pPr>
              <w:pStyle w:val="TableContents"/>
              <w:bidi w:val="0"/>
              <w:spacing w:lineRule="auto" w:line="285" w:before="0" w:after="0"/>
              <w:ind w:left="0" w:right="0" w:hanging="0"/>
              <w:jc w:val="left"/>
              <w:rPr/>
            </w:pPr>
            <w:r>
              <w:rPr/>
              <w:t> </w:t>
            </w:r>
          </w:p>
        </w:tc>
        <w:tc>
          <w:tcPr>
            <w:tcW w:w="2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1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6"/>
        <w:gridCol w:w="9818"/>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9818"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1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161"/>
        <w:gridCol w:w="214"/>
        <w:gridCol w:w="9830"/>
      </w:tblGrid>
      <w:tr>
        <w:trPr/>
        <w:tc>
          <w:tcPr>
            <w:tcW w:w="161" w:type="dxa"/>
            <w:tcBorders/>
            <w:vAlign w:val="center"/>
          </w:tcPr>
          <w:p>
            <w:pPr>
              <w:pStyle w:val="TableContents"/>
              <w:bidi w:val="0"/>
              <w:spacing w:lineRule="auto" w:line="285" w:before="0" w:after="0"/>
              <w:ind w:left="0" w:right="0" w:hanging="0"/>
              <w:jc w:val="left"/>
              <w:rPr/>
            </w:pPr>
            <w:r>
              <w:rPr/>
              <w:t> </w:t>
            </w:r>
          </w:p>
        </w:tc>
        <w:tc>
          <w:tcPr>
            <w:tcW w:w="2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0"/>
        <w:gridCol w:w="9824"/>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0" w:type="dxa"/>
            <w:tcBorders/>
            <w:vAlign w:val="center"/>
          </w:tcPr>
          <w:p>
            <w:pPr>
              <w:pStyle w:val="TableContents"/>
              <w:bidi w:val="0"/>
              <w:spacing w:before="0" w:after="283"/>
              <w:ind w:left="0" w:right="0" w:hanging="0"/>
              <w:jc w:val="left"/>
              <w:rPr>
                <w:sz w:val="4"/>
                <w:szCs w:val="4"/>
              </w:rPr>
            </w:pPr>
            <w:r>
              <w:rPr>
                <w:sz w:val="4"/>
                <w:szCs w:val="4"/>
              </w:rPr>
            </w:r>
          </w:p>
        </w:tc>
        <w:tc>
          <w:tcPr>
            <w:tcW w:w="9824"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8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lineRule="auto" w:line="307" w:before="0" w:after="160"/>
        <w:ind w:left="360" w:right="0" w:hanging="360"/>
        <w:jc w:val="left"/>
        <w:rPr/>
      </w:pPr>
      <w:r>
        <w:rPr/>
        <w:t>​</w:t>
      </w:r>
    </w:p>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9" w:type="dxa"/>
            <w:tcBorders/>
            <w:vAlign w:val="center"/>
          </w:tcPr>
          <w:p>
            <w:pPr>
              <w:pStyle w:val="TableContents"/>
              <w:bidi w:val="0"/>
              <w:spacing w:before="0" w:after="283"/>
              <w:ind w:left="0" w:right="0" w:hanging="0"/>
              <w:jc w:val="left"/>
              <w:rPr>
                <w:sz w:val="4"/>
                <w:szCs w:val="4"/>
              </w:rPr>
            </w:pPr>
            <w:r>
              <w:rPr>
                <w:sz w:val="4"/>
                <w:szCs w:val="4"/>
              </w:rPr>
            </w:r>
          </w:p>
        </w:tc>
        <w:tc>
          <w:tcPr>
            <w:tcW w:w="9815"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2"/>
        <w:gridCol w:w="9822"/>
      </w:tblGrid>
      <w:tr>
        <w:trPr/>
        <w:tc>
          <w:tcPr>
            <w:tcW w:w="161" w:type="dxa"/>
            <w:tcBorders/>
            <w:vAlign w:val="center"/>
          </w:tcPr>
          <w:p>
            <w:pPr>
              <w:pStyle w:val="TableContents"/>
              <w:bidi w:val="0"/>
              <w:spacing w:lineRule="auto" w:line="285" w:before="0" w:after="0"/>
              <w:ind w:left="0" w:right="0" w:hanging="0"/>
              <w:jc w:val="left"/>
              <w:rPr/>
            </w:pPr>
            <w:r>
              <w:rPr/>
              <w:t> </w:t>
            </w:r>
          </w:p>
        </w:tc>
        <w:tc>
          <w:tcPr>
            <w:tcW w:w="2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52"/>
        <w:gridCol w:w="9792"/>
      </w:tblGrid>
      <w:tr>
        <w:trPr/>
        <w:tc>
          <w:tcPr>
            <w:tcW w:w="161" w:type="dxa"/>
            <w:tcBorders/>
            <w:vAlign w:val="center"/>
          </w:tcPr>
          <w:p>
            <w:pPr>
              <w:pStyle w:val="TableContents"/>
              <w:bidi w:val="0"/>
              <w:spacing w:lineRule="auto" w:line="285" w:before="0" w:after="0"/>
              <w:ind w:left="0" w:right="0" w:hanging="0"/>
              <w:jc w:val="left"/>
              <w:rPr/>
            </w:pPr>
            <w:r>
              <w:rPr/>
              <w:t> </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79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firstLine="720"/>
        <w:jc w:val="left"/>
        <w:rPr/>
      </w:pPr>
      <w:r>
        <w:rPr/>
        <w:t> </w:t>
      </w:r>
    </w:p>
    <w:tbl>
      <w:tblPr>
        <w:tblW w:w="4247" w:type="dxa"/>
        <w:jc w:val="center"/>
        <w:tblInd w:w="0" w:type="dxa"/>
        <w:tblLayout w:type="fixed"/>
        <w:tblCellMar>
          <w:top w:w="0" w:type="dxa"/>
          <w:left w:w="0" w:type="dxa"/>
          <w:bottom w:w="0" w:type="dxa"/>
          <w:right w:w="0" w:type="dxa"/>
        </w:tblCellMar>
      </w:tblPr>
      <w:tblGrid>
        <w:gridCol w:w="1951"/>
        <w:gridCol w:w="229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29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2296"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Christopher S. Forgy</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Christopher S. Forgy</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773" w:name="sga-20260630xex31d2.htm"/>
      <w:bookmarkStart w:id="774" w:name="kssga20260630xex31d2"/>
      <w:bookmarkEnd w:id="773"/>
      <w:bookmarkEnd w:id="774"/>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RULE 13a-14(a)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AND RULE 15d-14(a) OF THE SECURITIES EXCHANGE ACT, AS AMENDED</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Samuel D. Bush, Chief Financial Officer of Saga Communications, Inc., certify that:</w:t>
      </w:r>
    </w:p>
    <w:p>
      <w:pPr>
        <w:pStyle w:val="TextBody"/>
        <w:bidi w:val="0"/>
        <w:spacing w:lineRule="auto" w:line="285" w:before="0" w:after="0"/>
        <w:ind w:left="0" w:right="0" w:hanging="0"/>
        <w:jc w:val="left"/>
        <w:rPr/>
      </w:pPr>
      <w:r>
        <w:rPr/>
        <w:t> </w:t>
      </w:r>
    </w:p>
    <w:tbl>
      <w:tblPr>
        <w:tblW w:w="7198" w:type="dxa"/>
        <w:jc w:val="center"/>
        <w:tblInd w:w="0" w:type="dxa"/>
        <w:tblLayout w:type="fixed"/>
        <w:tblCellMar>
          <w:top w:w="0" w:type="dxa"/>
          <w:left w:w="0" w:type="dxa"/>
          <w:bottom w:w="0" w:type="dxa"/>
          <w:right w:w="0" w:type="dxa"/>
        </w:tblCellMar>
      </w:tblPr>
      <w:tblGrid>
        <w:gridCol w:w="161"/>
        <w:gridCol w:w="256"/>
        <w:gridCol w:w="6781"/>
      </w:tblGrid>
      <w:tr>
        <w:trPr/>
        <w:tc>
          <w:tcPr>
            <w:tcW w:w="161" w:type="dxa"/>
            <w:tcBorders/>
            <w:vAlign w:val="center"/>
          </w:tcPr>
          <w:p>
            <w:pPr>
              <w:pStyle w:val="TableContents"/>
              <w:bidi w:val="0"/>
              <w:spacing w:lineRule="auto" w:line="285" w:before="0" w:after="0"/>
              <w:ind w:left="0" w:right="0" w:hanging="0"/>
              <w:jc w:val="both"/>
              <w:rPr/>
            </w:pPr>
            <w:r>
              <w:rPr/>
              <w:t> </w:t>
            </w:r>
          </w:p>
        </w:tc>
        <w:tc>
          <w:tcPr>
            <w:tcW w:w="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7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Saga Communications, Inc.;</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7"/>
        <w:gridCol w:w="9817"/>
      </w:tblGrid>
      <w:tr>
        <w:trPr/>
        <w:tc>
          <w:tcPr>
            <w:tcW w:w="161" w:type="dxa"/>
            <w:tcBorders/>
            <w:vAlign w:val="center"/>
          </w:tcPr>
          <w:p>
            <w:pPr>
              <w:pStyle w:val="TableContents"/>
              <w:bidi w:val="0"/>
              <w:spacing w:lineRule="auto" w:line="285" w:before="0" w:after="0"/>
              <w:ind w:left="0" w:right="0" w:hanging="0"/>
              <w:jc w:val="both"/>
              <w:rPr/>
            </w:pPr>
            <w:r>
              <w:rPr/>
              <w:t> </w:t>
            </w:r>
          </w:p>
        </w:tc>
        <w:tc>
          <w:tcPr>
            <w:tcW w:w="2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1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9" w:type="dxa"/>
            <w:tcBorders/>
            <w:vAlign w:val="center"/>
          </w:tcPr>
          <w:p>
            <w:pPr>
              <w:pStyle w:val="TableContents"/>
              <w:bidi w:val="0"/>
              <w:spacing w:before="0" w:after="283"/>
              <w:ind w:left="0" w:right="0" w:hanging="0"/>
              <w:jc w:val="left"/>
              <w:rPr>
                <w:sz w:val="4"/>
                <w:szCs w:val="4"/>
              </w:rPr>
            </w:pPr>
            <w:r>
              <w:rPr>
                <w:sz w:val="4"/>
                <w:szCs w:val="4"/>
              </w:rPr>
            </w:r>
          </w:p>
        </w:tc>
        <w:tc>
          <w:tcPr>
            <w:tcW w:w="9815"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lineRule="auto" w:line="307" w:before="0" w:after="160"/>
        <w:ind w:left="0" w:right="0" w:hanging="360"/>
        <w:jc w:val="left"/>
        <w:rPr/>
      </w:pPr>
      <w:r>
        <w:rPr/>
        <w:t>​</w:t>
      </w:r>
    </w:p>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6"/>
        <w:gridCol w:w="9818"/>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9818"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both"/>
              <w:rPr/>
            </w:pPr>
            <w:r>
              <w:rPr/>
              <w:t> </w:t>
            </w:r>
          </w:p>
        </w:tc>
        <w:tc>
          <w:tcPr>
            <w:tcW w:w="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1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14"/>
        <w:gridCol w:w="9830"/>
      </w:tblGrid>
      <w:tr>
        <w:trPr/>
        <w:tc>
          <w:tcPr>
            <w:tcW w:w="161" w:type="dxa"/>
            <w:tcBorders/>
            <w:vAlign w:val="center"/>
          </w:tcPr>
          <w:p>
            <w:pPr>
              <w:pStyle w:val="TableContents"/>
              <w:bidi w:val="0"/>
              <w:spacing w:lineRule="auto" w:line="285" w:before="0" w:after="0"/>
              <w:ind w:left="0" w:right="0" w:hanging="0"/>
              <w:jc w:val="left"/>
              <w:rPr/>
            </w:pPr>
            <w:r>
              <w:rPr/>
              <w:t> </w:t>
            </w:r>
          </w:p>
        </w:tc>
        <w:tc>
          <w:tcPr>
            <w:tcW w:w="2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0"/>
        <w:gridCol w:w="9824"/>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0" w:type="dxa"/>
            <w:tcBorders/>
            <w:vAlign w:val="center"/>
          </w:tcPr>
          <w:p>
            <w:pPr>
              <w:pStyle w:val="TableContents"/>
              <w:bidi w:val="0"/>
              <w:spacing w:before="0" w:after="283"/>
              <w:ind w:left="0" w:right="0" w:hanging="0"/>
              <w:jc w:val="left"/>
              <w:rPr>
                <w:sz w:val="4"/>
                <w:szCs w:val="4"/>
              </w:rPr>
            </w:pPr>
            <w:r>
              <w:rPr>
                <w:sz w:val="4"/>
                <w:szCs w:val="4"/>
              </w:rPr>
            </w:r>
          </w:p>
        </w:tc>
        <w:tc>
          <w:tcPr>
            <w:tcW w:w="9824"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both"/>
              <w:rPr/>
            </w:pPr>
            <w:r>
              <w:rPr/>
              <w:t> </w:t>
            </w:r>
          </w:p>
        </w:tc>
        <w:tc>
          <w:tcPr>
            <w:tcW w:w="22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8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lineRule="auto" w:line="307" w:before="0" w:after="160"/>
        <w:ind w:left="360" w:right="0" w:hanging="360"/>
        <w:jc w:val="left"/>
        <w:rPr/>
      </w:pPr>
      <w:r>
        <w:rPr/>
        <w:t>​</w:t>
      </w:r>
    </w:p>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9" w:type="dxa"/>
            <w:tcBorders/>
            <w:vAlign w:val="center"/>
          </w:tcPr>
          <w:p>
            <w:pPr>
              <w:pStyle w:val="TableContents"/>
              <w:bidi w:val="0"/>
              <w:spacing w:before="0" w:after="283"/>
              <w:ind w:left="0" w:right="0" w:hanging="0"/>
              <w:jc w:val="left"/>
              <w:rPr>
                <w:sz w:val="4"/>
                <w:szCs w:val="4"/>
              </w:rPr>
            </w:pPr>
            <w:r>
              <w:rPr>
                <w:sz w:val="4"/>
                <w:szCs w:val="4"/>
              </w:rPr>
            </w:r>
          </w:p>
        </w:tc>
        <w:tc>
          <w:tcPr>
            <w:tcW w:w="9815"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2"/>
        <w:gridCol w:w="9822"/>
      </w:tblGrid>
      <w:tr>
        <w:trPr/>
        <w:tc>
          <w:tcPr>
            <w:tcW w:w="161" w:type="dxa"/>
            <w:tcBorders/>
            <w:vAlign w:val="center"/>
          </w:tcPr>
          <w:p>
            <w:pPr>
              <w:pStyle w:val="TableContents"/>
              <w:bidi w:val="0"/>
              <w:spacing w:lineRule="auto" w:line="285" w:before="0" w:after="0"/>
              <w:ind w:left="0" w:right="0" w:hanging="0"/>
              <w:jc w:val="both"/>
              <w:rPr/>
            </w:pPr>
            <w:r>
              <w:rPr/>
              <w:t> </w:t>
            </w:r>
          </w:p>
        </w:tc>
        <w:tc>
          <w:tcPr>
            <w:tcW w:w="2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52"/>
        <w:gridCol w:w="9792"/>
      </w:tblGrid>
      <w:tr>
        <w:trPr/>
        <w:tc>
          <w:tcPr>
            <w:tcW w:w="161" w:type="dxa"/>
            <w:tcBorders/>
            <w:vAlign w:val="center"/>
          </w:tcPr>
          <w:p>
            <w:pPr>
              <w:pStyle w:val="TableContents"/>
              <w:bidi w:val="0"/>
              <w:spacing w:lineRule="auto" w:line="285" w:before="0" w:after="0"/>
              <w:ind w:left="0" w:right="0" w:hanging="0"/>
              <w:jc w:val="both"/>
              <w:rPr/>
            </w:pPr>
            <w:r>
              <w:rPr/>
              <w:t> </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79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firstLine="720"/>
        <w:jc w:val="left"/>
        <w:rPr/>
      </w:pPr>
      <w:r>
        <w:rPr/>
        <w:t> </w:t>
      </w:r>
    </w:p>
    <w:tbl>
      <w:tblPr>
        <w:tblW w:w="3962" w:type="dxa"/>
        <w:jc w:val="center"/>
        <w:tblInd w:w="0" w:type="dxa"/>
        <w:tblLayout w:type="fixed"/>
        <w:tblCellMar>
          <w:top w:w="0" w:type="dxa"/>
          <w:left w:w="0" w:type="dxa"/>
          <w:bottom w:w="0" w:type="dxa"/>
          <w:right w:w="0" w:type="dxa"/>
        </w:tblCellMar>
      </w:tblPr>
      <w:tblGrid>
        <w:gridCol w:w="1951"/>
        <w:gridCol w:w="20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2011"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Samuel D. Bush    </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Samuel D. Bush   </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775" w:name="sga-20260630xex32.htm"/>
      <w:bookmarkStart w:id="776" w:name="kssga20260630xex32"/>
      <w:bookmarkEnd w:id="775"/>
      <w:bookmarkEnd w:id="776"/>
      <w:r>
        <w:rPr>
          <w:rFonts w:ascii="Times New Roman;Times;serif" w:hAnsi="Times New Roman;Times;serif"/>
          <w:b/>
          <w:sz w:val="20"/>
        </w:rPr>
        <w:t>EXHIBIT 32</w:t>
      </w:r>
      <w:r>
        <w:br w:type="page"/>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Saga Communications, Inc. (the “Company”) on Form 10-Q for the period ended June 30, 2026 as filed with the Securities and Exchange Commission on the date hereof (the “Report”), we, Christopher S. Forgy, Chief Executive Officer of the Company, and Samuel D. Bush, Chief Financial Officer of the Company, each hereby certify, pursuant to 18 U.S.C. Section 1350, as adopted pursuant to Section 906 of the Sarbanes-Oxley Act of 2002, to the best of our knowledge, that:</w:t>
      </w:r>
    </w:p>
    <w:p>
      <w:pPr>
        <w:pStyle w:val="TextBody"/>
        <w:bidi w:val="0"/>
        <w:spacing w:lineRule="auto" w:line="285" w:before="0" w:after="0"/>
        <w:ind w:left="0" w:right="0" w:hanging="0"/>
        <w:jc w:val="left"/>
        <w:rPr/>
      </w:pPr>
      <w:r>
        <w:rPr/>
        <w:t> </w:t>
      </w:r>
    </w:p>
    <w:tbl>
      <w:tblPr>
        <w:tblW w:w="10138" w:type="dxa"/>
        <w:jc w:val="center"/>
        <w:tblInd w:w="0" w:type="dxa"/>
        <w:tblLayout w:type="fixed"/>
        <w:tblCellMar>
          <w:top w:w="0" w:type="dxa"/>
          <w:left w:w="0" w:type="dxa"/>
          <w:bottom w:w="0" w:type="dxa"/>
          <w:right w:w="0" w:type="dxa"/>
        </w:tblCellMar>
      </w:tblPr>
      <w:tblGrid>
        <w:gridCol w:w="161"/>
        <w:gridCol w:w="256"/>
        <w:gridCol w:w="9721"/>
      </w:tblGrid>
      <w:tr>
        <w:trPr/>
        <w:tc>
          <w:tcPr>
            <w:tcW w:w="161" w:type="dxa"/>
            <w:tcBorders/>
            <w:vAlign w:val="center"/>
          </w:tcPr>
          <w:p>
            <w:pPr>
              <w:pStyle w:val="TableContents"/>
              <w:bidi w:val="0"/>
              <w:spacing w:lineRule="auto" w:line="285" w:before="0" w:after="0"/>
              <w:ind w:left="0" w:right="0" w:hanging="0"/>
              <w:jc w:val="left"/>
              <w:rPr/>
            </w:pPr>
            <w:r>
              <w:rPr/>
              <w:t> </w:t>
            </w:r>
          </w:p>
        </w:tc>
        <w:tc>
          <w:tcPr>
            <w:tcW w:w="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pBdr/>
        <w:bidi w:val="0"/>
        <w:spacing w:lineRule="auto" w:line="285" w:before="0" w:after="0"/>
        <w:ind w:left="72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47"/>
        <w:gridCol w:w="9797"/>
      </w:tblGrid>
      <w:tr>
        <w:trPr/>
        <w:tc>
          <w:tcPr>
            <w:tcW w:w="161" w:type="dxa"/>
            <w:tcBorders/>
            <w:vAlign w:val="center"/>
          </w:tcPr>
          <w:p>
            <w:pPr>
              <w:pStyle w:val="TableContents"/>
              <w:bidi w:val="0"/>
              <w:spacing w:lineRule="auto" w:line="285" w:before="0" w:after="0"/>
              <w:ind w:left="0" w:right="0" w:hanging="0"/>
              <w:jc w:val="left"/>
              <w:rPr/>
            </w:pPr>
            <w:r>
              <w:rPr/>
              <w:t> </w:t>
            </w:r>
          </w:p>
        </w:tc>
        <w:tc>
          <w:tcPr>
            <w:tcW w:w="24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9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firstLine="720"/>
        <w:jc w:val="left"/>
        <w:rPr/>
      </w:pPr>
      <w:r>
        <w:rPr/>
        <w:t> </w:t>
      </w:r>
    </w:p>
    <w:tbl>
      <w:tblPr>
        <w:tblW w:w="4307" w:type="dxa"/>
        <w:jc w:val="center"/>
        <w:tblInd w:w="0" w:type="dxa"/>
        <w:tblLayout w:type="fixed"/>
        <w:tblCellMar>
          <w:top w:w="0" w:type="dxa"/>
          <w:left w:w="0" w:type="dxa"/>
          <w:bottom w:w="0" w:type="dxa"/>
          <w:right w:w="0" w:type="dxa"/>
        </w:tblCellMar>
      </w:tblPr>
      <w:tblGrid>
        <w:gridCol w:w="2056"/>
        <w:gridCol w:w="225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225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August 14, 2026</w:t>
            </w:r>
          </w:p>
        </w:tc>
        <w:tc>
          <w:tcPr>
            <w:tcW w:w="2251"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Christopher S. Forgy    </w:t>
            </w:r>
          </w:p>
        </w:tc>
      </w:tr>
      <w:tr>
        <w:trPr/>
        <w:tc>
          <w:tcPr>
            <w:tcW w:w="2056"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Christopher S. Forgy   </w:t>
            </w:r>
          </w:p>
        </w:tc>
      </w:tr>
      <w:tr>
        <w:trPr/>
        <w:tc>
          <w:tcPr>
            <w:tcW w:w="2056"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p>
        </w:tc>
      </w:tr>
      <w:tr>
        <w:trPr/>
        <w:tc>
          <w:tcPr>
            <w:tcW w:w="2056"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pPr>
            <w:r>
              <w:rPr/>
              <w:t> </w:t>
            </w:r>
          </w:p>
        </w:tc>
      </w:tr>
      <w:tr>
        <w:trPr/>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August 14, 2026</w:t>
            </w:r>
          </w:p>
        </w:tc>
        <w:tc>
          <w:tcPr>
            <w:tcW w:w="2251"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Samuel D. Bush    </w:t>
            </w:r>
          </w:p>
        </w:tc>
      </w:tr>
      <w:tr>
        <w:trPr/>
        <w:tc>
          <w:tcPr>
            <w:tcW w:w="2056"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Samuel D. Bush   </w:t>
            </w:r>
          </w:p>
        </w:tc>
      </w:tr>
      <w:tr>
        <w:trPr/>
        <w:tc>
          <w:tcPr>
            <w:tcW w:w="2056"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font-style:italic"/>
    <w:charset w:val="01"/>
    <w:family w:val="auto"/>
    <w:pitch w:val="default"/>
  </w:font>
  <w:font w:name="Times New Roman">
    <w:charset w:val="01"/>
    <w:family w:val="auto"/>
    <w:pitch w:val="default"/>
  </w:font>
  <w:font w:name="Times New Roman">
    <w:altName w:val="white-space:pre-wrap"/>
    <w:charset w:val="01"/>
    <w:family w:val="auto"/>
    <w:pitch w:val="default"/>
  </w:font>
  <w:font w:name="Times New Roman">
    <w:altName w:val="background:#fffff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17829</Words>
  <Characters>98724</Characters>
  <CharactersWithSpaces>118236</CharactersWithSpaces>
  <Paragraphs>4314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