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144"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150" w:lineRule="exact"/>
        <w:rPr>
          <w:sz w:val="24"/>
          <w:szCs w:val="24"/>
          <w:color w:val="auto"/>
        </w:rPr>
      </w:pPr>
    </w:p>
    <w:p>
      <w:pPr>
        <w:ind w:left="1020" w:hanging="682"/>
        <w:spacing w:after="0"/>
        <w:tabs>
          <w:tab w:leader="none" w:pos="10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1020" w:hanging="682"/>
        <w:spacing w:after="0"/>
        <w:tabs>
          <w:tab w:leader="none" w:pos="10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26" w:lineRule="exact"/>
        <w:rPr>
          <w:sz w:val="24"/>
          <w:szCs w:val="24"/>
          <w:color w:val="auto"/>
        </w:rPr>
      </w:pPr>
    </w:p>
    <w:tbl>
      <w:tblPr>
        <w:tblLayout w:type="fixed"/>
        <w:tblInd w:w="1480" w:type="dxa"/>
        <w:tblCellMar>
          <w:top w:w="0" w:type="dxa"/>
          <w:left w:w="0" w:type="dxa"/>
          <w:bottom w:w="0" w:type="dxa"/>
          <w:right w:w="0" w:type="dxa"/>
        </w:tblCellMar>
      </w:tblPr>
      <w:tr>
        <w:trPr>
          <w:trHeight w:val="184"/>
        </w:trPr>
        <w:tc>
          <w:tcPr>
            <w:tcW w:w="4220" w:type="dxa"/>
            <w:vAlign w:val="bottom"/>
          </w:tcPr>
          <w:p>
            <w:pPr>
              <w:ind w:left="2080"/>
              <w:spacing w:after="0"/>
              <w:rPr>
                <w:sz w:val="20"/>
                <w:szCs w:val="20"/>
                <w:color w:val="auto"/>
              </w:rPr>
            </w:pPr>
            <w:r>
              <w:rPr>
                <w:rFonts w:ascii="Arial" w:cs="Arial" w:eastAsia="Arial" w:hAnsi="Arial"/>
                <w:sz w:val="16"/>
                <w:szCs w:val="16"/>
                <w:b w:val="1"/>
                <w:bCs w:val="1"/>
                <w:color w:val="auto"/>
                <w:w w:val="94"/>
              </w:rPr>
              <w:t>For the transition period from</w:t>
            </w: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to</w:t>
            </w:r>
          </w:p>
        </w:tc>
      </w:tr>
      <w:tr>
        <w:trPr>
          <w:trHeight w:val="312"/>
        </w:trPr>
        <w:tc>
          <w:tcPr>
            <w:tcW w:w="5040" w:type="dxa"/>
            <w:vAlign w:val="bottom"/>
            <w:gridSpan w:val="3"/>
          </w:tcPr>
          <w:p>
            <w:pPr>
              <w:jc w:val="center"/>
              <w:ind w:left="2155"/>
              <w:spacing w:after="0"/>
              <w:rPr>
                <w:sz w:val="20"/>
                <w:szCs w:val="20"/>
                <w:color w:val="auto"/>
              </w:rPr>
            </w:pPr>
            <w:r>
              <w:rPr>
                <w:rFonts w:ascii="Arial" w:cs="Arial" w:eastAsia="Arial" w:hAnsi="Arial"/>
                <w:sz w:val="16"/>
                <w:szCs w:val="16"/>
                <w:b w:val="1"/>
                <w:bCs w:val="1"/>
                <w:color w:val="auto"/>
                <w:w w:val="91"/>
              </w:rPr>
              <w:t>Commission file number 1-11588</w:t>
            </w:r>
          </w:p>
        </w:tc>
        <w:tc>
          <w:tcPr>
            <w:tcW w:w="1760" w:type="dxa"/>
            <w:vAlign w:val="bottom"/>
          </w:tcPr>
          <w:p>
            <w:pPr>
              <w:spacing w:after="0"/>
              <w:rPr>
                <w:sz w:val="24"/>
                <w:szCs w:val="24"/>
                <w:color w:val="auto"/>
              </w:rPr>
            </w:pPr>
          </w:p>
        </w:tc>
      </w:tr>
      <w:tr>
        <w:trPr>
          <w:trHeight w:val="361"/>
        </w:trPr>
        <w:tc>
          <w:tcPr>
            <w:tcW w:w="5040" w:type="dxa"/>
            <w:vAlign w:val="bottom"/>
            <w:gridSpan w:val="3"/>
          </w:tcPr>
          <w:p>
            <w:pPr>
              <w:jc w:val="center"/>
              <w:ind w:left="2175"/>
              <w:spacing w:after="0"/>
              <w:rPr>
                <w:sz w:val="20"/>
                <w:szCs w:val="20"/>
                <w:color w:val="auto"/>
              </w:rPr>
            </w:pPr>
            <w:r>
              <w:rPr>
                <w:rFonts w:ascii="Arial" w:cs="Arial" w:eastAsia="Arial" w:hAnsi="Arial"/>
                <w:sz w:val="23"/>
                <w:szCs w:val="23"/>
                <w:b w:val="1"/>
                <w:bCs w:val="1"/>
                <w:color w:val="auto"/>
                <w:w w:val="91"/>
              </w:rPr>
              <w:t>Saga Communications, Inc.</w:t>
            </w:r>
          </w:p>
        </w:tc>
        <w:tc>
          <w:tcPr>
            <w:tcW w:w="1760" w:type="dxa"/>
            <w:vAlign w:val="bottom"/>
          </w:tcPr>
          <w:p>
            <w:pPr>
              <w:spacing w:after="0"/>
              <w:rPr>
                <w:sz w:val="24"/>
                <w:szCs w:val="24"/>
                <w:color w:val="auto"/>
              </w:rPr>
            </w:pPr>
          </w:p>
        </w:tc>
      </w:tr>
      <w:tr>
        <w:trPr>
          <w:trHeight w:val="206"/>
        </w:trPr>
        <w:tc>
          <w:tcPr>
            <w:tcW w:w="6800" w:type="dxa"/>
            <w:vAlign w:val="bottom"/>
            <w:gridSpan w:val="4"/>
          </w:tcPr>
          <w:p>
            <w:pPr>
              <w:jc w:val="center"/>
              <w:ind w:left="415"/>
              <w:spacing w:after="0"/>
              <w:rPr>
                <w:sz w:val="20"/>
                <w:szCs w:val="20"/>
                <w:color w:val="auto"/>
              </w:rPr>
            </w:pPr>
            <w:r>
              <w:rPr>
                <w:rFonts w:ascii="Arial" w:cs="Arial" w:eastAsia="Arial" w:hAnsi="Arial"/>
                <w:sz w:val="16"/>
                <w:szCs w:val="16"/>
                <w:i w:val="1"/>
                <w:iCs w:val="1"/>
                <w:color w:val="auto"/>
                <w:w w:val="92"/>
              </w:rPr>
              <w:t>(Exact name of registrant as specified in its charter)</w:t>
            </w:r>
          </w:p>
        </w:tc>
      </w:tr>
      <w:tr>
        <w:trPr>
          <w:trHeight w:val="307"/>
        </w:trPr>
        <w:tc>
          <w:tcPr>
            <w:tcW w:w="5040" w:type="dxa"/>
            <w:vAlign w:val="bottom"/>
            <w:gridSpan w:val="3"/>
          </w:tcPr>
          <w:p>
            <w:pPr>
              <w:jc w:val="center"/>
              <w:ind w:right="2860"/>
              <w:spacing w:after="0"/>
              <w:rPr>
                <w:sz w:val="20"/>
                <w:szCs w:val="20"/>
                <w:color w:val="auto"/>
              </w:rPr>
            </w:pPr>
            <w:r>
              <w:rPr>
                <w:rFonts w:ascii="Arial" w:cs="Arial" w:eastAsia="Arial" w:hAnsi="Arial"/>
                <w:sz w:val="16"/>
                <w:szCs w:val="16"/>
                <w:b w:val="1"/>
                <w:bCs w:val="1"/>
                <w:color w:val="auto"/>
                <w:w w:val="93"/>
              </w:rPr>
              <w:t>Florida</w:t>
            </w:r>
          </w:p>
        </w:tc>
        <w:tc>
          <w:tcPr>
            <w:tcW w:w="1760" w:type="dxa"/>
            <w:vAlign w:val="bottom"/>
          </w:tcPr>
          <w:p>
            <w:pPr>
              <w:jc w:val="right"/>
              <w:ind w:right="119"/>
              <w:spacing w:after="0"/>
              <w:rPr>
                <w:sz w:val="20"/>
                <w:szCs w:val="20"/>
                <w:color w:val="auto"/>
              </w:rPr>
            </w:pPr>
            <w:r>
              <w:rPr>
                <w:rFonts w:ascii="Arial" w:cs="Arial" w:eastAsia="Arial" w:hAnsi="Arial"/>
                <w:sz w:val="16"/>
                <w:szCs w:val="16"/>
                <w:b w:val="1"/>
                <w:bCs w:val="1"/>
                <w:color w:val="auto"/>
              </w:rPr>
              <w:t>38-3042953</w:t>
            </w:r>
          </w:p>
        </w:tc>
      </w:tr>
      <w:tr>
        <w:trPr>
          <w:trHeight w:val="203"/>
        </w:trPr>
        <w:tc>
          <w:tcPr>
            <w:tcW w:w="5040" w:type="dxa"/>
            <w:vAlign w:val="bottom"/>
            <w:gridSpan w:val="3"/>
          </w:tcPr>
          <w:p>
            <w:pPr>
              <w:jc w:val="center"/>
              <w:ind w:right="2860"/>
              <w:spacing w:after="0"/>
              <w:rPr>
                <w:sz w:val="20"/>
                <w:szCs w:val="20"/>
                <w:color w:val="auto"/>
              </w:rPr>
            </w:pPr>
            <w:r>
              <w:rPr>
                <w:rFonts w:ascii="Arial" w:cs="Arial" w:eastAsia="Arial" w:hAnsi="Arial"/>
                <w:sz w:val="16"/>
                <w:szCs w:val="16"/>
                <w:i w:val="1"/>
                <w:iCs w:val="1"/>
                <w:color w:val="auto"/>
                <w:w w:val="94"/>
              </w:rPr>
              <w:t>(State or other jurisdiction of</w:t>
            </w:r>
          </w:p>
        </w:tc>
        <w:tc>
          <w:tcPr>
            <w:tcW w:w="1760" w:type="dxa"/>
            <w:vAlign w:val="bottom"/>
          </w:tcPr>
          <w:p>
            <w:pPr>
              <w:jc w:val="center"/>
              <w:ind w:left="479"/>
              <w:spacing w:after="0"/>
              <w:rPr>
                <w:sz w:val="20"/>
                <w:szCs w:val="20"/>
                <w:color w:val="auto"/>
              </w:rPr>
            </w:pPr>
            <w:r>
              <w:rPr>
                <w:rFonts w:ascii="Arial" w:cs="Arial" w:eastAsia="Arial" w:hAnsi="Arial"/>
                <w:sz w:val="16"/>
                <w:szCs w:val="16"/>
                <w:i w:val="1"/>
                <w:iCs w:val="1"/>
                <w:color w:val="auto"/>
                <w:w w:val="91"/>
              </w:rPr>
              <w:t>(I.R.S. Employer</w:t>
            </w:r>
          </w:p>
        </w:tc>
      </w:tr>
      <w:tr>
        <w:trPr>
          <w:trHeight w:val="198"/>
        </w:trPr>
        <w:tc>
          <w:tcPr>
            <w:tcW w:w="5040" w:type="dxa"/>
            <w:vAlign w:val="bottom"/>
            <w:gridSpan w:val="3"/>
          </w:tcPr>
          <w:p>
            <w:pPr>
              <w:jc w:val="center"/>
              <w:ind w:right="2840"/>
              <w:spacing w:after="0"/>
              <w:rPr>
                <w:sz w:val="20"/>
                <w:szCs w:val="20"/>
                <w:color w:val="auto"/>
              </w:rPr>
            </w:pPr>
            <w:r>
              <w:rPr>
                <w:rFonts w:ascii="Arial" w:cs="Arial" w:eastAsia="Arial" w:hAnsi="Arial"/>
                <w:sz w:val="16"/>
                <w:szCs w:val="16"/>
                <w:i w:val="1"/>
                <w:iCs w:val="1"/>
                <w:color w:val="auto"/>
                <w:w w:val="96"/>
              </w:rPr>
              <w:t>incorporation or organization)</w:t>
            </w:r>
          </w:p>
        </w:tc>
        <w:tc>
          <w:tcPr>
            <w:tcW w:w="1760" w:type="dxa"/>
            <w:vAlign w:val="bottom"/>
          </w:tcPr>
          <w:p>
            <w:pPr>
              <w:jc w:val="center"/>
              <w:ind w:left="479"/>
              <w:spacing w:after="0"/>
              <w:rPr>
                <w:sz w:val="20"/>
                <w:szCs w:val="20"/>
                <w:color w:val="auto"/>
              </w:rPr>
            </w:pPr>
            <w:r>
              <w:rPr>
                <w:rFonts w:ascii="Arial" w:cs="Arial" w:eastAsia="Arial" w:hAnsi="Arial"/>
                <w:sz w:val="16"/>
                <w:szCs w:val="16"/>
                <w:i w:val="1"/>
                <w:iCs w:val="1"/>
                <w:color w:val="auto"/>
                <w:w w:val="96"/>
              </w:rPr>
              <w:t>Identification No.)</w:t>
            </w:r>
          </w:p>
        </w:tc>
      </w:tr>
      <w:tr>
        <w:trPr>
          <w:trHeight w:val="203"/>
        </w:trPr>
        <w:tc>
          <w:tcPr>
            <w:tcW w:w="5040" w:type="dxa"/>
            <w:vAlign w:val="bottom"/>
            <w:gridSpan w:val="3"/>
          </w:tcPr>
          <w:p>
            <w:pPr>
              <w:jc w:val="center"/>
              <w:ind w:right="2860"/>
              <w:spacing w:after="0"/>
              <w:rPr>
                <w:sz w:val="20"/>
                <w:szCs w:val="20"/>
                <w:color w:val="auto"/>
              </w:rPr>
            </w:pPr>
            <w:r>
              <w:rPr>
                <w:rFonts w:ascii="Arial" w:cs="Arial" w:eastAsia="Arial" w:hAnsi="Arial"/>
                <w:sz w:val="16"/>
                <w:szCs w:val="16"/>
                <w:b w:val="1"/>
                <w:bCs w:val="1"/>
                <w:color w:val="auto"/>
                <w:w w:val="90"/>
              </w:rPr>
              <w:t>73 Kercheval Avenue</w:t>
            </w:r>
          </w:p>
        </w:tc>
        <w:tc>
          <w:tcPr>
            <w:tcW w:w="1760" w:type="dxa"/>
            <w:vAlign w:val="bottom"/>
          </w:tcPr>
          <w:p>
            <w:pPr>
              <w:jc w:val="right"/>
              <w:ind w:right="319"/>
              <w:spacing w:after="0"/>
              <w:rPr>
                <w:sz w:val="20"/>
                <w:szCs w:val="20"/>
                <w:color w:val="auto"/>
              </w:rPr>
            </w:pPr>
            <w:r>
              <w:rPr>
                <w:rFonts w:ascii="Arial" w:cs="Arial" w:eastAsia="Arial" w:hAnsi="Arial"/>
                <w:sz w:val="16"/>
                <w:szCs w:val="16"/>
                <w:b w:val="1"/>
                <w:bCs w:val="1"/>
                <w:color w:val="auto"/>
              </w:rPr>
              <w:t>48236</w:t>
            </w:r>
          </w:p>
        </w:tc>
      </w:tr>
      <w:tr>
        <w:trPr>
          <w:trHeight w:val="210"/>
        </w:trPr>
        <w:tc>
          <w:tcPr>
            <w:tcW w:w="5040" w:type="dxa"/>
            <w:vAlign w:val="bottom"/>
            <w:gridSpan w:val="3"/>
          </w:tcPr>
          <w:p>
            <w:pPr>
              <w:jc w:val="center"/>
              <w:ind w:right="2860"/>
              <w:spacing w:after="0"/>
              <w:rPr>
                <w:sz w:val="20"/>
                <w:szCs w:val="20"/>
                <w:color w:val="auto"/>
              </w:rPr>
            </w:pPr>
            <w:r>
              <w:rPr>
                <w:rFonts w:ascii="Arial" w:cs="Arial" w:eastAsia="Arial" w:hAnsi="Arial"/>
                <w:sz w:val="16"/>
                <w:szCs w:val="16"/>
                <w:b w:val="1"/>
                <w:bCs w:val="1"/>
                <w:color w:val="auto"/>
                <w:w w:val="91"/>
              </w:rPr>
              <w:t>Grosse Pointe Farms, Michigan</w:t>
            </w:r>
          </w:p>
        </w:tc>
        <w:tc>
          <w:tcPr>
            <w:tcW w:w="1760" w:type="dxa"/>
            <w:vAlign w:val="bottom"/>
          </w:tcPr>
          <w:p>
            <w:pPr>
              <w:jc w:val="center"/>
              <w:ind w:left="479"/>
              <w:spacing w:after="0"/>
              <w:rPr>
                <w:sz w:val="20"/>
                <w:szCs w:val="20"/>
                <w:color w:val="auto"/>
              </w:rPr>
            </w:pPr>
            <w:r>
              <w:rPr>
                <w:rFonts w:ascii="Arial" w:cs="Arial" w:eastAsia="Arial" w:hAnsi="Arial"/>
                <w:sz w:val="16"/>
                <w:szCs w:val="16"/>
                <w:i w:val="1"/>
                <w:iCs w:val="1"/>
                <w:color w:val="auto"/>
                <w:w w:val="95"/>
              </w:rPr>
              <w:t>(Zip Code)</w:t>
            </w:r>
          </w:p>
        </w:tc>
      </w:tr>
    </w:tbl>
    <w:p>
      <w:pPr>
        <w:ind w:left="130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(313) 886-7070</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53"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2"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34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3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Trading symbol(s)</w:t>
            </w:r>
          </w:p>
        </w:tc>
        <w:tc>
          <w:tcPr>
            <w:tcW w:w="3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17"/>
        </w:trPr>
        <w:tc>
          <w:tcPr>
            <w:tcW w:w="3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Class A Common Stock, par value $.01 per share</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SGA</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NASDAQ Global Market</w:t>
            </w:r>
          </w:p>
        </w:tc>
      </w:tr>
      <w:tr>
        <w:trPr>
          <w:trHeight w:val="33"/>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bl>
    <w:p>
      <w:pPr>
        <w:spacing w:after="0" w:line="206" w:lineRule="exact"/>
        <w:rPr>
          <w:sz w:val="24"/>
          <w:szCs w:val="24"/>
          <w:color w:val="auto"/>
        </w:rPr>
      </w:pPr>
    </w:p>
    <w:p>
      <w:pPr>
        <w:ind w:left="20" w:right="8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01" w:lineRule="exact"/>
        <w:rPr>
          <w:sz w:val="24"/>
          <w:szCs w:val="24"/>
          <w:color w:val="auto"/>
        </w:rPr>
      </w:pPr>
    </w:p>
    <w:p>
      <w:pPr>
        <w:jc w:val="both"/>
        <w:ind w:left="20" w:right="14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01" w:lineRule="exact"/>
        <w:rPr>
          <w:sz w:val="24"/>
          <w:szCs w:val="24"/>
          <w:color w:val="auto"/>
        </w:rPr>
      </w:pPr>
    </w:p>
    <w:p>
      <w:pPr>
        <w:ind w:left="20" w:right="200"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p>
      <w:pPr>
        <w:ind w:left="160"/>
        <w:spacing w:after="0" w:line="184" w:lineRule="exact"/>
        <w:tabs>
          <w:tab w:leader="none" w:pos="2060" w:val="left"/>
          <w:tab w:leader="none" w:pos="3680" w:val="left"/>
          <w:tab w:leader="none" w:pos="5640" w:val="left"/>
          <w:tab w:leader="none" w:pos="80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70" w:lineRule="exact"/>
        <w:rPr>
          <w:sz w:val="24"/>
          <w:szCs w:val="24"/>
          <w:color w:val="auto"/>
        </w:rPr>
      </w:pPr>
    </w:p>
    <w:p>
      <w:pPr>
        <w:ind w:left="20" w:right="28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0" w:lineRule="exact"/>
        <w:rPr>
          <w:sz w:val="24"/>
          <w:szCs w:val="24"/>
          <w:color w:val="auto"/>
        </w:rPr>
      </w:pPr>
    </w:p>
    <w:p>
      <w:pPr>
        <w:ind w:left="20" w:right="140" w:firstLine="324"/>
        <w:spacing w:after="0" w:line="293" w:lineRule="auto"/>
        <w:rPr>
          <w:sz w:val="20"/>
          <w:szCs w:val="20"/>
          <w:color w:val="auto"/>
        </w:rPr>
      </w:pPr>
      <w:r>
        <w:rPr>
          <w:rFonts w:ascii="Arial" w:cs="Arial" w:eastAsia="Arial" w:hAnsi="Arial"/>
          <w:sz w:val="16"/>
          <w:szCs w:val="16"/>
          <w:color w:val="auto"/>
        </w:rPr>
        <w:t>The number of shares of the registrant’s Class A Common Stock, $.01 par value, and Class B Common Stock, $.01 par value, outstanding as of August 5, 2021 was 5,042,752 and 937,641,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603885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115570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149860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60"/>
          </w:cols>
          <w:pgMar w:left="820" w:top="665" w:right="81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00" w:type="dxa"/>
            <w:vAlign w:val="bottom"/>
            <w:gridSpan w:val="9"/>
          </w:tcPr>
          <w:p>
            <w:pPr>
              <w:ind w:left="1200"/>
              <w:spacing w:after="0"/>
              <w:rPr>
                <w:sz w:val="20"/>
                <w:szCs w:val="20"/>
                <w:color w:val="auto"/>
              </w:rPr>
            </w:pPr>
            <w:r>
              <w:rPr>
                <w:rFonts w:ascii="Arial" w:cs="Arial" w:eastAsia="Arial" w:hAnsi="Arial"/>
                <w:sz w:val="18"/>
                <w:szCs w:val="18"/>
                <w:b w:val="1"/>
                <w:bCs w:val="1"/>
                <w:color w:val="auto"/>
              </w:rPr>
              <w:t>INDEX</w:t>
            </w:r>
          </w:p>
        </w:tc>
        <w:tc>
          <w:tcPr>
            <w:tcW w:w="820" w:type="dxa"/>
            <w:vAlign w:val="bottom"/>
          </w:tcPr>
          <w:p>
            <w:pPr>
              <w:spacing w:after="0"/>
              <w:rPr>
                <w:sz w:val="20"/>
                <w:szCs w:val="20"/>
                <w:color w:val="auto"/>
              </w:rPr>
            </w:pPr>
          </w:p>
        </w:tc>
      </w:tr>
      <w:tr>
        <w:trPr>
          <w:trHeight w:val="621"/>
        </w:trPr>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Page</w:t>
            </w:r>
          </w:p>
        </w:tc>
      </w:tr>
      <w:tr>
        <w:trPr>
          <w:trHeight w:val="190"/>
        </w:trPr>
        <w:tc>
          <w:tcPr>
            <w:tcW w:w="8080" w:type="dxa"/>
            <w:vAlign w:val="bottom"/>
            <w:gridSpan w:val="20"/>
            <w:shd w:val="clear" w:color="auto" w:fill="CCEEFF"/>
          </w:tcPr>
          <w:p>
            <w:pPr>
              <w:ind w:left="20"/>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82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79"/>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90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June 30, 2021 and December 31, 2020</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900" w:type="dxa"/>
            <w:vAlign w:val="bottom"/>
            <w:gridSpan w:val="18"/>
            <w:shd w:val="clear" w:color="auto" w:fill="CCEEFF"/>
          </w:tcPr>
          <w:p>
            <w:pPr>
              <w:spacing w:after="0" w:line="17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 Three and six months ended June 30, 2021 and 2020</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stockholders’ equity – Three and six months ended June 30, 2021 and</w:t>
              </w:r>
            </w:hyperlink>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216"/>
        </w:trPr>
        <w:tc>
          <w:tcPr>
            <w:tcW w:w="780" w:type="dxa"/>
            <w:vAlign w:val="bottom"/>
            <w:gridSpan w:val="4"/>
            <w:shd w:val="clear" w:color="auto" w:fill="CCEEFF"/>
          </w:tcPr>
          <w:p>
            <w:pPr>
              <w:ind w:left="18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2020</w:t>
              </w:r>
            </w:hyperlink>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900" w:type="dxa"/>
            <w:vAlign w:val="bottom"/>
            <w:gridSpan w:val="18"/>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 Six months ended June 30, 2021 and 2020</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900" w:type="dxa"/>
            <w:vAlign w:val="bottom"/>
            <w:gridSpan w:val="1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 Quantitative and Qualitative Disclosures about Market Risk</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 Controls and Procedures</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PART II OTHER INFORMATION</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 Legal Proceedings</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1A. Risk Factors</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2. Unregistered Sales of Equity Securities and Use of Proceeds</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6. Exhibits</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216"/>
        </w:trPr>
        <w:tc>
          <w:tcPr>
            <w:tcW w:w="8080" w:type="dxa"/>
            <w:vAlign w:val="bottom"/>
            <w:gridSpan w:val="20"/>
            <w:shd w:val="clear" w:color="auto" w:fill="CCEEFF"/>
          </w:tcPr>
          <w:p>
            <w:pPr>
              <w:ind w:left="20"/>
              <w:spacing w:after="0"/>
              <w:rPr>
                <w:sz w:val="20"/>
                <w:szCs w:val="20"/>
                <w:color w:val="auto"/>
              </w:rPr>
            </w:pPr>
            <w:r>
              <w:rPr>
                <w:rFonts w:ascii="Arial" w:cs="Arial" w:eastAsia="Arial" w:hAnsi="Arial"/>
                <w:sz w:val="18"/>
                <w:szCs w:val="18"/>
                <w:color w:val="auto"/>
              </w:rPr>
              <w:t>EX-31.1</w:t>
            </w: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080" w:type="dxa"/>
            <w:vAlign w:val="bottom"/>
            <w:gridSpan w:val="20"/>
            <w:shd w:val="clear" w:color="auto" w:fill="CCEEFF"/>
          </w:tcPr>
          <w:p>
            <w:pPr>
              <w:ind w:left="20"/>
              <w:spacing w:after="0"/>
              <w:rPr>
                <w:sz w:val="20"/>
                <w:szCs w:val="20"/>
                <w:color w:val="auto"/>
              </w:rPr>
            </w:pPr>
            <w:r>
              <w:rPr>
                <w:rFonts w:ascii="Arial" w:cs="Arial" w:eastAsia="Arial" w:hAnsi="Arial"/>
                <w:sz w:val="18"/>
                <w:szCs w:val="18"/>
                <w:color w:val="auto"/>
              </w:rPr>
              <w:t>EX-31.2</w:t>
            </w: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080" w:type="dxa"/>
            <w:vAlign w:val="bottom"/>
            <w:gridSpan w:val="20"/>
            <w:shd w:val="clear" w:color="auto" w:fill="CCEEFF"/>
          </w:tcPr>
          <w:p>
            <w:pPr>
              <w:ind w:left="20"/>
              <w:spacing w:after="0"/>
              <w:rPr>
                <w:sz w:val="20"/>
                <w:szCs w:val="20"/>
                <w:color w:val="auto"/>
              </w:rPr>
            </w:pPr>
            <w:r>
              <w:rPr>
                <w:rFonts w:ascii="Arial" w:cs="Arial" w:eastAsia="Arial" w:hAnsi="Arial"/>
                <w:sz w:val="18"/>
                <w:szCs w:val="18"/>
                <w:color w:val="auto"/>
              </w:rPr>
              <w:t>EX-32</w:t>
            </w: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080" w:type="dxa"/>
            <w:vAlign w:val="bottom"/>
            <w:gridSpan w:val="20"/>
            <w:shd w:val="clear" w:color="auto" w:fill="CCEEFF"/>
          </w:tcPr>
          <w:p>
            <w:pPr>
              <w:ind w:left="20"/>
              <w:spacing w:after="0"/>
              <w:rPr>
                <w:sz w:val="20"/>
                <w:szCs w:val="20"/>
                <w:color w:val="auto"/>
              </w:rPr>
            </w:pPr>
            <w:r>
              <w:rPr>
                <w:rFonts w:ascii="Arial" w:cs="Arial" w:eastAsia="Arial" w:hAnsi="Arial"/>
                <w:sz w:val="18"/>
                <w:szCs w:val="18"/>
                <w:color w:val="auto"/>
              </w:rPr>
              <w:t>EX-101 INSTANCE DOCUMENT</w:t>
            </w:r>
          </w:p>
        </w:tc>
        <w:tc>
          <w:tcPr>
            <w:tcW w:w="8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LABELS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80" w:type="dxa"/>
            <w:vAlign w:val="bottom"/>
          </w:tcPr>
          <w:p>
            <w:pPr>
              <w:jc w:val="center"/>
              <w:ind w:left="390"/>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4080" w:type="dxa"/>
            <w:vAlign w:val="bottom"/>
          </w:tcPr>
          <w:p>
            <w:pPr>
              <w:jc w:val="center"/>
              <w:ind w:left="390"/>
              <w:spacing w:after="0"/>
              <w:rPr>
                <w:sz w:val="20"/>
                <w:szCs w:val="20"/>
                <w:color w:val="auto"/>
              </w:rPr>
            </w:pPr>
            <w:r>
              <w:rPr>
                <w:rFonts w:ascii="Arial" w:cs="Arial" w:eastAsia="Arial" w:hAnsi="Arial"/>
                <w:sz w:val="18"/>
                <w:szCs w:val="18"/>
                <w:b w:val="1"/>
                <w:bCs w:val="1"/>
                <w:color w:val="auto"/>
              </w:rPr>
              <w:t>SAGA COMMUNICATIONS, INC.</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360" w:type="dxa"/>
            <w:vAlign w:val="bottom"/>
            <w:gridSpan w:val="5"/>
          </w:tcPr>
          <w:p>
            <w:pPr>
              <w:jc w:val="center"/>
              <w:ind w:right="80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(Note)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5"/>
          </w:tcPr>
          <w:p>
            <w:pPr>
              <w:jc w:val="right"/>
              <w:ind w:right="470"/>
              <w:spacing w:after="0" w:line="196" w:lineRule="exact"/>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Barter transactions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70,968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142,811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142,680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87,795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property and equipment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54,885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Broadcast licenses,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90,277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90,208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intangibles, right of use assets, deferred costs and investments, net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11,321</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40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252,811</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246,488</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vMerge w:val="restart"/>
          </w:tcPr>
          <w:p>
            <w:pPr>
              <w:spacing w:after="0"/>
              <w:rPr>
                <w:sz w:val="17"/>
                <w:szCs w:val="17"/>
                <w:color w:val="auto"/>
              </w:rPr>
            </w:pPr>
          </w:p>
        </w:tc>
        <w:tc>
          <w:tcPr>
            <w:tcW w:w="21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Accrued payroll and payroll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Dividend payable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Barter transactions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58,293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69,400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68,900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Treasury stock</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252,811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246,488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Note: The balance sheet at December 31, 2020 has been derived from the audited financial statements at that date but does not include all of the information and footnotes required by accounting principles generally accepted in the United States for complete financial statements.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SAGA COMMUNICATIONS, INC.</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260" w:type="dxa"/>
            <w:vAlign w:val="bottom"/>
            <w:gridSpan w:val="10"/>
          </w:tcPr>
          <w:p>
            <w:pPr>
              <w:jc w:val="right"/>
              <w:ind w:right="47"/>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4"/>
              </w:rPr>
              <w:t>Three Months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5"/>
          </w:tcPr>
          <w:p>
            <w:pPr>
              <w:ind w:left="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2021</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jc w:val="right"/>
              <w:ind w:right="350"/>
              <w:spacing w:after="0" w:line="177" w:lineRule="exact"/>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12"/>
          </w:tcPr>
          <w:p>
            <w:pPr>
              <w:ind w:left="280"/>
              <w:spacing w:after="0"/>
              <w:rPr>
                <w:sz w:val="20"/>
                <w:szCs w:val="20"/>
                <w:color w:val="auto"/>
              </w:rPr>
            </w:pPr>
            <w:r>
              <w:rPr>
                <w:rFonts w:ascii="Arial" w:cs="Arial" w:eastAsia="Arial" w:hAnsi="Arial"/>
                <w:sz w:val="18"/>
                <w:szCs w:val="18"/>
                <w:b w:val="1"/>
                <w:bCs w:val="1"/>
                <w:color w:val="auto"/>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revenue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28,046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50,347</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Station operating expenses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21,017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39,940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40,851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Corporate general and administrative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operating (income) expense, net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broadcast licenses</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Operating income (loss)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5,498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(loss) before income tax expense (benefit)</w:t>
            </w:r>
          </w:p>
        </w:tc>
        <w:tc>
          <w:tcPr>
            <w:tcW w:w="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4,578</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5,666</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w:t>
            </w:r>
          </w:p>
        </w:tc>
        <w:tc>
          <w:tcPr>
            <w:tcW w:w="1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Diluted</w:t>
            </w:r>
          </w:p>
        </w:tc>
        <w:tc>
          <w:tcPr>
            <w:tcW w:w="4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0.54</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0.67</w:t>
            </w:r>
          </w:p>
        </w:tc>
        <w:tc>
          <w:tcPr>
            <w:tcW w:w="1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common shares</w:t>
            </w:r>
          </w:p>
        </w:tc>
        <w:tc>
          <w:tcPr>
            <w:tcW w:w="4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w:t>
            </w:r>
          </w:p>
        </w:tc>
        <w:tc>
          <w:tcPr>
            <w:tcW w:w="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8"/>
              </w:rPr>
              <w:t>Weighted average common and common equivalent shares</w:t>
            </w:r>
          </w:p>
        </w:tc>
        <w:tc>
          <w:tcPr>
            <w:tcW w:w="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5,917</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5,868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5,915</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12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89"/>
              </w:rPr>
              <w:t>Class B</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7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2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940" w:type="dxa"/>
            <w:vAlign w:val="bottom"/>
            <w:gridSpan w:val="4"/>
          </w:tcPr>
          <w:p>
            <w:pPr>
              <w:ind w:left="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88"/>
              <w:spacing w:after="0" w:line="142"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74"/>
              </w:rPr>
              <w:t>(In thousands)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2019</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954</w:t>
            </w:r>
          </w:p>
        </w:tc>
        <w:tc>
          <w:tcPr>
            <w:tcW w:w="620" w:type="dxa"/>
            <w:vAlign w:val="bottom"/>
            <w:gridSpan w:val="2"/>
            <w:shd w:val="clear" w:color="auto" w:fill="CCEEFF"/>
          </w:tcPr>
          <w:p>
            <w:pPr>
              <w:jc w:val="right"/>
              <w:ind w:right="33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66,811</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162,822</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(37,358)</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192,352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Net income, three months ended March 31,</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2020</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1,680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per common share</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(1,919)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Compensation expense related to restricted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stock awards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shares held in treasury</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401(k) plan contribution</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2020</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6,771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38"/>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67,249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162,583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(36,996)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192,913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Arial" w:cs="Arial" w:eastAsia="Arial" w:hAnsi="Arial"/>
                <w:sz w:val="14"/>
                <w:szCs w:val="14"/>
                <w:color w:val="auto"/>
              </w:rPr>
              <w:t>Net loss, three months ended June 30, 2020</w:t>
            </w: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00" w:type="dxa"/>
            <w:vAlign w:val="bottom"/>
            <w:gridSpan w:val="2"/>
            <w:vMerge w:val="continue"/>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Arial" w:cs="Arial" w:eastAsia="Arial" w:hAnsi="Arial"/>
                <w:sz w:val="14"/>
                <w:szCs w:val="14"/>
                <w:color w:val="auto"/>
                <w:w w:val="99"/>
              </w:rPr>
              <w:t>—</w:t>
            </w:r>
          </w:p>
        </w:tc>
        <w:tc>
          <w:tcPr>
            <w:tcW w:w="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color w:val="auto"/>
              </w:rPr>
              <w:t>(4,911)</w:t>
            </w:r>
          </w:p>
        </w:tc>
        <w:tc>
          <w:tcPr>
            <w:tcW w:w="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color w:val="auto"/>
              </w:rPr>
              <w:t>(4,911)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Forfeiture of restricted stock</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Compensation expense related to restricted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stock awards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shares held in treasury</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June 30, 2020</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6,769</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954</w:t>
            </w:r>
          </w:p>
        </w:tc>
        <w:tc>
          <w:tcPr>
            <w:tcW w:w="1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67,861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157,672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188,593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12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89"/>
              </w:rPr>
              <w:t>Class B</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4"/>
                <w:szCs w:val="24"/>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24"/>
                <w:szCs w:val="24"/>
                <w:color w:val="auto"/>
              </w:rPr>
            </w:pPr>
          </w:p>
        </w:tc>
        <w:tc>
          <w:tcPr>
            <w:tcW w:w="7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2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940" w:type="dxa"/>
            <w:vAlign w:val="bottom"/>
            <w:gridSpan w:val="4"/>
          </w:tcPr>
          <w:p>
            <w:pPr>
              <w:ind w:left="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88"/>
              <w:spacing w:after="0" w:line="142"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74"/>
              </w:rPr>
              <w:t>(In thousands)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640" w:type="dxa"/>
            <w:vAlign w:val="bottom"/>
            <w:gridSpan w:val="2"/>
          </w:tcPr>
          <w:p>
            <w:pPr>
              <w:spacing w:after="0"/>
              <w:rPr>
                <w:sz w:val="8"/>
                <w:szCs w:val="8"/>
                <w:color w:val="auto"/>
              </w:rPr>
            </w:pPr>
          </w:p>
        </w:tc>
        <w:tc>
          <w:tcPr>
            <w:tcW w:w="22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2020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w:t>
            </w:r>
          </w:p>
        </w:tc>
        <w:tc>
          <w:tcPr>
            <w:tcW w:w="620" w:type="dxa"/>
            <w:vAlign w:val="bottom"/>
            <w:gridSpan w:val="2"/>
            <w:shd w:val="clear" w:color="auto" w:fill="CCEEFF"/>
          </w:tcPr>
          <w:p>
            <w:pPr>
              <w:jc w:val="right"/>
              <w:ind w:right="33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68,900</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158,990</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(37,425)</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190,542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Net income, three months ended March 31,</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2021</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758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Compensation expense related to restricted</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stock awards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401(k) plan contribution</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2021</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6,785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38"/>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69,043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159,748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(37,004)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191,864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Arial" w:cs="Arial" w:eastAsia="Arial" w:hAnsi="Arial"/>
                <w:sz w:val="14"/>
                <w:szCs w:val="14"/>
                <w:color w:val="auto"/>
                <w:w w:val="97"/>
              </w:rPr>
              <w:t>Net income, three months ended June 30, 2021</w:t>
            </w: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00" w:type="dxa"/>
            <w:vAlign w:val="bottom"/>
            <w:gridSpan w:val="2"/>
            <w:vMerge w:val="continue"/>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Arial" w:cs="Arial" w:eastAsia="Arial" w:hAnsi="Arial"/>
                <w:sz w:val="14"/>
                <w:szCs w:val="14"/>
                <w:color w:val="auto"/>
                <w:w w:val="99"/>
              </w:rPr>
              <w:t>—</w:t>
            </w:r>
          </w:p>
        </w:tc>
        <w:tc>
          <w:tcPr>
            <w:tcW w:w="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color w:val="auto"/>
              </w:rPr>
              <w:t>3,253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color w:val="auto"/>
              </w:rPr>
              <w:t>3,253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per common share</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Compensation expense related to restricted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stock awards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June 30, 2021</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6,785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38"/>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69,400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162,045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(37,004)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194,518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80" w:type="dxa"/>
            <w:vAlign w:val="bottom"/>
          </w:tcPr>
          <w:p>
            <w:pPr>
              <w:ind w:left="3080"/>
              <w:spacing w:after="0"/>
              <w:rPr>
                <w:sz w:val="20"/>
                <w:szCs w:val="20"/>
                <w:color w:val="auto"/>
              </w:rPr>
            </w:pPr>
            <w:r>
              <w:rPr>
                <w:rFonts w:ascii="Arial" w:cs="Arial" w:eastAsia="Arial" w:hAnsi="Arial"/>
                <w:sz w:val="18"/>
                <w:szCs w:val="18"/>
                <w:b w:val="1"/>
                <w:bCs w:val="1"/>
                <w:color w:val="auto"/>
              </w:rPr>
              <w:t>SAGA COMMUNICATIONS, INC.</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05"/>
        </w:trPr>
        <w:tc>
          <w:tcPr>
            <w:tcW w:w="7700" w:type="dxa"/>
            <w:vAlign w:val="bottom"/>
            <w:gridSpan w:val="4"/>
          </w:tcPr>
          <w:p>
            <w:pPr>
              <w:ind w:left="1760"/>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27"/>
        </w:trPr>
        <w:tc>
          <w:tcPr>
            <w:tcW w:w="6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6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09"/>
        </w:trPr>
        <w:tc>
          <w:tcPr>
            <w:tcW w:w="6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2020</w:t>
            </w:r>
          </w:p>
        </w:tc>
        <w:tc>
          <w:tcPr>
            <w:tcW w:w="320" w:type="dxa"/>
            <w:vAlign w:val="bottom"/>
          </w:tcPr>
          <w:p>
            <w:pPr>
              <w:spacing w:after="0"/>
              <w:rPr>
                <w:sz w:val="18"/>
                <w:szCs w:val="18"/>
                <w:color w:val="auto"/>
              </w:rPr>
            </w:pPr>
          </w:p>
        </w:tc>
      </w:tr>
      <w:tr>
        <w:trPr>
          <w:trHeight w:val="178"/>
        </w:trPr>
        <w:tc>
          <w:tcPr>
            <w:tcW w:w="6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4"/>
          </w:tcPr>
          <w:p>
            <w:pPr>
              <w:jc w:val="center"/>
              <w:ind w:right="90"/>
              <w:spacing w:after="0" w:line="177" w:lineRule="exact"/>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15"/>
                <w:szCs w:val="15"/>
                <w:color w:val="auto"/>
              </w:rPr>
            </w:pPr>
          </w:p>
        </w:tc>
      </w:tr>
      <w:tr>
        <w:trPr>
          <w:trHeight w:val="234"/>
        </w:trPr>
        <w:tc>
          <w:tcPr>
            <w:tcW w:w="6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0"/>
              </w:rPr>
              <w:t>(In thousands)</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9,203</w:t>
            </w:r>
          </w:p>
        </w:tc>
        <w:tc>
          <w:tcPr>
            <w:tcW w:w="24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8,319</w:t>
            </w:r>
          </w:p>
        </w:tc>
        <w:tc>
          <w:tcPr>
            <w:tcW w:w="3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Acquisition of property and equipment</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(1,455)</w:t>
            </w:r>
          </w:p>
        </w:tc>
        <w:tc>
          <w:tcPr>
            <w:tcW w:w="2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(1,379)</w:t>
            </w: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 of broadcast properties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w:t>
            </w: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Proceeds from sale and disposal of assets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1,669</w:t>
            </w:r>
          </w:p>
        </w:tc>
        <w:tc>
          <w:tcPr>
            <w:tcW w:w="320" w:type="dxa"/>
            <w:vAlign w:val="bottom"/>
          </w:tcPr>
          <w:p>
            <w:pPr>
              <w:spacing w:after="0"/>
              <w:rPr>
                <w:sz w:val="18"/>
                <w:szCs w:val="18"/>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insurance claims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20" w:type="dxa"/>
            <w:vAlign w:val="bottom"/>
            <w:shd w:val="clear" w:color="auto" w:fill="CCEEFF"/>
          </w:tcPr>
          <w:p>
            <w:pPr>
              <w:spacing w:after="0"/>
              <w:rPr>
                <w:sz w:val="18"/>
                <w:szCs w:val="18"/>
                <w:color w:val="auto"/>
              </w:rPr>
            </w:pP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Other investing activities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10"/>
        </w:trPr>
        <w:tc>
          <w:tcPr>
            <w:tcW w:w="6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32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dividends paid</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(3,716)</w:t>
            </w: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Purchase of treasury shares</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r>
      <w:tr>
        <w:trPr>
          <w:trHeight w:val="209"/>
        </w:trPr>
        <w:tc>
          <w:tcPr>
            <w:tcW w:w="6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320" w:type="dxa"/>
            <w:vAlign w:val="bottom"/>
            <w:tcBorders>
              <w:top w:val="single" w:sz="8" w:color="CCEEFF"/>
            </w:tcBorders>
            <w:shd w:val="clear" w:color="auto" w:fill="CCEEFF"/>
          </w:tcPr>
          <w:p>
            <w:pPr>
              <w:spacing w:after="0"/>
              <w:rPr>
                <w:sz w:val="18"/>
                <w:szCs w:val="18"/>
                <w:color w:val="auto"/>
              </w:rPr>
            </w:pPr>
          </w:p>
        </w:tc>
      </w:tr>
      <w:tr>
        <w:trPr>
          <w:trHeight w:val="210"/>
        </w:trPr>
        <w:tc>
          <w:tcPr>
            <w:tcW w:w="65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4,875</w:t>
            </w:r>
          </w:p>
        </w:tc>
        <w:tc>
          <w:tcPr>
            <w:tcW w:w="3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51,353</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44,034</w:t>
            </w:r>
          </w:p>
        </w:tc>
        <w:tc>
          <w:tcPr>
            <w:tcW w:w="320" w:type="dxa"/>
            <w:vAlign w:val="bottom"/>
            <w:shd w:val="clear" w:color="auto" w:fill="CCEEFF"/>
          </w:tcPr>
          <w:p>
            <w:pPr>
              <w:spacing w:after="0"/>
              <w:rPr>
                <w:sz w:val="18"/>
                <w:szCs w:val="18"/>
                <w:color w:val="auto"/>
              </w:rPr>
            </w:pPr>
          </w:p>
        </w:tc>
      </w:tr>
      <w:tr>
        <w:trPr>
          <w:trHeight w:val="210"/>
        </w:trPr>
        <w:tc>
          <w:tcPr>
            <w:tcW w:w="658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59,384</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48,909</w:t>
            </w:r>
          </w:p>
        </w:tc>
        <w:tc>
          <w:tcPr>
            <w:tcW w:w="32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380" w:right="5419" w:hanging="330"/>
        <w:spacing w:after="0" w:line="464" w:lineRule="auto"/>
        <w:tabs>
          <w:tab w:leader="none" w:pos="23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60" w:right="179" w:firstLine="324"/>
        <w:spacing w:after="0" w:line="30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footnotes required by accounting principles generally accepted in the United States for annual financial statements.</w:t>
      </w:r>
    </w:p>
    <w:p>
      <w:pPr>
        <w:spacing w:after="0" w:line="117"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In our opinion, the accompanying financial statements include all adjustments of a normal, recurring nature considered necessary for a fair presentation of our financial position as of June 30, 2021 and the results of operations for the three and six months ended June 30, 2021 and 2020. Results of operations for three and six months ended June 30, 2021 are not necessarily indicative of the results that may be expected for the year ending December 31, 2021.</w:t>
      </w:r>
    </w:p>
    <w:p>
      <w:pPr>
        <w:spacing w:after="0" w:line="117"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We own or operate broadcast properties in 27 markets, including 79 FM and 35 AM radio stations and 79 metro signals.</w:t>
      </w:r>
    </w:p>
    <w:p>
      <w:pPr>
        <w:spacing w:after="0" w:line="143" w:lineRule="exact"/>
        <w:rPr>
          <w:sz w:val="20"/>
          <w:szCs w:val="20"/>
          <w:color w:val="auto"/>
        </w:rPr>
      </w:pPr>
    </w:p>
    <w:p>
      <w:pPr>
        <w:ind w:left="60" w:right="579" w:firstLine="324"/>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footnotes thereto included in the Saga Communications, Inc. annual report on Form 10-K for the year ended December 31, 2020.</w:t>
      </w:r>
    </w:p>
    <w:p>
      <w:pPr>
        <w:spacing w:after="0" w:line="130" w:lineRule="exact"/>
        <w:rPr>
          <w:sz w:val="20"/>
          <w:szCs w:val="20"/>
          <w:color w:val="auto"/>
        </w:rPr>
      </w:pPr>
    </w:p>
    <w:p>
      <w:pPr>
        <w:ind w:left="60" w:right="139" w:firstLine="324"/>
        <w:spacing w:after="0" w:line="342" w:lineRule="auto"/>
        <w:rPr>
          <w:sz w:val="20"/>
          <w:szCs w:val="20"/>
          <w:color w:val="auto"/>
        </w:rPr>
      </w:pPr>
      <w:r>
        <w:rPr>
          <w:rFonts w:ascii="Arial" w:cs="Arial" w:eastAsia="Arial" w:hAnsi="Arial"/>
          <w:sz w:val="16"/>
          <w:szCs w:val="16"/>
          <w:color w:val="auto"/>
        </w:rPr>
        <w:t>We have evaluated events and transactions occurring subsequent to the balance sheet date of June 30, 2021, for items that should potentially be recognized in these financial statements or discussed within the notes to the financial statements.</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Earnings Per Share Information</w:t>
      </w:r>
    </w:p>
    <w:p>
      <w:pPr>
        <w:spacing w:after="0" w:line="198" w:lineRule="exact"/>
        <w:rPr>
          <w:sz w:val="20"/>
          <w:szCs w:val="20"/>
          <w:color w:val="auto"/>
        </w:rPr>
      </w:pPr>
    </w:p>
    <w:p>
      <w:pPr>
        <w:ind w:left="60" w:right="179" w:firstLine="324"/>
        <w:spacing w:after="0" w:line="275" w:lineRule="auto"/>
        <w:rPr>
          <w:sz w:val="20"/>
          <w:szCs w:val="20"/>
          <w:color w:val="auto"/>
        </w:rPr>
      </w:pPr>
      <w:r>
        <w:rPr>
          <w:rFonts w:ascii="Arial" w:cs="Arial" w:eastAsia="Arial" w:hAnsi="Arial"/>
          <w:sz w:val="17"/>
          <w:szCs w:val="17"/>
          <w:color w:val="auto"/>
        </w:rPr>
        <w:t>Earnings per share is calculated using the two-class method. The two-class method is an earnings allocation formula that determines earnings per share for each class of common stock and participating security. The Company has participating securities related to restricted stock units, granted under the Company’s Second Amended and Restated 2005 Incentive Compensation Plan, that earn dividends on an equal basis with common shares. In applying the two-class method, earnings are allocated to both common shares and participating securities.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computation of basic and diluted earnings (loss) per share:</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3"/>
              </w:rPr>
              <w:t>Three Months Ended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ind w:left="1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2020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gridSpan w:val="9"/>
          </w:tcPr>
          <w:p>
            <w:pPr>
              <w:jc w:val="right"/>
              <w:spacing w:after="0" w:line="196" w:lineRule="exact"/>
              <w:rPr>
                <w:sz w:val="20"/>
                <w:szCs w:val="20"/>
                <w:color w:val="auto"/>
              </w:rPr>
            </w:pPr>
            <w:r>
              <w:rPr>
                <w:rFonts w:ascii="Arial" w:cs="Arial" w:eastAsia="Arial" w:hAnsi="Arial"/>
                <w:sz w:val="18"/>
                <w:szCs w:val="18"/>
                <w:b w:val="1"/>
                <w:bCs w:val="1"/>
                <w:color w:val="auto"/>
              </w:rPr>
              <w:t>(In thousands, except per share data)</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80"/>
              <w:spacing w:after="0"/>
              <w:rPr>
                <w:sz w:val="20"/>
                <w:szCs w:val="20"/>
                <w:color w:val="auto"/>
              </w:rPr>
            </w:pPr>
            <w:r>
              <w:rPr>
                <w:rFonts w:ascii="Arial" w:cs="Arial" w:eastAsia="Arial" w:hAnsi="Arial"/>
                <w:sz w:val="18"/>
                <w:szCs w:val="18"/>
                <w:color w:val="auto"/>
              </w:rPr>
              <w:t>Net income (loss)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3,253</w:t>
            </w:r>
          </w:p>
        </w:tc>
        <w:tc>
          <w:tcPr>
            <w:tcW w:w="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(4,911)</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4,011</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5"/>
              </w:rPr>
              <w:t>Less: Income (loss) allocated to unvested participating</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w w:val="99"/>
              </w:rPr>
              <w:t>Net income (loss) available to common stockholders</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6"/>
              </w:rPr>
              <w:t>Denominator for basic earnings per share — weighted</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shares</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8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Common stock equivalents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40" w:type="dxa"/>
            <w:vAlign w:val="bottom"/>
          </w:tcPr>
          <w:p>
            <w:pPr>
              <w:ind w:left="80"/>
              <w:spacing w:after="0" w:line="182" w:lineRule="exact"/>
              <w:rPr>
                <w:sz w:val="20"/>
                <w:szCs w:val="20"/>
                <w:color w:val="auto"/>
              </w:rPr>
            </w:pPr>
            <w:r>
              <w:rPr>
                <w:rFonts w:ascii="Arial" w:cs="Arial" w:eastAsia="Arial" w:hAnsi="Arial"/>
                <w:sz w:val="18"/>
                <w:szCs w:val="18"/>
                <w:color w:val="auto"/>
                <w:w w:val="94"/>
              </w:rPr>
              <w:t>Denominator for diluted earnings per share — adjusted</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5,917</w:t>
            </w:r>
          </w:p>
        </w:tc>
        <w:tc>
          <w:tcPr>
            <w:tcW w:w="1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5,868</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5,915</w:t>
            </w: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5,867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w w:val="99"/>
              </w:rPr>
              <w:t>weighted-average shares and assumed conversions</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0.54</w:t>
            </w:r>
          </w:p>
        </w:tc>
        <w:tc>
          <w:tcPr>
            <w:tcW w:w="1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0.67</w:t>
            </w:r>
          </w:p>
        </w:tc>
        <w:tc>
          <w:tcPr>
            <w:tcW w:w="2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(0.54)</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319" w:firstLine="324"/>
        <w:spacing w:after="0" w:line="286" w:lineRule="auto"/>
        <w:rPr>
          <w:sz w:val="20"/>
          <w:szCs w:val="20"/>
          <w:color w:val="auto"/>
        </w:rPr>
      </w:pPr>
      <w:r>
        <w:rPr>
          <w:rFonts w:ascii="Arial" w:cs="Arial" w:eastAsia="Arial" w:hAnsi="Arial"/>
          <w:sz w:val="17"/>
          <w:szCs w:val="17"/>
          <w:color w:val="auto"/>
        </w:rPr>
        <w:t>There were no stock options outstanding that had an antidilutive effect on our earnings per share calculation for the three and six months ended June 30, 2021 and 2020, respectively. The actual effect of these shares, if any, on the diluted earnings per share calculation will vary significantly depending on the fluctuation in the stock price.</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98"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Our financial instruments are comprised of cash and cash equivalents, accounts receivable, accounts payable and long-term debt. The carrying value of cash and cash equivalents, accounts receivable and accounts payable approximate fair value due to their short maturities. The carrying value of long-term debt approximates fair value as it carries interest rates that either fluctuate with the euro-dollar rate, prime rate or have been reset at the prevailing market rate at June 30, 2021.</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85"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A provision for doubtful accounts is recorded based on our judgment of collectability of receivables. Amounts are written off when determined to be fully uncollectible. Delinquent accounts are based on contractual terms. We have included in our calculation of our allowance for doubtful accounts, the potential impact of the COVID-19 pandemic on our customers’ businesses and their ability to pay their accounts receivable. We maintain a specific allowance for estimated losses resulting from the inability of certain customers to make required payments. We also consider factors external to the specific customer, including current conditions and forecasts of economic conditions, including the potential impact of the COVID-19 pandemic. In the event we recover amounts previously written off, we will reduce the specific allowance for credit loss. Our allowance for doubtful accounts was $446,000 and $648,000 at June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Our effective tax rate is higher than the federal statutory rate as a result of the inclusion of state taxes in the income tax amount. 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for the reporting period.</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Segments</w:t>
      </w:r>
    </w:p>
    <w:p>
      <w:pPr>
        <w:spacing w:after="0" w:line="185"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We serve twenty-seven radio markets (reporting units) that aggregate into one operating segment (Radio), which also qualifies as a reportable segment. We operate under one reportable business segment for which segment disclosure is consistent with the management decision-making process that determines the allocation of resources and the measuring of performance. The Chief Operating Decision Maker (“CODM”) evaluates the results of the radio operating segment and makes operating and capital investment decisions based at the Company level. Furthermore, technological enhancements and system integration decisions are reached at the Company level and applied to all markets rather than to specific or individual markets to ensure that each market has the same tools and opportunities as every other market. Managers at the market level do not report to the CODM and instead report to other senior management, who are responsible for the operational oversight of radio markets and for communication of results to the CODM. We continually review our operating segment classification to align with operational changes in our business and may make changes as necessary.</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Time Brokerage Agreements/Local Marketing Agreements</w:t>
      </w:r>
    </w:p>
    <w:p>
      <w:pPr>
        <w:spacing w:after="0" w:line="198"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We have entered into Time Brokerage Agreements (“TBAs”) or Local Marketing Agreements (“LMAs”) in certain markets. In a typical TBA/LMA, the FCC licensee of a station makes available, for a fee, blocks of air time on its station to another party that supplies programming to be broadcast during that air time and sells their own commercial advertising announcements during the time periods specified. Revenue and expenses related to TBAs/LMAs are included in the accompanying unaudited Condensed Consolidated Statements of Income. Assets and liabilities related to the TBAs/LMAs are included in the accompanying unaudited Condensed Consolidated Balance Sheets.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Recent Accounting Pronouncements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In December 2019, the FASB issued ASU 2019-12, “</w:t>
      </w:r>
      <w:r>
        <w:rPr>
          <w:rFonts w:ascii="Arial" w:cs="Arial" w:eastAsia="Arial" w:hAnsi="Arial"/>
          <w:sz w:val="16"/>
          <w:szCs w:val="16"/>
          <w:i w:val="1"/>
          <w:iCs w:val="1"/>
          <w:color w:val="auto"/>
        </w:rPr>
        <w:t>Income Taxes (Topic 740): Simplifying the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Incomes Taxes” </w:t>
      </w:r>
      <w:r>
        <w:rPr>
          <w:rFonts w:ascii="Arial" w:cs="Arial" w:eastAsia="Arial" w:hAnsi="Arial"/>
          <w:sz w:val="16"/>
          <w:szCs w:val="16"/>
          <w:color w:val="auto"/>
        </w:rPr>
        <w:t>(“ASU 2019-12”) which is intended to simplify various aspects related to accounting for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ASU 2019-12 removes certain exceptions to the general principles in Topic 740 and also clarifies and amends existing guidance regarding the tax treatment of certain franchise taxes, goodwill and nontaxable entities, among other items to improve consistent application. ASU 2019-12 is effective for fiscal years and interim periods beginning after December 15, 2020. The Company adopted this standard on January 1, 2021 and there was no material impact as a result of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Nature of goods and services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description of principal activities from which we generate our revenue:</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Broadcast Advertising Revenue</w:t>
      </w:r>
    </w:p>
    <w:p>
      <w:pPr>
        <w:spacing w:after="0" w:line="185"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Our primary source of revenue is from the sale of advertising for broadcast on our stations. We recognize revenue from the sale of advertising as performance obligations are satisfied upon airing of the advertising; therefore, revenue is recognized at a point in time when each advertising spot is transmitted. Agency commissions are calculated based on a stated percentage applied to gross billing revenue for our advertising inventory placed by an agency and are reported as a reduction of advertising revenue.</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Digital Advertising Revenue</w:t>
      </w:r>
    </w:p>
    <w:p>
      <w:pPr>
        <w:spacing w:after="0" w:line="18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We recognize revenue from our digital initiatives across multiple platforms such as targeted digital advertising, online promotions, advertising on our websites, mobile messaging, email marketing and other e-commerce. Revenue is recorded when each specific performance obligation in the digital advertising campaign takes place, typically within a one month period.</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Other Revenue</w:t>
      </w:r>
    </w:p>
    <w:p>
      <w:pPr>
        <w:spacing w:after="0" w:line="198"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Other revenue includes revenue from concerts, promotional events, tower rent and other miscellaneous items. Revenue is generally recognized when the event is completed, as the promotional events are completed or as each performance obligation is satisfied.</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Revenues from contracts with customers comprised the following for three and six months ended June 30, 2021 and 2020:</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5"/>
          </w:tcPr>
          <w:p>
            <w:pPr>
              <w:ind w:left="2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18"/>
                <w:szCs w:val="18"/>
                <w:color w:val="auto"/>
              </w:rPr>
            </w:pPr>
          </w:p>
        </w:tc>
        <w:tc>
          <w:tcPr>
            <w:tcW w:w="18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39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182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r>
      <w:tr>
        <w:trPr>
          <w:trHeight w:val="210"/>
        </w:trPr>
        <w:tc>
          <w:tcPr>
            <w:tcW w:w="3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r>
      <w:tr>
        <w:trPr>
          <w:trHeight w:val="196"/>
        </w:trPr>
        <w:tc>
          <w:tcPr>
            <w:tcW w:w="3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4"/>
          </w:tcPr>
          <w:p>
            <w:pPr>
              <w:jc w:val="right"/>
              <w:ind w:right="190"/>
              <w:spacing w:after="0" w:line="196" w:lineRule="exact"/>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17"/>
                <w:szCs w:val="17"/>
                <w:color w:val="auto"/>
              </w:rPr>
            </w:pPr>
          </w:p>
        </w:tc>
        <w:tc>
          <w:tcPr>
            <w:tcW w:w="156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17"/>
                <w:szCs w:val="17"/>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Types of Revenue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Broadcast Advertising Revenue, net</w:t>
            </w:r>
          </w:p>
        </w:tc>
        <w:tc>
          <w:tcPr>
            <w:tcW w:w="14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24,944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15,241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$ 44,951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$ 38,995</w:t>
            </w:r>
          </w:p>
        </w:tc>
        <w:tc>
          <w:tcPr>
            <w:tcW w:w="2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Digital Advertising Revenue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26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Other Revenue</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2,760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2,355</w:t>
            </w:r>
          </w:p>
        </w:tc>
        <w:tc>
          <w:tcPr>
            <w:tcW w:w="260" w:type="dxa"/>
            <w:vAlign w:val="bottom"/>
          </w:tcPr>
          <w:p>
            <w:pPr>
              <w:spacing w:after="0"/>
              <w:rPr>
                <w:sz w:val="18"/>
                <w:szCs w:val="18"/>
                <w:color w:val="auto"/>
              </w:rPr>
            </w:pPr>
          </w:p>
        </w:tc>
      </w:tr>
      <w:tr>
        <w:trPr>
          <w:trHeight w:val="21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28,046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16,866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$ 50,347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$ 42,917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85" w:lineRule="exact"/>
        <w:rPr>
          <w:sz w:val="20"/>
          <w:szCs w:val="20"/>
          <w:color w:val="auto"/>
        </w:rPr>
      </w:pPr>
    </w:p>
    <w:p>
      <w:pPr>
        <w:ind w:left="60" w:right="399" w:firstLine="324"/>
        <w:spacing w:after="0" w:line="293" w:lineRule="auto"/>
        <w:rPr>
          <w:sz w:val="20"/>
          <w:szCs w:val="20"/>
          <w:color w:val="auto"/>
        </w:rPr>
      </w:pPr>
      <w:r>
        <w:rPr>
          <w:rFonts w:ascii="Arial" w:cs="Arial" w:eastAsia="Arial" w:hAnsi="Arial"/>
          <w:sz w:val="16"/>
          <w:szCs w:val="16"/>
          <w:color w:val="auto"/>
        </w:rPr>
        <w:t>Payments from our advertisers are generally due within 30 days although certain advertisers are required to pay in advance. When an advertiser pays for the services in advance of the performance obligations these prepayments are recorded as contract liabilities. Typical contract liabilities relate to prepayments for advertising spots not yet run; prepayments from sponsors for events that have not yet been held; and gift cards sold on our websites used to finance a broadcast advertising campaign. Generally all contract liabilities are expected to be recognized within one year and are included in accounts payable in the Company’s Condensed Consolidated Financial Statements and are immaterial.</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Transaction Price Allocated to the Remaining Performance Obligations</w:t>
      </w:r>
    </w:p>
    <w:p>
      <w:pPr>
        <w:spacing w:after="0" w:line="185"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As the majority of our sales contracts are one year or less, we have utilized the optional exemption under ASC 606-10-50-14 and will not disclose information about the remaining performance obligations for sales contracts which have original expected durations of one year or less.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Broadcast Licenses, Goodwill and Other Intangible Assets</w:t>
      </w:r>
    </w:p>
    <w:p>
      <w:pPr>
        <w:spacing w:after="0" w:line="202" w:lineRule="exact"/>
        <w:rPr>
          <w:sz w:val="20"/>
          <w:szCs w:val="20"/>
          <w:color w:val="auto"/>
        </w:rPr>
      </w:pPr>
    </w:p>
    <w:p>
      <w:pPr>
        <w:ind w:left="60" w:right="79" w:firstLine="226"/>
        <w:spacing w:after="0" w:line="284" w:lineRule="auto"/>
        <w:rPr>
          <w:sz w:val="20"/>
          <w:szCs w:val="20"/>
          <w:color w:val="auto"/>
        </w:rPr>
      </w:pPr>
      <w:r>
        <w:rPr>
          <w:rFonts w:ascii="Arial" w:cs="Arial" w:eastAsia="Arial" w:hAnsi="Arial"/>
          <w:sz w:val="16"/>
          <w:szCs w:val="16"/>
          <w:color w:val="auto"/>
        </w:rPr>
        <w:t>We evaluate our FCC licenses for impairment annually or more frequently if events or changes in circumstances indicate that the asset might be impaired. We operate our broadcast licenses in each market as a single asset and determine the fair value by relying on a discounted cash flow approach assuming a start-up scenario in which the only assets held by an investor are broadcast licenses. The fair value calculation contains assumptions incorporating variables that are based on past experiences and judgments about future operating performance using industry normalized information for an average station within a market. These variables include, but are not limited to: (1) the forecasted growth rate of each radio market, including population, household income, retail sales and other expenditures that would influence advertising expenditures;</w:t>
      </w:r>
    </w:p>
    <w:p>
      <w:pPr>
        <w:spacing w:after="0" w:line="2" w:lineRule="exact"/>
        <w:rPr>
          <w:sz w:val="20"/>
          <w:szCs w:val="20"/>
          <w:color w:val="auto"/>
        </w:rPr>
      </w:pPr>
    </w:p>
    <w:p>
      <w:pPr>
        <w:ind w:left="60" w:right="119" w:hanging="9"/>
        <w:spacing w:after="0" w:line="253"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estimated available advertising revenue within the market and the related market share and profit margin of an average station within a market; (3) estimated capital start-up costs and losses incurred during the early years; (4) risk-adjusted discount rate; (5) the likely media competition within the market area; and (6) terminal values. If the carrying amount of FCC licenses is greater than their estimated fair value in a given market, the carrying amount of FCC licenses in that market is reduced to its estimated fair value.</w:t>
      </w:r>
    </w:p>
    <w:p>
      <w:pPr>
        <w:spacing w:after="0" w:line="191" w:lineRule="exact"/>
        <w:rPr>
          <w:sz w:val="20"/>
          <w:szCs w:val="20"/>
          <w:color w:val="auto"/>
        </w:rPr>
      </w:pPr>
    </w:p>
    <w:p>
      <w:pPr>
        <w:ind w:left="60" w:right="239" w:firstLine="226"/>
        <w:spacing w:after="0" w:line="259" w:lineRule="auto"/>
        <w:rPr>
          <w:sz w:val="20"/>
          <w:szCs w:val="20"/>
          <w:color w:val="auto"/>
        </w:rPr>
      </w:pPr>
      <w:r>
        <w:rPr>
          <w:rFonts w:ascii="Arial" w:cs="Arial" w:eastAsia="Arial" w:hAnsi="Arial"/>
          <w:sz w:val="18"/>
          <w:szCs w:val="18"/>
          <w:color w:val="auto"/>
        </w:rPr>
        <w:t>We also evaluate goodwill for impairment annually, or more frequently if certain circumstances are present. If the carrying amount of goodwill in a reporting unit is greater than the implied value of goodwill determined by completing a hypothetical purchase price allocation using estimated fair value of the reporting unit, the carrying amount of goodwill in that reporting unit is reduced to its implied value.</w:t>
      </w:r>
    </w:p>
    <w:p>
      <w:pPr>
        <w:spacing w:after="0" w:line="187" w:lineRule="exact"/>
        <w:rPr>
          <w:sz w:val="20"/>
          <w:szCs w:val="20"/>
          <w:color w:val="auto"/>
        </w:rPr>
      </w:pPr>
    </w:p>
    <w:p>
      <w:pPr>
        <w:ind w:left="60" w:right="219" w:firstLine="226"/>
        <w:spacing w:after="0" w:line="301" w:lineRule="auto"/>
        <w:rPr>
          <w:sz w:val="20"/>
          <w:szCs w:val="20"/>
          <w:color w:val="auto"/>
        </w:rPr>
      </w:pPr>
      <w:r>
        <w:rPr>
          <w:rFonts w:ascii="Arial" w:cs="Arial" w:eastAsia="Arial" w:hAnsi="Arial"/>
          <w:sz w:val="16"/>
          <w:szCs w:val="16"/>
          <w:color w:val="auto"/>
        </w:rPr>
        <w:t>We evaluate amortizable intangible assets for recoverability when circumstances indicate impairment may have occurred, using an undiscounted cash flow methodology. If the future undiscounted cash flows for the intangible asset are less than net book value, then the net book value is reduced to the estimated fair value. Amortizable intangible assets are included in other intangibles, deferred costs and investments in the consolidated balance sheets.</w:t>
      </w:r>
    </w:p>
    <w:p>
      <w:pPr>
        <w:spacing w:after="0" w:line="157" w:lineRule="exact"/>
        <w:rPr>
          <w:sz w:val="20"/>
          <w:szCs w:val="20"/>
          <w:color w:val="auto"/>
        </w:rPr>
      </w:pPr>
    </w:p>
    <w:p>
      <w:pPr>
        <w:ind w:left="60" w:right="99" w:firstLine="270"/>
        <w:spacing w:after="0" w:line="296" w:lineRule="auto"/>
        <w:rPr>
          <w:sz w:val="20"/>
          <w:szCs w:val="20"/>
          <w:color w:val="auto"/>
        </w:rPr>
      </w:pPr>
      <w:r>
        <w:rPr>
          <w:rFonts w:ascii="Arial" w:cs="Arial" w:eastAsia="Arial" w:hAnsi="Arial"/>
          <w:sz w:val="16"/>
          <w:szCs w:val="16"/>
          <w:color w:val="auto"/>
        </w:rPr>
        <w:t>The Company considered the current and expected future economic and market conditions surrounding COVID-19, and other potential indicators of impairment and determined a triggering event had not occurred which would necessitate any interim impairment tests during the three and six months ended June 30, 2021. We will continue to monitor changes in economic and market conditions, including those related to COVID-19, and if any event or circumstances indicate a triggering event has occurred, we will perform an interim impairment test of our intangible assets at the appropriate time.</w:t>
      </w:r>
    </w:p>
    <w:p>
      <w:pPr>
        <w:spacing w:after="0" w:line="161" w:lineRule="exact"/>
        <w:rPr>
          <w:sz w:val="20"/>
          <w:szCs w:val="20"/>
          <w:color w:val="auto"/>
        </w:rPr>
      </w:pPr>
    </w:p>
    <w:p>
      <w:pPr>
        <w:ind w:left="60" w:right="199" w:firstLine="324"/>
        <w:spacing w:after="0" w:line="311" w:lineRule="auto"/>
        <w:rPr>
          <w:sz w:val="20"/>
          <w:szCs w:val="20"/>
          <w:color w:val="auto"/>
        </w:rPr>
      </w:pPr>
      <w:r>
        <w:rPr>
          <w:rFonts w:ascii="Arial" w:cs="Arial" w:eastAsia="Arial" w:hAnsi="Arial"/>
          <w:sz w:val="16"/>
          <w:szCs w:val="16"/>
          <w:color w:val="auto"/>
        </w:rPr>
        <w:t>If actual market conditions are less favorable than those estimated by us or if events occur or circumstances change that would reduce the fair value of our broadcast licenses below the carrying value, we may be required to recognize impairment charges in future periods. Such a charge could have a material effect on our consolidated financial statements.</w:t>
      </w:r>
    </w:p>
    <w:p>
      <w:pPr>
        <w:spacing w:after="0" w:line="149" w:lineRule="exact"/>
        <w:rPr>
          <w:sz w:val="20"/>
          <w:szCs w:val="20"/>
          <w:color w:val="auto"/>
        </w:rPr>
      </w:pPr>
    </w:p>
    <w:p>
      <w:pPr>
        <w:ind w:left="60" w:right="299" w:firstLine="324"/>
        <w:spacing w:after="0" w:line="286" w:lineRule="auto"/>
        <w:rPr>
          <w:sz w:val="20"/>
          <w:szCs w:val="20"/>
          <w:color w:val="auto"/>
        </w:rPr>
      </w:pPr>
      <w:r>
        <w:rPr>
          <w:rFonts w:ascii="Arial" w:cs="Arial" w:eastAsia="Arial" w:hAnsi="Arial"/>
          <w:sz w:val="17"/>
          <w:szCs w:val="17"/>
          <w:color w:val="auto"/>
        </w:rPr>
        <w:t>Intangible assets that have finite lives are amortized over their useful lives using the straight-line method. Favorable lease agreements are amortized over the lives of the leases ranging from five to twenty-six years. Other intangibles are amortized over one to fifteen years. Customer relationships are amortized over three years.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Common Stock and Treasury Stock</w:t>
      </w:r>
    </w:p>
    <w:p>
      <w:pPr>
        <w:spacing w:after="0" w:line="189" w:lineRule="exact"/>
        <w:rPr>
          <w:sz w:val="20"/>
          <w:szCs w:val="20"/>
          <w:color w:val="auto"/>
        </w:rPr>
      </w:pPr>
    </w:p>
    <w:p>
      <w:pPr>
        <w:ind w:left="60" w:right="399" w:firstLine="324"/>
        <w:spacing w:after="0" w:line="277" w:lineRule="auto"/>
        <w:rPr>
          <w:sz w:val="20"/>
          <w:szCs w:val="20"/>
          <w:color w:val="auto"/>
        </w:rPr>
      </w:pPr>
      <w:r>
        <w:rPr>
          <w:rFonts w:ascii="Arial" w:cs="Arial" w:eastAsia="Arial" w:hAnsi="Arial"/>
          <w:sz w:val="18"/>
          <w:szCs w:val="18"/>
          <w:color w:val="auto"/>
        </w:rPr>
        <w:t>The following summarizes information relating to the number of shares of our common stock issued in connection with stock transactions through June 30, 2021:</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230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8"/>
                <w:szCs w:val="18"/>
                <w:b w:val="1"/>
                <w:bCs w:val="1"/>
                <w:color w:val="auto"/>
              </w:rPr>
              <w:t>Common Stock Issued</w:t>
            </w:r>
          </w:p>
        </w:tc>
      </w:tr>
      <w:tr>
        <w:trPr>
          <w:trHeight w:val="209"/>
        </w:trPr>
        <w:tc>
          <w:tcPr>
            <w:tcW w:w="6600" w:type="dxa"/>
            <w:vAlign w:val="bottom"/>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Class A</w:t>
            </w: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Class B</w:t>
            </w:r>
          </w:p>
        </w:tc>
      </w:tr>
      <w:tr>
        <w:trPr>
          <w:trHeight w:val="196"/>
        </w:trPr>
        <w:tc>
          <w:tcPr>
            <w:tcW w:w="6600" w:type="dxa"/>
            <w:vAlign w:val="bottom"/>
          </w:tcPr>
          <w:p>
            <w:pPr>
              <w:spacing w:after="0"/>
              <w:rPr>
                <w:sz w:val="17"/>
                <w:szCs w:val="17"/>
                <w:color w:val="auto"/>
              </w:rPr>
            </w:pPr>
          </w:p>
        </w:tc>
        <w:tc>
          <w:tcPr>
            <w:tcW w:w="1280" w:type="dxa"/>
            <w:vAlign w:val="bottom"/>
            <w:gridSpan w:val="2"/>
          </w:tcPr>
          <w:p>
            <w:pPr>
              <w:ind w:left="300"/>
              <w:spacing w:after="0" w:line="196" w:lineRule="exact"/>
              <w:rPr>
                <w:sz w:val="20"/>
                <w:szCs w:val="20"/>
                <w:color w:val="auto"/>
              </w:rPr>
            </w:pPr>
            <w:r>
              <w:rPr>
                <w:rFonts w:ascii="Arial" w:cs="Arial" w:eastAsia="Arial" w:hAnsi="Arial"/>
                <w:sz w:val="18"/>
                <w:szCs w:val="18"/>
                <w:b w:val="1"/>
                <w:bCs w:val="1"/>
                <w:color w:val="auto"/>
              </w:rPr>
              <w:t>(Shares in</w:t>
            </w:r>
          </w:p>
        </w:tc>
        <w:tc>
          <w:tcPr>
            <w:tcW w:w="1020" w:type="dxa"/>
            <w:vAlign w:val="bottom"/>
          </w:tcPr>
          <w:p>
            <w:pPr>
              <w:jc w:val="right"/>
              <w:ind w:right="251"/>
              <w:spacing w:after="0"/>
              <w:rPr>
                <w:sz w:val="20"/>
                <w:szCs w:val="20"/>
                <w:color w:val="auto"/>
              </w:rPr>
            </w:pPr>
            <w:r>
              <w:rPr>
                <w:rFonts w:ascii="Arial" w:cs="Arial" w:eastAsia="Arial" w:hAnsi="Arial"/>
                <w:sz w:val="17"/>
                <w:szCs w:val="17"/>
                <w:b w:val="1"/>
                <w:bCs w:val="1"/>
                <w:color w:val="auto"/>
                <w:w w:val="71"/>
              </w:rPr>
              <w:t>thousands)</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16"/>
        </w:trPr>
        <w:tc>
          <w:tcPr>
            <w:tcW w:w="6600" w:type="dxa"/>
            <w:vAlign w:val="bottom"/>
          </w:tcPr>
          <w:p>
            <w:pPr>
              <w:ind w:left="100"/>
              <w:spacing w:after="0"/>
              <w:rPr>
                <w:sz w:val="20"/>
                <w:szCs w:val="20"/>
                <w:color w:val="auto"/>
              </w:rPr>
            </w:pPr>
            <w:r>
              <w:rPr>
                <w:rFonts w:ascii="Arial" w:cs="Arial" w:eastAsia="Arial" w:hAnsi="Arial"/>
                <w:sz w:val="18"/>
                <w:szCs w:val="18"/>
                <w:color w:val="auto"/>
              </w:rPr>
              <w:t>Conversion of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of restricted stock</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Forfeiture of restricted stock</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2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09"/>
        </w:trPr>
        <w:tc>
          <w:tcPr>
            <w:tcW w:w="6600" w:type="dxa"/>
            <w:vAlign w:val="bottom"/>
          </w:tcPr>
          <w:p>
            <w:pPr>
              <w:spacing w:after="0"/>
              <w:rPr>
                <w:sz w:val="20"/>
                <w:szCs w:val="20"/>
                <w:color w:val="auto"/>
              </w:rPr>
            </w:pPr>
            <w:r>
              <w:rPr>
                <w:rFonts w:ascii="Arial" w:cs="Arial" w:eastAsia="Arial" w:hAnsi="Arial"/>
                <w:sz w:val="18"/>
                <w:szCs w:val="18"/>
                <w:color w:val="auto"/>
              </w:rPr>
              <w:t>Balance, June 30, 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6,785</w:t>
            </w: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r>
      <w:tr>
        <w:trPr>
          <w:trHeight w:val="20"/>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firstLine="324"/>
        <w:spacing w:after="0" w:line="283" w:lineRule="auto"/>
        <w:rPr>
          <w:sz w:val="20"/>
          <w:szCs w:val="20"/>
          <w:color w:val="auto"/>
        </w:rPr>
      </w:pPr>
      <w:r>
        <w:rPr>
          <w:rFonts w:ascii="Arial" w:cs="Arial" w:eastAsia="Arial" w:hAnsi="Arial"/>
          <w:sz w:val="16"/>
          <w:szCs w:val="16"/>
          <w:color w:val="auto"/>
        </w:rPr>
        <w:t>We have a Stock Buy-Back Program to allow us to purchase up to $75.8 million of our Class A Common Stock. As of June 30, 2021, we have remaining authorization of $18.8 million for future repurchases of our Class A Common Stock. On September 14, 2017, the Board of Directors authorized the repurchase of our Class A Common Stock under our trading plan adopted pursuant to Securities and Exchange Commission Rule 10b5-1. The Rule 10b5-1 repurchase plan allows us to repurchase our shares during periods when we would normally not be active in the market due to our internal trading blackout periods. Under the plan, we may repurchase our Class A Common Stock in any combination of open market, block transactions and privately negotiated transactions subject to market conditions, legal requirements including applicable SEC regulations (which include certain price, market, volume and timing constraints), specific repurchase instructions and other corporate considerations. Purchases under the plan are funded by cash on our balance sheet. The plan does not obligate us to acquire any particular amount of Class A Common Stock. Our original purchase authorization was effective until September 1, 2018 and has been extended several times, with the most recent extension being through May 28, 2020. Given the unprecedented uncertainty surrounding the COVID-19 virus and the resulting economic issues we have halted the directions for any additional buybacks under our plan. During the three and six months ended</w:t>
      </w:r>
    </w:p>
    <w:p>
      <w:pPr>
        <w:spacing w:after="0" w:line="2"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June 30, 2021 no shares were repurchased under the Stock Buy-Back Program. During the three and six months ended June 30, 2020, approximately 800 and 1,600 shares, respectively, were repurchased for $21,000 and $41,000, respectively, related to the Stock Buy-Back Program.</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Leases</w:t>
      </w:r>
    </w:p>
    <w:p>
      <w:pPr>
        <w:spacing w:after="0" w:line="202" w:lineRule="exact"/>
        <w:rPr>
          <w:sz w:val="20"/>
          <w:szCs w:val="20"/>
          <w:color w:val="auto"/>
        </w:rPr>
      </w:pPr>
    </w:p>
    <w:p>
      <w:pPr>
        <w:ind w:left="60" w:right="199" w:firstLine="324"/>
        <w:spacing w:after="0" w:line="287" w:lineRule="auto"/>
        <w:rPr>
          <w:sz w:val="20"/>
          <w:szCs w:val="20"/>
          <w:color w:val="auto"/>
        </w:rPr>
      </w:pPr>
      <w:r>
        <w:rPr>
          <w:rFonts w:ascii="Arial" w:cs="Arial" w:eastAsia="Arial" w:hAnsi="Arial"/>
          <w:sz w:val="16"/>
          <w:szCs w:val="16"/>
          <w:color w:val="auto"/>
        </w:rPr>
        <w:t>We lease certain land, buildings and equipment for use in our operations. We recognize lease expense for these leases on a straight-line basis over the lease term and combine lease and non-lease components for all leases. Right-of-use (“ROU”) assets and lease liabilities are recorded on the balance sheet for all leases with an expected term of at least</w:t>
      </w:r>
    </w:p>
    <w:p>
      <w:pPr>
        <w:spacing w:after="0" w:line="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one year. Some leases include one or more options to renew. The exercise of lease renewal options is generally at our discretion. The depreciable lives of ROU assets are limited to the expected lease term. Our lease agreements do not contain any residual value guarantees or material restrictive covenants. As of June 30, 2021, we do not have any non-cancellable operating lease commitments that have not yet commenced.</w:t>
      </w:r>
    </w:p>
    <w:p>
      <w:pPr>
        <w:spacing w:after="0" w:line="152" w:lineRule="exact"/>
        <w:rPr>
          <w:sz w:val="20"/>
          <w:szCs w:val="20"/>
          <w:color w:val="auto"/>
        </w:rPr>
      </w:pPr>
    </w:p>
    <w:p>
      <w:pPr>
        <w:jc w:val="both"/>
        <w:ind w:left="60" w:right="199" w:firstLine="324"/>
        <w:spacing w:after="0" w:line="287" w:lineRule="auto"/>
        <w:rPr>
          <w:sz w:val="20"/>
          <w:szCs w:val="20"/>
          <w:color w:val="auto"/>
        </w:rPr>
      </w:pPr>
      <w:r>
        <w:rPr>
          <w:rFonts w:ascii="Arial" w:cs="Arial" w:eastAsia="Arial" w:hAnsi="Arial"/>
          <w:sz w:val="16"/>
          <w:szCs w:val="16"/>
          <w:color w:val="auto"/>
        </w:rPr>
        <w:t>ROU assets are classified within other intangibles, deferred costs and investments, net on the condensed consolidated balance sheet while current lease liabilities are classified within other accrued expenses and long-term lease liabilities are classified within other liabilities. Leases with an initial term of 12 months or less are not recorded on the balance sheet.</w:t>
      </w:r>
    </w:p>
    <w:p>
      <w:pPr>
        <w:spacing w:after="0" w:line="2"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ROU assets were $5.9 million and $6.6 million at June 30, 2021 and December 31, 2020, respectively. Lease liabilities were $6.2 million and $6.9 million at June 30, 2021 and December 31, 2020, respectively. During the three and six months ended June 30, 2021, we recorded additional ROU assets under operating leases of $8,000 and $43,000. Payments on lease liabilities during the three and six months ended June 30, 2021 and 2020 totaled $415,000, $884,000, $401,000 and $858,000,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Lease expense includes cost for leases with terms in excess of one year. For the three and six months ended</w:t>
      </w:r>
    </w:p>
    <w:p>
      <w:pPr>
        <w:spacing w:after="0" w:line="35"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June 30, 2021 and 2020, our total lease expense was $442,000, $882,000, $433,000 and $866,000, respectively. Short-term lease costs are de minimus.</w:t>
      </w:r>
    </w:p>
    <w:p>
      <w:pPr>
        <w:spacing w:after="0" w:line="145" w:lineRule="exact"/>
        <w:rPr>
          <w:sz w:val="20"/>
          <w:szCs w:val="20"/>
          <w:color w:val="auto"/>
        </w:rPr>
      </w:pPr>
    </w:p>
    <w:p>
      <w:pPr>
        <w:ind w:left="60" w:right="719" w:firstLine="324"/>
        <w:spacing w:after="0" w:line="277" w:lineRule="auto"/>
        <w:rPr>
          <w:sz w:val="20"/>
          <w:szCs w:val="20"/>
          <w:color w:val="auto"/>
        </w:rPr>
      </w:pPr>
      <w:r>
        <w:rPr>
          <w:rFonts w:ascii="Arial" w:cs="Arial" w:eastAsia="Arial" w:hAnsi="Arial"/>
          <w:sz w:val="18"/>
          <w:szCs w:val="18"/>
          <w:color w:val="auto"/>
        </w:rPr>
        <w:t>We have no financing leases and minimum annual rental commitments under non-cancellable operating leases consisted of the following at June 30, 2021 (in thousands):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Ending December 31,</w:t>
            </w: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2021 </w:t>
            </w:r>
            <w:r>
              <w:rPr>
                <w:rFonts w:ascii="Arial" w:cs="Arial" w:eastAsia="Arial" w:hAnsi="Arial"/>
                <w:sz w:val="18"/>
                <w:szCs w:val="18"/>
                <w:i w:val="1"/>
                <w:iCs w:val="1"/>
                <w:color w:val="auto"/>
              </w:rPr>
              <w:t>(a)</w:t>
            </w:r>
          </w:p>
        </w:tc>
        <w:tc>
          <w:tcPr>
            <w:tcW w:w="58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1,693</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1,055</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lease payments </w:t>
            </w:r>
            <w:r>
              <w:rPr>
                <w:rFonts w:ascii="Arial" w:cs="Arial" w:eastAsia="Arial" w:hAnsi="Arial"/>
                <w:sz w:val="18"/>
                <w:szCs w:val="18"/>
                <w:i w:val="1"/>
                <w:iCs w:val="1"/>
                <w:color w:val="auto"/>
              </w:rPr>
              <w:t>(b)</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xml:space="preserve">Less: Interest </w:t>
            </w:r>
            <w:r>
              <w:rPr>
                <w:rFonts w:ascii="Arial" w:cs="Arial" w:eastAsia="Arial" w:hAnsi="Arial"/>
                <w:sz w:val="18"/>
                <w:szCs w:val="18"/>
                <w:i w:val="1"/>
                <w:iCs w:val="1"/>
                <w:color w:val="auto"/>
              </w:rPr>
              <w:t>(c)</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Present value of lease liabilities </w:t>
            </w:r>
            <w:r>
              <w:rPr>
                <w:rFonts w:ascii="Arial" w:cs="Arial" w:eastAsia="Arial" w:hAnsi="Arial"/>
                <w:sz w:val="18"/>
                <w:szCs w:val="18"/>
                <w:i w:val="1"/>
                <w:iCs w:val="1"/>
                <w:color w:val="auto"/>
              </w:rPr>
              <w:t>(d)</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w:t>
            </w:r>
          </w:p>
        </w:tc>
      </w:tr>
      <w:tr>
        <w:trPr>
          <w:trHeight w:val="20"/>
        </w:trPr>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Remaining payments are for the six-months ending December 31, 2021</w:t>
      </w:r>
    </w:p>
    <w:p>
      <w:pPr>
        <w:spacing w:after="0" w:line="23" w:lineRule="exact"/>
        <w:rPr>
          <w:rFonts w:ascii="Arial" w:cs="Arial" w:eastAsia="Arial" w:hAnsi="Arial"/>
          <w:sz w:val="18"/>
          <w:szCs w:val="18"/>
          <w:i w:val="1"/>
          <w:iCs w:val="1"/>
          <w:color w:val="auto"/>
        </w:rPr>
      </w:pPr>
    </w:p>
    <w:p>
      <w:pPr>
        <w:ind w:left="380" w:right="339" w:hanging="330"/>
        <w:spacing w:after="0" w:line="265" w:lineRule="auto"/>
        <w:tabs>
          <w:tab w:leader="none" w:pos="38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Lease payments include options to extend lease terms that are reasonably certain of being exercised. There were no legally binding minimum lease payments for leases signed but not yet commenced at June 30, 2021.</w:t>
      </w:r>
    </w:p>
    <w:p>
      <w:pPr>
        <w:ind w:left="380" w:right="159" w:hanging="330"/>
        <w:spacing w:after="0" w:line="250" w:lineRule="auto"/>
        <w:tabs>
          <w:tab w:leader="none" w:pos="3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leases do not provide a readily determinable implicit rate. Therefore, we must estimate our discount rate for such leases to determine the present value of lease payments at the lease commencement date.</w:t>
      </w:r>
    </w:p>
    <w:p>
      <w:pPr>
        <w:ind w:left="380" w:right="739" w:hanging="330"/>
        <w:spacing w:after="0" w:line="260" w:lineRule="auto"/>
        <w:tabs>
          <w:tab w:leader="none" w:pos="3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weighted average remaining lease term and weighted average discount rate used in calculating our lease liabilities were 6.3 years and 4.3%, respectively, at June 30, 2021.</w:t>
      </w: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Acquisitions and Dispositions</w:t>
      </w:r>
    </w:p>
    <w:p>
      <w:pPr>
        <w:spacing w:after="0" w:line="202"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 xml:space="preserve">We actively seek and explore opportunities for expansion through the acquisition of additional broadcast properties. The consolidated statements of income include the operating results of the acquired stations from their respective dates of acquisition. All acquisitions were accounted for as purchases and, accordingly, the total purchase consideration was allocated to the acquired assets and assumed liabilities based on their estimated fair values as of the acquisition dates. The excess of the consideration paid over the estimated fair value of net assets acquired have been recorded as goodwill. The Company accounts for acquisitions under the provisions of FASB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w:t>
      </w:r>
    </w:p>
    <w:p>
      <w:pPr>
        <w:spacing w:after="0" w:line="124" w:lineRule="exact"/>
        <w:rPr>
          <w:sz w:val="20"/>
          <w:szCs w:val="20"/>
          <w:color w:val="auto"/>
        </w:rPr>
      </w:pPr>
    </w:p>
    <w:p>
      <w:pPr>
        <w:ind w:left="60" w:right="299" w:firstLine="324"/>
        <w:spacing w:after="0" w:line="311" w:lineRule="auto"/>
        <w:rPr>
          <w:sz w:val="20"/>
          <w:szCs w:val="20"/>
          <w:color w:val="auto"/>
        </w:rPr>
      </w:pPr>
      <w:r>
        <w:rPr>
          <w:rFonts w:ascii="Arial" w:cs="Arial" w:eastAsia="Arial" w:hAnsi="Arial"/>
          <w:sz w:val="16"/>
          <w:szCs w:val="16"/>
          <w:color w:val="auto"/>
        </w:rPr>
        <w:t>Management assigned fair values to the acquired property and equipment through a combination of cost and market approaches based upon each specific asset’s replacement cost, with a provision for depreciation, and to the acquired intangibles, primarily an FCC license, based on the Greenfield valuation methodology, a discounted cash flow approach.</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198" w:lineRule="exact"/>
        <w:rPr>
          <w:sz w:val="20"/>
          <w:szCs w:val="20"/>
          <w:color w:val="auto"/>
        </w:rPr>
      </w:pPr>
    </w:p>
    <w:p>
      <w:pPr>
        <w:ind w:left="60" w:right="139" w:firstLine="315"/>
        <w:spacing w:after="0" w:line="296" w:lineRule="auto"/>
        <w:rPr>
          <w:sz w:val="20"/>
          <w:szCs w:val="20"/>
          <w:color w:val="auto"/>
        </w:rPr>
      </w:pPr>
      <w:r>
        <w:rPr>
          <w:rFonts w:ascii="Arial" w:cs="Arial" w:eastAsia="Arial" w:hAnsi="Arial"/>
          <w:sz w:val="16"/>
          <w:szCs w:val="16"/>
          <w:color w:val="auto"/>
        </w:rPr>
        <w:t>On January 8, 2021, the Company closed on an agreement to purchase WBQL and W288DQ from Consolidated Media, LLC, for an aggregate purchase price of $175,000, of which $25,000 was paid in 2020 and the remaining $150,000 paid in 2021. Management attributes the goodwill recognized in the acquisition to the power of the existing brands in the Clarksville, Tennessee market as well as synergies and growth opportunities expected through the combination with the Company’s existing stations. The translators are start-up stations and therefore, have no pro forma revenue and expenses.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Acquisitions</w:t>
      </w:r>
    </w:p>
    <w:p>
      <w:pPr>
        <w:spacing w:after="0" w:line="185" w:lineRule="exact"/>
        <w:rPr>
          <w:sz w:val="20"/>
          <w:szCs w:val="20"/>
          <w:color w:val="auto"/>
        </w:rPr>
      </w:pPr>
    </w:p>
    <w:p>
      <w:pPr>
        <w:ind w:left="60" w:right="259" w:firstLine="369"/>
        <w:spacing w:after="0" w:line="296" w:lineRule="auto"/>
        <w:rPr>
          <w:sz w:val="20"/>
          <w:szCs w:val="20"/>
          <w:color w:val="auto"/>
        </w:rPr>
      </w:pPr>
      <w:r>
        <w:rPr>
          <w:rFonts w:ascii="Arial" w:cs="Arial" w:eastAsia="Arial" w:hAnsi="Arial"/>
          <w:sz w:val="16"/>
          <w:szCs w:val="16"/>
          <w:color w:val="auto"/>
        </w:rPr>
        <w:t>On January 2, 2020, the Company closed on an agreement to purchase W295BL from Basic Holdings, LLC, for an aggregate purchase price of $200,000, of which $10,000 was paid in 2019 and the remaining $190,000 paid in 2020. Management attributes the goodwill recognized in the acquisition to the power of the existing brands in the Manchester, New Hampshire market as well as synergies and growth opportunities expected through the combination with the Company’s existing stations. The translators are start-up stations and therefore, have no pro forma revenue and expenses.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Condensed Consolidated Balance Sheet of 2021 and 2020 Acquisitions:</w:t>
      </w:r>
    </w:p>
    <w:p>
      <w:pPr>
        <w:spacing w:after="0" w:line="185"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8"/>
          <w:szCs w:val="18"/>
          <w:color w:val="auto"/>
        </w:rPr>
        <w:t>The following unaudited condensed balance sheets represent the estimated fair value assigned to the related assets and liabilities of the 2021 and 2020 acquisitions.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5240" w:type="dxa"/>
            <w:vAlign w:val="bottom"/>
            <w:gridSpan w:val="2"/>
          </w:tcPr>
          <w:p>
            <w:pPr>
              <w:jc w:val="right"/>
              <w:ind w:right="1427"/>
              <w:spacing w:after="0"/>
              <w:rPr>
                <w:sz w:val="20"/>
                <w:szCs w:val="20"/>
                <w:color w:val="auto"/>
              </w:rPr>
            </w:pPr>
            <w:r>
              <w:rPr>
                <w:rFonts w:ascii="Arial" w:cs="Arial" w:eastAsia="Arial" w:hAnsi="Arial"/>
                <w:sz w:val="18"/>
                <w:szCs w:val="18"/>
                <w:b w:val="1"/>
                <w:bCs w:val="1"/>
                <w:color w:val="auto"/>
              </w:rPr>
              <w:t>Saga Communications, Inc.</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92"/>
        </w:trPr>
        <w:tc>
          <w:tcPr>
            <w:tcW w:w="1760" w:type="dxa"/>
            <w:vAlign w:val="bottom"/>
          </w:tcPr>
          <w:p>
            <w:pPr>
              <w:spacing w:after="0"/>
              <w:rPr>
                <w:sz w:val="24"/>
                <w:szCs w:val="24"/>
                <w:color w:val="auto"/>
              </w:rPr>
            </w:pPr>
          </w:p>
        </w:tc>
        <w:tc>
          <w:tcPr>
            <w:tcW w:w="600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w w:val="87"/>
              </w:rPr>
              <w:t>Condensed Consolidated Balance Sheet of 2021 and 2020 Acquisitions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45"/>
        </w:trPr>
        <w:tc>
          <w:tcPr>
            <w:tcW w:w="17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Acquisitions in</w:t>
            </w:r>
          </w:p>
        </w:tc>
      </w:tr>
      <w:tr>
        <w:trPr>
          <w:trHeight w:val="209"/>
        </w:trPr>
        <w:tc>
          <w:tcPr>
            <w:tcW w:w="17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r>
      <w:tr>
        <w:trPr>
          <w:trHeight w:val="196"/>
        </w:trPr>
        <w:tc>
          <w:tcPr>
            <w:tcW w:w="17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4"/>
          </w:tcPr>
          <w:p>
            <w:pPr>
              <w:jc w:val="right"/>
              <w:ind w:right="39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Acquired:</w:t>
            </w:r>
          </w:p>
        </w:tc>
        <w:tc>
          <w:tcPr>
            <w:tcW w:w="5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w w:val="90"/>
              </w:rPr>
              <w:t>Property and equipment</w:t>
            </w:r>
          </w:p>
        </w:tc>
        <w:tc>
          <w:tcPr>
            <w:tcW w:w="52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Broadcast licenses</w:t>
            </w:r>
          </w:p>
        </w:tc>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0"/>
        </w:trPr>
        <w:tc>
          <w:tcPr>
            <w:tcW w:w="1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assets</w:t>
            </w:r>
          </w:p>
        </w:tc>
        <w:tc>
          <w:tcPr>
            <w:tcW w:w="5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09"/>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5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0"/>
        </w:trPr>
        <w:tc>
          <w:tcPr>
            <w:tcW w:w="1760" w:type="dxa"/>
            <w:vAlign w:val="bottom"/>
          </w:tcPr>
          <w:p>
            <w:pPr>
              <w:spacing w:after="0"/>
              <w:rPr>
                <w:sz w:val="20"/>
                <w:szCs w:val="20"/>
                <w:color w:val="auto"/>
              </w:rPr>
            </w:pPr>
            <w:r>
              <w:rPr>
                <w:rFonts w:ascii="Arial" w:cs="Arial" w:eastAsia="Arial" w:hAnsi="Arial"/>
                <w:sz w:val="18"/>
                <w:szCs w:val="18"/>
                <w:b w:val="1"/>
                <w:bCs w:val="1"/>
                <w:color w:val="auto"/>
                <w:w w:val="99"/>
              </w:rPr>
              <w:t>Liabilities Assumed:</w:t>
            </w:r>
          </w:p>
        </w:tc>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1"/>
              </w:rPr>
              <w:t>Total liabilities assumed</w:t>
            </w:r>
          </w:p>
        </w:tc>
        <w:tc>
          <w:tcPr>
            <w:tcW w:w="5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0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17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Income taxes</w:t>
      </w:r>
    </w:p>
    <w:p>
      <w:pPr>
        <w:spacing w:after="0" w:line="202" w:lineRule="exact"/>
        <w:rPr>
          <w:sz w:val="20"/>
          <w:szCs w:val="20"/>
          <w:color w:val="auto"/>
        </w:rPr>
      </w:pPr>
    </w:p>
    <w:p>
      <w:pPr>
        <w:ind w:left="60" w:right="439" w:firstLine="324"/>
        <w:spacing w:after="0" w:line="255" w:lineRule="auto"/>
        <w:rPr>
          <w:sz w:val="20"/>
          <w:szCs w:val="20"/>
          <w:color w:val="auto"/>
        </w:rPr>
      </w:pPr>
      <w:r>
        <w:rPr>
          <w:rFonts w:ascii="Arial" w:cs="Arial" w:eastAsia="Arial" w:hAnsi="Arial"/>
          <w:sz w:val="18"/>
          <w:szCs w:val="18"/>
          <w:color w:val="auto"/>
        </w:rPr>
        <w:t>On March 18, 2020, the Families First Coronavirus Response Act ("FFCR Act"), and on March 27, 2020, the Coronavirus Aid, Relief, and Economic Security Act ("CARES Act") were each enacted in response to the COVID-19 pandemic. The FFCR Act and the CARES Act contain numerous tax provisions, such as deferring payroll payments, establishing a credit for the retention of certain employees, relaxing limitations on the deductibility of interest, and updating the definition of qualified improvement property. This legislation currently has no material impact to the Company’s financial statements.</w:t>
      </w:r>
    </w:p>
    <w:p>
      <w:pPr>
        <w:spacing w:after="0" w:line="152"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An income tax expense of $1,325,000 was recorded for the three months ended June 30, 2021 compared to an income tax benefit of $3,805,000 for the three months ended June 30, 2020. The effective tax rate was approximately 28.9% for the three months ended June 30, 2021 compared to 43.7% for the three months ended June 30, 2020. An income tax expense of $1,655,000 was recorded for the six months ended June 30, 2021 compared to an income tax benefit of $3,105,000 for the six months ended June 30, 2020. The effective tax rate was approximately 29.2% for the six months ended</w:t>
      </w:r>
    </w:p>
    <w:p>
      <w:pPr>
        <w:spacing w:after="0" w:line="2"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June 30, 2021 compared to 49.0% for the six months ended June 30, 2020. Income tax provisions for interim (quarterly) periods are based on estimated annual income tax rates and are adjusted for the effects of significant, infrequent or unusual items (i.e. discrete items) occurring during the interim period. The prior year’s tax rate was impacted by the broadcast license impairment charge which was a discrete item and contributed approximately $1.1 million of tax benefit for the three and six month periods ended June 30,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Stock-Based Compensation</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2005 Incentive Compensation Plan</w:t>
      </w:r>
    </w:p>
    <w:p>
      <w:pPr>
        <w:spacing w:after="0" w:line="198" w:lineRule="exact"/>
        <w:rPr>
          <w:sz w:val="20"/>
          <w:szCs w:val="20"/>
          <w:color w:val="auto"/>
        </w:rPr>
      </w:pPr>
    </w:p>
    <w:p>
      <w:pPr>
        <w:ind w:left="60" w:right="159" w:firstLine="324"/>
        <w:spacing w:after="0" w:line="284" w:lineRule="auto"/>
        <w:rPr>
          <w:sz w:val="20"/>
          <w:szCs w:val="20"/>
          <w:color w:val="auto"/>
        </w:rPr>
      </w:pPr>
      <w:r>
        <w:rPr>
          <w:rFonts w:ascii="Arial" w:cs="Arial" w:eastAsia="Arial" w:hAnsi="Arial"/>
          <w:sz w:val="16"/>
          <w:szCs w:val="16"/>
          <w:color w:val="auto"/>
        </w:rPr>
        <w:t>On October 16, 2013 our stockholders approved the Second Amended and Restated Saga Communications, Inc. 2005 Incentive Compensation Plan, which was amended in 2018 after approval of the amendment by our stockholders at our 2018 annual meeting (as amended, the “Second Restated 2005 Plan”). The 2005 Incentive Compensation Plan, which replaced our 2003 Stock Option Plan, was first approved by stockholders in 2005 and subsequently this plan was re-approved by stockholders in 2010. The changes made in 2013 in the Second Restated 2005 Plan (i) increased the number of authorized shares by 233,334 shares of Common Stock, (ii) extended the date for making awards to September 6, 2018,</w:t>
      </w:r>
    </w:p>
    <w:p>
      <w:pPr>
        <w:spacing w:after="0" w:line="4" w:lineRule="exact"/>
        <w:rPr>
          <w:sz w:val="20"/>
          <w:szCs w:val="20"/>
          <w:color w:val="auto"/>
        </w:rPr>
      </w:pPr>
    </w:p>
    <w:p>
      <w:pPr>
        <w:ind w:left="60" w:right="99" w:hanging="10"/>
        <w:spacing w:after="0" w:line="269" w:lineRule="auto"/>
        <w:tabs>
          <w:tab w:leader="none" w:pos="37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included directors as participants, (iv) targeted awards according to groupings of participants based on ranges of base salary of employees and/or retainers of directors, (v) required participants to retain 50 % of their net annual restricted stock awards during their employment or service as a director, and (vi) included a clawback provision. The 2018 amendment to the Second Restated 2005 Plan (i) extended the date for making awards to September 6, 2023, and (ii) increased the number of authorized shares under the Plan by 90,000 shares of Class B Common Stock. The Second Restated 2005 Plan allows for the granting of restricted stock, restricted stock units, incentive stock options, nonqualified stock options, and performance awards to eligible employees and non-employee directors.</w:t>
      </w:r>
    </w:p>
    <w:p>
      <w:pPr>
        <w:spacing w:after="0" w:line="140"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The number of shares of Common Stock that may be issued under the Second Restated 2005 Plan may not exceed 370,000 shares of Class B Common Stock, or 990,000 shares of Class A Common Stock, of which up to 620,000 shares of Class A Common Stock may be issued pursuant to incentive stock options and 370,000 shares of Class A Common Stock issuable upon conversion of Class B Common Stock. Awards denominated in Class A Common Stock may be granted to any employee or director under the Second Restated 2005 Plan. However, awards denominated in Class B Common Stock may only be granted to Edward K. Christian, President, Chief Executive Officer, Chairman of the Board of Directors, and the holder of 100% of the outstanding Class B Common Stock of the Company. Stock options granted under the Second Restated 2005 Plan may be for terms not exceeding ten years from the date of grant and may not be exercised at a price which is less than 100% of the fair market value of shares at the date of grant.</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left="60" w:right="99" w:firstLine="324"/>
        <w:spacing w:after="0" w:line="342" w:lineRule="auto"/>
        <w:rPr>
          <w:sz w:val="20"/>
          <w:szCs w:val="20"/>
          <w:color w:val="auto"/>
        </w:rPr>
      </w:pPr>
      <w:r>
        <w:rPr>
          <w:rFonts w:ascii="Arial" w:cs="Arial" w:eastAsia="Arial" w:hAnsi="Arial"/>
          <w:sz w:val="16"/>
          <w:szCs w:val="16"/>
          <w:color w:val="auto"/>
        </w:rPr>
        <w:t>All stock options granted were fully vested and expensed at December 31, 2012; therefore, there was no compensation expense related to stock options for the three and six months ended June 30, 2021 and 2020, respectively.</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There were no options granted during 2021 and 2020 and there were no stock options outstanding as of June 30, 2021.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All outstanding stock options were exercised in 2017.</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summarizes the restricted stock transactions for the three and six months ended June 30, 2021:</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Grant Date</w:t>
            </w:r>
          </w:p>
        </w:tc>
      </w:tr>
      <w:tr>
        <w:trPr>
          <w:trHeight w:val="216"/>
        </w:trPr>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rPr>
              <w:t>Fair</w:t>
            </w:r>
          </w:p>
        </w:tc>
      </w:tr>
      <w:tr>
        <w:trPr>
          <w:trHeight w:val="234"/>
        </w:trPr>
        <w:tc>
          <w:tcPr>
            <w:tcW w:w="692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Value</w:t>
            </w:r>
          </w:p>
        </w:tc>
      </w:tr>
      <w:tr>
        <w:trPr>
          <w:trHeight w:val="210"/>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r>
      <w:tr>
        <w:trPr>
          <w:trHeight w:val="216"/>
        </w:trPr>
        <w:tc>
          <w:tcPr>
            <w:tcW w:w="6920" w:type="dxa"/>
            <w:vAlign w:val="bottom"/>
          </w:tcPr>
          <w:p>
            <w:pPr>
              <w:ind w:left="20"/>
              <w:spacing w:after="0"/>
              <w:rPr>
                <w:sz w:val="20"/>
                <w:szCs w:val="20"/>
                <w:color w:val="auto"/>
              </w:rPr>
            </w:pPr>
            <w:r>
              <w:rPr>
                <w:rFonts w:ascii="Arial" w:cs="Arial" w:eastAsia="Arial" w:hAnsi="Arial"/>
                <w:sz w:val="18"/>
                <w:szCs w:val="18"/>
                <w:color w:val="auto"/>
              </w:rPr>
              <w:t>Vested</w:t>
            </w:r>
          </w:p>
        </w:tc>
        <w:tc>
          <w:tcPr>
            <w:tcW w:w="820" w:type="dxa"/>
            <w:vAlign w:val="bottom"/>
          </w:tcPr>
          <w:p>
            <w:pPr>
              <w:jc w:val="right"/>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33.03</w:t>
            </w: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920" w:type="dxa"/>
            <w:vAlign w:val="bottom"/>
          </w:tcPr>
          <w:p>
            <w:pPr>
              <w:ind w:left="20"/>
              <w:spacing w:after="0"/>
              <w:rPr>
                <w:sz w:val="20"/>
                <w:szCs w:val="20"/>
                <w:color w:val="auto"/>
              </w:rPr>
            </w:pPr>
            <w:r>
              <w:rPr>
                <w:rFonts w:ascii="Arial" w:cs="Arial" w:eastAsia="Arial" w:hAnsi="Arial"/>
                <w:sz w:val="18"/>
                <w:szCs w:val="18"/>
                <w:color w:val="auto"/>
              </w:rPr>
              <w:t>Non-vested and outstanding at June 30,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63,236</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32.90</w:t>
            </w:r>
          </w:p>
        </w:tc>
      </w:tr>
      <w:tr>
        <w:trPr>
          <w:trHeight w:val="20"/>
        </w:trPr>
        <w:tc>
          <w:tcPr>
            <w:tcW w:w="6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59" w:firstLine="324"/>
        <w:spacing w:after="0" w:line="257" w:lineRule="auto"/>
        <w:rPr>
          <w:sz w:val="20"/>
          <w:szCs w:val="20"/>
          <w:color w:val="auto"/>
        </w:rPr>
      </w:pPr>
      <w:r>
        <w:rPr>
          <w:rFonts w:ascii="Arial" w:cs="Arial" w:eastAsia="Arial" w:hAnsi="Arial"/>
          <w:sz w:val="18"/>
          <w:szCs w:val="18"/>
          <w:color w:val="auto"/>
        </w:rPr>
        <w:t>For the three and six months ended June 30, 2021 and 2020, we had $357,000, $700,000, $612,000 and $1,181,000, respectively, of total compensation expense related to restricted stock-based compensation arrangements. This expense is included in corporate general and administrative expenses in our results of operations. The associated tax benefit recognized for the three and six months ended June 30, 2021 and 2020 was $33,000, $64,000, $69,000 and $127,000,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Arial" w:cs="Arial" w:eastAsia="Arial" w:hAnsi="Arial"/>
                <w:sz w:val="18"/>
                <w:szCs w:val="18"/>
                <w:b w:val="1"/>
                <w:bCs w:val="1"/>
                <w:color w:val="auto"/>
              </w:rPr>
              <w:t>10. Long-Term Debt</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5060" w:type="dxa"/>
            <w:vAlign w:val="bottom"/>
          </w:tcPr>
          <w:p>
            <w:pPr>
              <w:ind w:left="320"/>
              <w:spacing w:after="0"/>
              <w:rPr>
                <w:sz w:val="20"/>
                <w:szCs w:val="20"/>
                <w:color w:val="auto"/>
              </w:rPr>
            </w:pPr>
            <w:r>
              <w:rPr>
                <w:rFonts w:ascii="Arial" w:cs="Arial" w:eastAsia="Arial" w:hAnsi="Arial"/>
                <w:sz w:val="18"/>
                <w:szCs w:val="18"/>
                <w:color w:val="auto"/>
              </w:rPr>
              <w:t>Long-term debt consisted of the following:</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27"/>
        </w:trPr>
        <w:tc>
          <w:tcPr>
            <w:tcW w:w="5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5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196"/>
        </w:trPr>
        <w:tc>
          <w:tcPr>
            <w:tcW w:w="5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4"/>
          </w:tcPr>
          <w:p>
            <w:pPr>
              <w:jc w:val="right"/>
              <w:ind w:right="45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Amounts payable within one year</w:t>
            </w:r>
          </w:p>
        </w:tc>
        <w:tc>
          <w:tcPr>
            <w:tcW w:w="1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06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0"/>
        </w:trPr>
        <w:tc>
          <w:tcPr>
            <w:tcW w:w="5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On August 18, 2015, we entered into a new credit facility (the “Credit Facility”) with JPMorgan Chase Bank, N.A., The Huntington National Bank, Citizens Bank, National Association and J.P. Morgan Securities LLC (collectively, the “Lenders”). The Credit Facility consists of a $100 million five-year revolving facility (the “Revolving Credit Facility”) and originally matured on August 18, 2020. On June 27, 2018, the Company entered into a Second Amendment to its Credit Facility, (the “Second Amendment”), which had first been amended on September 1, 2017, extending the revolving credit maturity date under the Credit Agreement for five years after the date of the amendment to June 27, 2023. On July 1, 2019, we elected to reduce our Revolving Credit Facility to $70 million. On May 11, 2020, as part of our reincorporation as a Florida corporation, we entered into an assumption agreement and amendment of loan documents. The amendment also included an alternative benchmark rate as a replacement to LIBOR.</w:t>
      </w:r>
    </w:p>
    <w:p>
      <w:pPr>
        <w:spacing w:after="0" w:line="154"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7"/>
          <w:szCs w:val="17"/>
          <w:color w:val="auto"/>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12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the Company incurred an additional $120,000 of transaction fees related to the Credit Facility that were capitalized. The cumulative transaction fees are being amortized over the remaining life of the Credit Facility.</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Interest rates under the Credit Facility are payable, at our option, at alternatives equal to LIBOR (0.1250% at</w:t>
      </w:r>
    </w:p>
    <w:p>
      <w:pPr>
        <w:spacing w:after="0" w:line="35" w:lineRule="exact"/>
        <w:rPr>
          <w:sz w:val="20"/>
          <w:szCs w:val="20"/>
          <w:color w:val="auto"/>
        </w:rPr>
      </w:pPr>
    </w:p>
    <w:p>
      <w:pPr>
        <w:ind w:left="60" w:right="99"/>
        <w:spacing w:after="0" w:line="252" w:lineRule="auto"/>
        <w:rPr>
          <w:sz w:val="20"/>
          <w:szCs w:val="20"/>
          <w:color w:val="auto"/>
        </w:rPr>
      </w:pPr>
      <w:r>
        <w:rPr>
          <w:rFonts w:ascii="Arial" w:cs="Arial" w:eastAsia="Arial" w:hAnsi="Arial"/>
          <w:sz w:val="18"/>
          <w:szCs w:val="18"/>
          <w:color w:val="auto"/>
        </w:rPr>
        <w:t>June 30, 2021), plus 1% to 2% or the base rate plus 0% to 1%. The spread over LIBOR and the base rate vary from time to time, depending upon our financial leverage. As previously noted, the May 11, 2020 amendment to the Credit Facility includes an alternative benchmark to LIBOR in the event LIBOR is no longer available. Letters of credit issued under the Credit Facility will be subject to a participation fee (which is equal to the interest rate applicable to Eurocurrency Loans, as defined in the Credit Agreement) payable to each of the Lenders and a fronting fee equal to 0.25% per annum payable to the issuing bank. We also pay quarterly commitment fees of 0.2% to 0.3% per annum on the unused portion of the Revolving Credit Facility.</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Credit Facility contains a number of financial covenants (all of which we were in compliance with at</w:t>
      </w:r>
    </w:p>
    <w:p>
      <w:pPr>
        <w:spacing w:after="0" w:line="23" w:lineRule="exact"/>
        <w:rPr>
          <w:sz w:val="20"/>
          <w:szCs w:val="20"/>
          <w:color w:val="auto"/>
        </w:rPr>
      </w:pPr>
    </w:p>
    <w:p>
      <w:pPr>
        <w:jc w:val="both"/>
        <w:ind w:left="60" w:right="239"/>
        <w:spacing w:after="0" w:line="323" w:lineRule="auto"/>
        <w:rPr>
          <w:sz w:val="20"/>
          <w:szCs w:val="20"/>
          <w:color w:val="auto"/>
        </w:rPr>
      </w:pPr>
      <w:r>
        <w:rPr>
          <w:rFonts w:ascii="Arial" w:cs="Arial" w:eastAsia="Arial" w:hAnsi="Arial"/>
          <w:sz w:val="16"/>
          <w:szCs w:val="16"/>
          <w:color w:val="auto"/>
        </w:rPr>
        <w:t>June 30, 2021) which, among other things, require us to maintain specified financial ratios and impose certain limitations on us with respect to investments, additional indebtedness, dividends, distributions, guarantees, liens and encumbrances.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had approximately $60 million of unused borrowing capacity under the Revolving Credit Facility at June 30, 2021.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Litigation</w:t>
      </w:r>
    </w:p>
    <w:p>
      <w:pPr>
        <w:spacing w:after="0" w:line="189" w:lineRule="exact"/>
        <w:rPr>
          <w:sz w:val="20"/>
          <w:szCs w:val="20"/>
          <w:color w:val="auto"/>
        </w:rPr>
      </w:pPr>
    </w:p>
    <w:p>
      <w:pPr>
        <w:jc w:val="both"/>
        <w:ind w:left="60" w:right="99" w:firstLine="324"/>
        <w:spacing w:after="0" w:line="263" w:lineRule="auto"/>
        <w:rPr>
          <w:sz w:val="20"/>
          <w:szCs w:val="20"/>
          <w:color w:val="auto"/>
        </w:rPr>
      </w:pPr>
      <w:r>
        <w:rPr>
          <w:rFonts w:ascii="Arial" w:cs="Arial" w:eastAsia="Arial" w:hAnsi="Arial"/>
          <w:sz w:val="18"/>
          <w:szCs w:val="18"/>
          <w:color w:val="auto"/>
        </w:rPr>
        <w:t>The Company is subject to various outstanding claims which arise in the ordinary course of business and to other legal proceedings. Management anticipates that any potential liability of the Company, which may arise out of or with respect to these matters, will not materially affect the Company’s financial statements.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Dividends</w:t>
      </w:r>
    </w:p>
    <w:p>
      <w:pPr>
        <w:spacing w:after="0" w:line="202" w:lineRule="exact"/>
        <w:rPr>
          <w:sz w:val="20"/>
          <w:szCs w:val="20"/>
          <w:color w:val="auto"/>
        </w:rPr>
      </w:pPr>
    </w:p>
    <w:p>
      <w:pPr>
        <w:ind w:left="60" w:right="439" w:firstLine="324"/>
        <w:spacing w:after="0" w:line="263" w:lineRule="auto"/>
        <w:rPr>
          <w:sz w:val="20"/>
          <w:szCs w:val="20"/>
          <w:color w:val="auto"/>
        </w:rPr>
      </w:pPr>
      <w:r>
        <w:rPr>
          <w:rFonts w:ascii="Arial" w:cs="Arial" w:eastAsia="Arial" w:hAnsi="Arial"/>
          <w:sz w:val="18"/>
          <w:szCs w:val="18"/>
          <w:color w:val="auto"/>
        </w:rPr>
        <w:t>On June 18, 2021, the Company’s Board of Directors declared a quarterly cash dividend of $0.16 per shares on its Classes A and B Common Stock. This dividend, totaling approximately $960,000, was paid on July 16, 2021 to shareholders of record on June 30, 2020.</w:t>
      </w:r>
    </w:p>
    <w:p>
      <w:pPr>
        <w:spacing w:after="0" w:line="143"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8"/>
          <w:szCs w:val="18"/>
          <w:color w:val="auto"/>
        </w:rPr>
        <w:t>On June 18, 2020, the Company’s Board of Directors announced that it was temporarily suspending the quarterly cash dividend in response to the continued uncertainty of the ongoing impact of COVID-19.</w:t>
      </w:r>
    </w:p>
    <w:p>
      <w:pPr>
        <w:spacing w:after="0" w:line="130" w:lineRule="exact"/>
        <w:rPr>
          <w:sz w:val="20"/>
          <w:szCs w:val="20"/>
          <w:color w:val="auto"/>
        </w:rPr>
      </w:pPr>
    </w:p>
    <w:p>
      <w:pPr>
        <w:ind w:left="60" w:right="459" w:firstLine="324"/>
        <w:spacing w:after="0" w:line="263" w:lineRule="auto"/>
        <w:rPr>
          <w:sz w:val="20"/>
          <w:szCs w:val="20"/>
          <w:color w:val="auto"/>
        </w:rPr>
      </w:pPr>
      <w:r>
        <w:rPr>
          <w:rFonts w:ascii="Arial" w:cs="Arial" w:eastAsia="Arial" w:hAnsi="Arial"/>
          <w:sz w:val="18"/>
          <w:szCs w:val="18"/>
          <w:color w:val="auto"/>
        </w:rPr>
        <w:t>On March 4, 2020, the Company’s Board of Directors declared a quarterly cash dividend of $0.32 per share on its Classes A and B Common Stock. This dividend, totaling approximately $1.9 million, was paid on April 10, 2020 to shareholders of record on March 16, 2020.</w:t>
      </w:r>
    </w:p>
    <w:p>
      <w:pPr>
        <w:spacing w:after="0" w:line="3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Other Income</w:t>
      </w:r>
    </w:p>
    <w:p>
      <w:pPr>
        <w:spacing w:after="0" w:line="189"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During the first quarter of 2021, there was weather-related damage to an antenna in our Des Moines, Iowa market. The Company’s insurance policy provided coverage for removal and replacement of the antenna and related equipment. As part of the initial insurance settlement during the first quarter of 2021, the Company received cash proceeds of $250,000, resulting in a gain of $250,000. The gain is recorded in other (income) expense, net, in the Company’s Condensed Consolidated Statements of Income. We anticipate recording an additional $290,000 in cash proceeds and gain in other (income) expense, net in the third quarter of 2021.</w:t>
      </w:r>
    </w:p>
    <w:p>
      <w:pPr>
        <w:spacing w:after="0" w:line="152" w:lineRule="exact"/>
        <w:rPr>
          <w:sz w:val="20"/>
          <w:szCs w:val="20"/>
          <w:color w:val="auto"/>
        </w:rPr>
      </w:pPr>
    </w:p>
    <w:p>
      <w:pPr>
        <w:ind w:left="60" w:right="599" w:firstLine="324"/>
        <w:spacing w:after="0" w:line="275" w:lineRule="auto"/>
        <w:rPr>
          <w:sz w:val="20"/>
          <w:szCs w:val="20"/>
          <w:color w:val="auto"/>
        </w:rPr>
      </w:pPr>
      <w:r>
        <w:rPr>
          <w:rFonts w:ascii="Arial" w:cs="Arial" w:eastAsia="Arial" w:hAnsi="Arial"/>
          <w:sz w:val="17"/>
          <w:szCs w:val="17"/>
          <w:color w:val="auto"/>
        </w:rPr>
        <w:t>During the first quarter of 2020, there was weather-related damage to an antenna in our Keene, New Hampshire market. The Company’s insurance policy provided coverage for removal and replacement of the antenna and related equipment. The insurance settlement was finalized during the first quarter of 2020 and the Company received cash proceeds of $208,000, resulting in a gain of $208,000. The gain is recorded in other (income) expense, net, in the Company’s Condensed Consolidated Statements of Income.</w:t>
      </w:r>
    </w:p>
    <w:p>
      <w:pPr>
        <w:spacing w:after="0" w:line="176"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During the first quarter of 2020, the Company sold land and a building on one of its tower sites in its Bellingham, Washington market for approximately $1,700,000 to Talbot Real Estate, LLC, resulting in a $1,400,000 gain on the sale of assets. The gain is recorded in the other operating (income) expense, net in the Company’s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2. Management’s Discussion and Analysis of Financial Condition and Results of Operations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This report contains forward-looking statements that are based on management’s beliefs, assumptions, current expectations, estimates and projections about the radio broadcasting industry, the economy, and the Company. Words such as “anticipates,” “believes,” “expects,” “intends,” “is likely,” “plans,” “projects,” and variations of such words and similar expressions are intended to identify such forward-looking statements. These statements are not guarantees of future performance and involve certain risks, uncertainties and assumptions (“Future Factors”) that are difficult to predict with regard to timing, extent, likelihood and degree of occurrence. Therefore, actual results and outcomes may materially differ from what may be expressed or forecasted in such forward-looking statements. We undertake no obligation to update, amend, or clarify forward-looking statements, whether as a result of new information, future events (whether anticipated or unanticipated), or otherwise.</w:t>
      </w:r>
    </w:p>
    <w:p>
      <w:pPr>
        <w:spacing w:after="0" w:line="140"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Future Factors include, among others, adverse changes in interest rates and interest rate relationships; our financial leverage and debt service requirements; dependence on key personnel; dependence on key stations; U.S. national and local economic conditions; market volatility; demand for our services; the degree of competition by traditional and non-traditional competitors; our ability to successfully integrate acquired stations; regulatory requirements; governmental and regulatory policy changes; changes in tax laws; the impact of technological advances; risks associated with cyber-attacks on our computer systems; the outcomes of contingencies; trends in audience behavior; damage to our reputation resulting from adverse publicity, regulatory actions, litigation, operational failures, the failure to meet client or listener expectations and other facts; changes in local real estate values; natural disasters; terrorist attacks; the effects of the ongoing COVID-19 pandemic; and risk factors described in our annual report on Form 10-K for the year ended December 31, 2020 or in this Report. These are representative of the Future Factors that could cause a difference between an ultimate actual outcome and a forward-looking statement.</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The following discussion should be read in conjunction with the unaudited condensed consolidated financial statements and accompanying notes thereto of Saga Communications, Inc. and its subsidiaries contained elsewhere herein and the audited financial statements and Management Discussion and Analysis contained in our annual report on Form 10-K for the year ended December 31, 2020. The following discussion is presented on a consolidated basis.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Our consolidated financial statements have been prepared in conformity with accounting principles generally accepted in the United States (GAAP), which require us to make estimates, judgments and assumptions that affect the reported amounts of certain assets, liabilities, revenues, expenses and related disclosures and contingencies. We evaluate estimates used in preparation of our financial statements on a continual basis. There have been no significant changes to our critical accounting policies that are described in Item 7. “Management’s Discussion and Analysis of Financial Condition and Results of Operations — Critical Accounting Policies” in our annual report on Form 10-K for the year ended December 31, 2020.</w:t>
      </w:r>
    </w:p>
    <w:p>
      <w:pPr>
        <w:spacing w:after="0" w:line="154"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use certain financial measures that are not calculated in accordance with generally accepted accounting principles in the United States of America (GAAP) to assess our financial performance. For example, we evaluate the performance of our markets based on “station operating income” (operating income plus corporate general and administrative expenses, depreciation and amortization, other operating (income) expenses, and impairment of intangible assets). Station operating income is generally recognized by the broadcasting industry as a measure of performance, is used by analysts who report on the performance of the broadcasting industry and serves as an indicator of the market value of a group of stations. In addition, we use it to evaluate individual stations, market-level performance, overall operations and as a primary measure for incentive based compensation of executives and other members of management. Station operating income is not necessarily indicative of amounts that may be available to us for debt service requirements, other commitments, reinvestment or other discretionary uses. Station operating income is not a measure of liquidity or of performance in accordance with GAAP, and should be viewed as a supplement to, and not a substitute for our results of operations presented on a GAAP basis.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Impact and Response</w:t>
      </w:r>
    </w:p>
    <w:p>
      <w:pPr>
        <w:spacing w:after="0" w:line="202"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During the six months ended June 30, 2021, the effects of the COVID-19 pandemic and related actions by governments to attempt to contain the spread of the virus have continued to impact our business. Despite the development of vaccines and more effective treatments for the physical impacts of COVID-19, there are no reliable estimates of how long the COVID-19 pandemic, and its negative effect on our business, will last. Therefore, the unpredictability of the current economic and public health conditions continues. However, all of our markets are functioning at effectively full capacity, subject to ongoing health and safety protocols, which vary from state-to-state and we have begun to host our non-spot events again. As we exited the second quarter of 2021, we remain optimistic about future advertising revenue. Additional information regarding all actions taken by the Company since the onset of the pandemic can be found in our audited financial statements and Management Discussion and Analysis contained in our annual report on Form 10-K for the year ended December 31, 2020.</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w:t>
      </w:r>
    </w:p>
    <w:p>
      <w:pPr>
        <w:spacing w:after="0" w:line="198"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We are a broadcast company primarily engaged in acquiring, developing and operating broadcast properties. We actively seek and explore opportunities for expansion through the acquisition of additional broadcast properties. We review acquisition opportunities on an ongoing basis. For additional information with respect to acquisitions, see “Liquidity and Capital Resources” below. We own or operate broadcast properties in 27 markets, including 79 FM and 35 AM radio stations and 79 metro signals.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Radio Stations</w:t>
      </w:r>
    </w:p>
    <w:p>
      <w:pPr>
        <w:spacing w:after="0" w:line="185"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Our radio stations’ primary source of revenue is from the sale of advertising for broadcast on our stations. Depending on the format of a particular radio station, there are a predetermined number of advertisements available to be broadcast each hour.</w:t>
      </w:r>
    </w:p>
    <w:p>
      <w:pPr>
        <w:spacing w:after="0" w:line="157" w:lineRule="exact"/>
        <w:rPr>
          <w:sz w:val="20"/>
          <w:szCs w:val="20"/>
          <w:color w:val="auto"/>
        </w:rPr>
      </w:pPr>
    </w:p>
    <w:p>
      <w:pPr>
        <w:ind w:left="60" w:right="379" w:firstLine="324"/>
        <w:spacing w:after="0" w:line="275" w:lineRule="auto"/>
        <w:rPr>
          <w:sz w:val="20"/>
          <w:szCs w:val="20"/>
          <w:color w:val="auto"/>
        </w:rPr>
      </w:pPr>
      <w:r>
        <w:rPr>
          <w:rFonts w:ascii="Arial" w:cs="Arial" w:eastAsia="Arial" w:hAnsi="Arial"/>
          <w:sz w:val="17"/>
          <w:szCs w:val="17"/>
          <w:color w:val="auto"/>
        </w:rPr>
        <w:t>Most advertising contracts are short-term and generally run for a few weeks only. The majority of our revenue is generated from local advertising, which is sold primarily by each radio markets’ sales staff. For the six months ended June 30, 2021 and 2020, approximately 89% and 89%, respectively, of our radio station’s gross revenue was from local advertising. To generate national advertising sales, we engage independent advertising sales representative firms that specialize in national sales for each of our broadcast markets.</w:t>
      </w:r>
    </w:p>
    <w:p>
      <w:pPr>
        <w:spacing w:after="0" w:line="136"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Our revenue varies throughout the course of the year. Advertising expenditures, our primary source of revenue, generally have been lowest during the winter months, which include the first quarter of each year. Furthermore, we expect a decrease in political advertising for 2021 due to the decreased number of national, state and local elections in most of our markets as compared to the prior year.</w:t>
      </w:r>
    </w:p>
    <w:p>
      <w:pPr>
        <w:spacing w:after="0" w:line="146"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Our net operating revenue, station operating expense and operating income varies from market to market based upon each market’s rank or size which is based upon population and the available radio advertising revenue in that particular market.</w:t>
      </w:r>
    </w:p>
    <w:p>
      <w:pPr>
        <w:spacing w:after="0" w:line="157" w:lineRule="exact"/>
        <w:rPr>
          <w:sz w:val="20"/>
          <w:szCs w:val="20"/>
          <w:color w:val="auto"/>
        </w:rPr>
      </w:pPr>
    </w:p>
    <w:p>
      <w:pPr>
        <w:ind w:left="60" w:right="279" w:firstLine="324"/>
        <w:spacing w:after="0" w:line="257" w:lineRule="auto"/>
        <w:rPr>
          <w:sz w:val="20"/>
          <w:szCs w:val="20"/>
          <w:color w:val="auto"/>
        </w:rPr>
      </w:pPr>
      <w:r>
        <w:rPr>
          <w:rFonts w:ascii="Arial" w:cs="Arial" w:eastAsia="Arial" w:hAnsi="Arial"/>
          <w:sz w:val="18"/>
          <w:szCs w:val="18"/>
          <w:color w:val="auto"/>
        </w:rPr>
        <w:t>The broadcasting industry and advertising in general, is influenced by the state of the overall economy, including unemployment rates, inflation, energy prices and consumer interest rates. Our stations primarily broadcast in small to midsize markets. Historically, such markets have been more stable than major metropolitan markets during downturns in advertising spending, but may not experience increases in such spending as significant as those in major metropolitan markets in periods of economic improvement.</w:t>
      </w:r>
    </w:p>
    <w:p>
      <w:pPr>
        <w:spacing w:after="0" w:line="147"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Our financial results are dependent on a number of factors, the most significant of which is our ability to generate advertising revenue through rates charged to advertisers. The rates a station is able to charge are, in large part, based on a station’s ability to attract audiences in the demographic groups targeted by its advertisers. In a number of our markets, this is measured by periodic reports generated by independent national rating services. In the remainder of our markets it is measured by the results advertisers obtain through the actual running of an advertising schedule. Advertisers measure these results based on increased demand for their goods or services and/or actual revenues generated from such demand. Various factors affect the rate a station can charge, including the general strength of the local and national economies, population growth, ability to provide popular programming, local market competition, target marketing capability of radio compared to other advertising media, and signal strength.</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When we acquire and/or begin to operate a station or group of stations we generally increase programming and advertising and promotion expenses to increase our share of our target demographic audience. Our strategy sometimes requires levels of spending commensurate with the revenue levels we plan on achieving in two to five years. During periods of economic downturns, or when the level of advertising spending is flat or down across the industry, this strategy may result in the appearance that our cost of operations is increasing at a faster rate than our growth in revenues, until such time as we achieve our targeted levels of revenue for the acquired station or group of stations.</w:t>
      </w:r>
    </w:p>
    <w:p>
      <w:pPr>
        <w:spacing w:after="0" w:line="137"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The number of advertisements that can be broadcast without jeopardizing listening levels (and the resulting ratings) is limited in part by the format of a particular radio station. Our stations strive to maximize revenue by constantly managing the number of commercials available for sale and adjusting prices based upon local market conditions and ratings. While there may be shifts from time to time in the number of advertisements broadcast during a particular time of day, the total number of advertisements broadcast on a particular station generally does not vary significantly from year to year. Any change in our revenue, with the exception of those instances where stations are acquired or sold, is generally the result of inventory sell-out ratios and pricing adjustments, which are made to ensure that the station efficiently utilizes available inventory.</w:t>
      </w:r>
    </w:p>
    <w:p>
      <w:pPr>
        <w:spacing w:after="0" w:line="151" w:lineRule="exact"/>
        <w:rPr>
          <w:sz w:val="20"/>
          <w:szCs w:val="20"/>
          <w:color w:val="auto"/>
        </w:rPr>
      </w:pPr>
    </w:p>
    <w:p>
      <w:pPr>
        <w:ind w:left="60" w:right="339" w:firstLine="324"/>
        <w:spacing w:after="0" w:line="255" w:lineRule="auto"/>
        <w:rPr>
          <w:sz w:val="20"/>
          <w:szCs w:val="20"/>
          <w:color w:val="auto"/>
        </w:rPr>
      </w:pPr>
      <w:r>
        <w:rPr>
          <w:rFonts w:ascii="Arial" w:cs="Arial" w:eastAsia="Arial" w:hAnsi="Arial"/>
          <w:sz w:val="18"/>
          <w:szCs w:val="18"/>
          <w:color w:val="auto"/>
        </w:rPr>
        <w:t>Our radio stations employ a variety of programming formats. We periodically perform market research, including music evaluations, focus groups and strategic vulnerability studies. Because reaching a large and demographically attractive audience is crucial to a station’s financial success, we endeavor to develop strong listener loyalty. Our stations also employ audience promotions to further develop and secure a loyal following. We believe that the diversification of formats on our radio stations helps to insulate us from the effects of changes in musical tastes of the public on any particular format.</w:t>
      </w:r>
    </w:p>
    <w:p>
      <w:pPr>
        <w:spacing w:after="0" w:line="152" w:lineRule="exact"/>
        <w:rPr>
          <w:sz w:val="20"/>
          <w:szCs w:val="20"/>
          <w:color w:val="auto"/>
        </w:rPr>
      </w:pPr>
    </w:p>
    <w:p>
      <w:pPr>
        <w:ind w:left="60" w:right="819" w:firstLine="324"/>
        <w:spacing w:after="0" w:line="308" w:lineRule="auto"/>
        <w:rPr>
          <w:sz w:val="20"/>
          <w:szCs w:val="20"/>
          <w:color w:val="auto"/>
        </w:rPr>
      </w:pPr>
      <w:r>
        <w:rPr>
          <w:rFonts w:ascii="Arial" w:cs="Arial" w:eastAsia="Arial" w:hAnsi="Arial"/>
          <w:sz w:val="17"/>
          <w:szCs w:val="17"/>
          <w:color w:val="auto"/>
        </w:rPr>
        <w:t>The primary operating expenses involved in owning and operating radio stations are employee salaries, sales commissions, programming expenses, depreciation, and advertising and promotion expenses.</w:t>
      </w:r>
    </w:p>
    <w:p>
      <w:pPr>
        <w:spacing w:after="0" w:line="119" w:lineRule="exact"/>
        <w:rPr>
          <w:sz w:val="20"/>
          <w:szCs w:val="20"/>
          <w:color w:val="auto"/>
        </w:rPr>
      </w:pPr>
    </w:p>
    <w:p>
      <w:pPr>
        <w:ind w:left="60" w:right="559" w:firstLine="324"/>
        <w:spacing w:after="0" w:line="263" w:lineRule="auto"/>
        <w:rPr>
          <w:sz w:val="20"/>
          <w:szCs w:val="20"/>
          <w:color w:val="auto"/>
        </w:rPr>
      </w:pPr>
      <w:r>
        <w:rPr>
          <w:rFonts w:ascii="Arial" w:cs="Arial" w:eastAsia="Arial" w:hAnsi="Arial"/>
          <w:sz w:val="18"/>
          <w:szCs w:val="18"/>
          <w:color w:val="auto"/>
        </w:rPr>
        <w:t>The radio broadcasting industry is subject to rapid technological change, evolving industry standards and the emergence of new media technologies and services. These new technologies and media are gaining advertising share against radio and other traditional media.</w:t>
      </w:r>
    </w:p>
    <w:p>
      <w:pPr>
        <w:spacing w:after="0" w:line="143"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We are continuing to expand our digital initiative to provide a seamless experience across multiple platforms. Our goal is to allow our listeners to connect with our brands on demand, wherever, however and whenever they choose. We continue to create opportunities through targeted digital advertising and an array of digital services that include online promotions, mobile messaging, and email marketing.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324"/>
        <w:spacing w:after="0" w:line="275" w:lineRule="auto"/>
        <w:rPr>
          <w:sz w:val="20"/>
          <w:szCs w:val="20"/>
          <w:color w:val="auto"/>
        </w:rPr>
      </w:pPr>
      <w:r>
        <w:rPr>
          <w:rFonts w:ascii="Arial" w:cs="Arial" w:eastAsia="Arial" w:hAnsi="Arial"/>
          <w:sz w:val="17"/>
          <w:szCs w:val="17"/>
          <w:color w:val="auto"/>
        </w:rPr>
        <w:t>During the six months ended June 30, 2021 and 2020 and the years ended December 31, 2020 and 2019, our Charleston, South Carolina; Columbus, Ohio; Des Moines, Iowa; Milwaukee, Wisconsin and Norfolk, Virginia markets, when combined, represented approximately 39%, 38%, 39% and 39%, respectively, of our consolidated net operating revenue. An adverse change in any of these radio markets or our relative market position in those markets could have a significant impact on our operating results as a whole.</w:t>
      </w:r>
    </w:p>
    <w:p>
      <w:pPr>
        <w:spacing w:after="0" w:line="149"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The following table describes the percentage of our consolidated net operating revenue represented by each of these markets:</w:t>
      </w:r>
    </w:p>
    <w:p>
      <w:pPr>
        <w:spacing w:after="0" w:line="1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8"/>
              </w:rPr>
              <w:t>Percentage of Consolidated</w:t>
            </w:r>
          </w:p>
        </w:tc>
        <w:tc>
          <w:tcPr>
            <w:tcW w:w="24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8"/>
              </w:rPr>
              <w:t>Percentage of Consolidated</w:t>
            </w:r>
          </w:p>
        </w:tc>
      </w:tr>
      <w:tr>
        <w:trPr>
          <w:trHeight w:val="216"/>
        </w:trPr>
        <w:tc>
          <w:tcPr>
            <w:tcW w:w="4060" w:type="dxa"/>
            <w:vAlign w:val="bottom"/>
          </w:tcPr>
          <w:p>
            <w:pPr>
              <w:spacing w:after="0"/>
              <w:rPr>
                <w:sz w:val="18"/>
                <w:szCs w:val="18"/>
                <w:color w:val="auto"/>
              </w:rPr>
            </w:pPr>
          </w:p>
        </w:tc>
        <w:tc>
          <w:tcPr>
            <w:tcW w:w="23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Net Operating Revenue for</w:t>
            </w:r>
          </w:p>
        </w:tc>
        <w:tc>
          <w:tcPr>
            <w:tcW w:w="24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0"/>
              </w:rPr>
              <w:t>Net Operating Revenue</w:t>
            </w:r>
          </w:p>
        </w:tc>
      </w:tr>
      <w:tr>
        <w:trPr>
          <w:trHeight w:val="216"/>
        </w:trPr>
        <w:tc>
          <w:tcPr>
            <w:tcW w:w="4060" w:type="dxa"/>
            <w:vAlign w:val="bottom"/>
          </w:tcPr>
          <w:p>
            <w:pPr>
              <w:spacing w:after="0"/>
              <w:rPr>
                <w:sz w:val="18"/>
                <w:szCs w:val="18"/>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the Six Months Ended</w:t>
            </w:r>
          </w:p>
        </w:tc>
        <w:tc>
          <w:tcPr>
            <w:tcW w:w="24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for the Years Ended</w:t>
            </w:r>
          </w:p>
        </w:tc>
      </w:tr>
      <w:tr>
        <w:trPr>
          <w:trHeight w:val="234"/>
        </w:trPr>
        <w:tc>
          <w:tcPr>
            <w:tcW w:w="4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0"/>
              </w:rPr>
              <w:t>December 31,</w:t>
            </w:r>
          </w:p>
        </w:tc>
      </w:tr>
      <w:tr>
        <w:trPr>
          <w:trHeight w:val="209"/>
        </w:trPr>
        <w:tc>
          <w:tcPr>
            <w:tcW w:w="406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CCEEFF"/>
            </w:tcBorders>
          </w:tcPr>
          <w:p>
            <w:pPr>
              <w:spacing w:after="0"/>
              <w:rPr>
                <w:sz w:val="18"/>
                <w:szCs w:val="18"/>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Charleston, South Carolina</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5 %</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5 %</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5 %</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5 %</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Columbus, Ohio</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10 %</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10 %</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10 %</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11 %</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Des Moines, Iowa</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7 %</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6 %</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Milwaukee, Wisconsin</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11 %</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11 %</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11 %</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11 %</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Norfolk, Virginia</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7 %</w:t>
            </w:r>
          </w:p>
        </w:tc>
        <w:tc>
          <w:tcPr>
            <w:tcW w:w="2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6 %</w:t>
            </w:r>
          </w:p>
        </w:tc>
      </w:tr>
    </w:tbl>
    <w:p>
      <w:pPr>
        <w:spacing w:after="0" w:line="187"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During the six months ended June 30, 2021 and 2020 and the years ended December 31, 2021 and 2020, the radio stations in our five largest markets, when combined, represented approximately 39%, 56%, 49% and 43%, respectively, of our consolidated station operating income. We note that the percentage of consolidated station operating income at June 30, 2020 and December 31, 2020 is higher than what would normally be expected due to the impact of the COVID-19 pandemic on our markets. If the pandemic is resolved, we would anticipate results for each market to be back to normalized amounts in future years. The following table describes the percentage of our consolidated station operating income represented by each of these markets: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50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8"/>
              </w:rPr>
              <w:t>Percentage of Consolidated</w:t>
            </w:r>
          </w:p>
        </w:tc>
        <w:tc>
          <w:tcPr>
            <w:tcW w:w="26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8"/>
              </w:rPr>
              <w:t>Percentage of Consolidated</w:t>
            </w:r>
          </w:p>
        </w:tc>
      </w:tr>
      <w:tr>
        <w:trPr>
          <w:trHeight w:val="216"/>
        </w:trPr>
        <w:tc>
          <w:tcPr>
            <w:tcW w:w="3780" w:type="dxa"/>
            <w:vAlign w:val="bottom"/>
          </w:tcPr>
          <w:p>
            <w:pPr>
              <w:spacing w:after="0"/>
              <w:rPr>
                <w:sz w:val="18"/>
                <w:szCs w:val="18"/>
                <w:color w:val="auto"/>
              </w:rPr>
            </w:pPr>
          </w:p>
        </w:tc>
        <w:tc>
          <w:tcPr>
            <w:tcW w:w="250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2"/>
              </w:rPr>
              <w:t>Station Operating Income (*)</w:t>
            </w:r>
          </w:p>
        </w:tc>
        <w:tc>
          <w:tcPr>
            <w:tcW w:w="26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2"/>
              </w:rPr>
              <w:t>Station Operating Income(*)</w:t>
            </w:r>
          </w:p>
        </w:tc>
      </w:tr>
      <w:tr>
        <w:trPr>
          <w:trHeight w:val="216"/>
        </w:trPr>
        <w:tc>
          <w:tcPr>
            <w:tcW w:w="3780" w:type="dxa"/>
            <w:vAlign w:val="bottom"/>
          </w:tcPr>
          <w:p>
            <w:pPr>
              <w:spacing w:after="0"/>
              <w:rPr>
                <w:sz w:val="18"/>
                <w:szCs w:val="18"/>
                <w:color w:val="auto"/>
              </w:rPr>
            </w:pPr>
          </w:p>
        </w:tc>
        <w:tc>
          <w:tcPr>
            <w:tcW w:w="250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1"/>
              </w:rPr>
              <w:t>for the Six Months Ended</w:t>
            </w:r>
          </w:p>
        </w:tc>
        <w:tc>
          <w:tcPr>
            <w:tcW w:w="26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for the Years Ended</w:t>
            </w:r>
          </w:p>
        </w:tc>
      </w:tr>
      <w:tr>
        <w:trPr>
          <w:trHeight w:val="234"/>
        </w:trPr>
        <w:tc>
          <w:tcPr>
            <w:tcW w:w="3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r>
      <w:tr>
        <w:trPr>
          <w:trHeight w:val="210"/>
        </w:trPr>
        <w:tc>
          <w:tcPr>
            <w:tcW w:w="37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CCEEFF"/>
            </w:tcBorders>
          </w:tcPr>
          <w:p>
            <w:pPr>
              <w:spacing w:after="0"/>
              <w:rPr>
                <w:sz w:val="18"/>
                <w:szCs w:val="18"/>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Market: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Charleston, South Carolina</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2 %</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5 %</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Columbus, Ohio</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13 %</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25 %</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16 %</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15 %</w:t>
            </w: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Des Moines, Iowa</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3 %</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7 %</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6 %</w:t>
            </w: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Milwaukee, Wisconsin</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11 %</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19 %</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15 %</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12 %</w:t>
            </w: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Norfolk, Virginia</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7 %</w:t>
            </w:r>
          </w:p>
        </w:tc>
        <w:tc>
          <w:tcPr>
            <w:tcW w:w="3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7 %</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6 %</w:t>
            </w:r>
          </w:p>
        </w:tc>
      </w:tr>
    </w:tbl>
    <w:p>
      <w:pPr>
        <w:spacing w:after="0" w:line="187" w:lineRule="exact"/>
        <w:rPr>
          <w:sz w:val="20"/>
          <w:szCs w:val="20"/>
          <w:color w:val="auto"/>
        </w:rPr>
      </w:pPr>
    </w:p>
    <w:p>
      <w:pPr>
        <w:ind w:left="380" w:right="379" w:hanging="330"/>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adjusted for corporate general and administrative expenses, depreciation and amortization, other operating (income) expenses, and impairment of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June 30, 2021 Compared to Three Months Ended June 30, 2020</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results of operations for the three months ended June 30, 2021 and 2020.</w:t>
      </w:r>
    </w:p>
    <w:p>
      <w:pPr>
        <w:spacing w:after="0" w:line="19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Results of Operations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Increase</w:t>
            </w:r>
          </w:p>
        </w:tc>
        <w:tc>
          <w:tcPr>
            <w:tcW w:w="940" w:type="dxa"/>
            <w:vAlign w:val="bottom"/>
            <w:gridSpan w:val="2"/>
            <w:vMerge w:val="restart"/>
          </w:tcPr>
          <w:p>
            <w:pPr>
              <w:jc w:val="center"/>
              <w:ind w:right="70"/>
              <w:spacing w:after="0"/>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ind w:left="460"/>
              <w:spacing w:after="0"/>
              <w:rPr>
                <w:sz w:val="20"/>
                <w:szCs w:val="20"/>
                <w:color w:val="auto"/>
              </w:rPr>
            </w:pPr>
            <w:r>
              <w:rPr>
                <w:rFonts w:ascii="Arial" w:cs="Arial" w:eastAsia="Arial" w:hAnsi="Arial"/>
                <w:sz w:val="14"/>
                <w:szCs w:val="14"/>
                <w:b w:val="1"/>
                <w:bCs w:val="1"/>
                <w:color w:val="auto"/>
                <w:w w:val="99"/>
              </w:rPr>
              <w:t>June 30,</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w w:val="97"/>
              </w:rPr>
              <w:t>(Decrease)</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(In thousands,</w:t>
            </w:r>
          </w:p>
        </w:tc>
        <w:tc>
          <w:tcPr>
            <w:tcW w:w="20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74"/>
              </w:rPr>
              <w:t>except percentages</w:t>
            </w:r>
          </w:p>
        </w:tc>
        <w:tc>
          <w:tcPr>
            <w:tcW w:w="102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w w:val="95"/>
              </w:rPr>
              <w:t>and per share</w:t>
            </w: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information)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operating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66.3 %</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Station operating expenses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18,652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2,365</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general and administrative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Impairment of broadcast licenses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13,274</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4,578</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(8,716)</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13,294</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3,253</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(4,911)</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8,164</w:t>
            </w:r>
          </w:p>
        </w:tc>
        <w:tc>
          <w:tcPr>
            <w:tcW w:w="20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7"/>
        </w:trPr>
        <w:tc>
          <w:tcPr>
            <w:tcW w:w="49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(loss) per share (diluted)</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0.54</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(0.82)</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(165.9)</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640" w:type="dxa"/>
            <w:vAlign w:val="bottom"/>
            <w:vMerge w:val="restart"/>
          </w:tcPr>
          <w:p>
            <w:pPr>
              <w:ind w:left="20"/>
              <w:spacing w:after="0"/>
              <w:rPr>
                <w:sz w:val="20"/>
                <w:szCs w:val="20"/>
                <w:color w:val="auto"/>
              </w:rPr>
            </w:pPr>
            <w:r>
              <w:rPr>
                <w:rFonts w:ascii="Arial" w:cs="Arial" w:eastAsia="Arial" w:hAnsi="Arial"/>
                <w:sz w:val="18"/>
                <w:szCs w:val="18"/>
                <w:color w:val="auto"/>
              </w:rPr>
              <w:t>N/M =</w:t>
            </w:r>
          </w:p>
        </w:tc>
        <w:tc>
          <w:tcPr>
            <w:tcW w:w="4280" w:type="dxa"/>
            <w:vAlign w:val="bottom"/>
            <w:vMerge w:val="restart"/>
          </w:tcPr>
          <w:p>
            <w:pPr>
              <w:ind w:left="120"/>
              <w:spacing w:after="0"/>
              <w:rPr>
                <w:sz w:val="20"/>
                <w:szCs w:val="20"/>
                <w:color w:val="auto"/>
              </w:rPr>
            </w:pPr>
            <w:r>
              <w:rPr>
                <w:rFonts w:ascii="Arial" w:cs="Arial" w:eastAsia="Arial" w:hAnsi="Arial"/>
                <w:sz w:val="18"/>
                <w:szCs w:val="18"/>
                <w:color w:val="auto"/>
              </w:rPr>
              <w:t>Not Meaningful</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 w:type="dxa"/>
            <w:vAlign w:val="bottom"/>
            <w:vMerge w:val="continue"/>
          </w:tcPr>
          <w:p>
            <w:pPr>
              <w:spacing w:after="0"/>
              <w:rPr>
                <w:sz w:val="24"/>
                <w:szCs w:val="24"/>
                <w:color w:val="auto"/>
              </w:rPr>
            </w:pPr>
          </w:p>
        </w:tc>
        <w:tc>
          <w:tcPr>
            <w:tcW w:w="4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three months ended June 30, 2021, consolidated net operating revenue was $28,046,000 compared with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$16,866,000 for the three months ended June 30, 2020, an increase of $11,180,000 or 66.3%. The increase in revenue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second quarter of 2021 was attributable to lower-than-normal revenue in 2020 due to the COVID-19 pandemic. We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had increases in gross local revenue of $8,737,000, gross national revenue of $1,481,000, gross interactive revenue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$930,000, non-spot gross revenue of $541,000, gross political revenue of $141,000, and gross barter revenue of $111,000,</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partially offset by an increase in agency commissions of $842,000, from the second quarter of 2020. The increases in gross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local, national, and barter revenue and agency commissions occurred in the majority of our markets as a result of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impact of the COVID-19 pandemic and the disruption to our advertisers’ businesses in 2020, in contrast with the beginning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of the economic recovery in the second quarter of 2021. The increase in gross interactive revenue is primarily due to an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increase in our streaming and website content revenue. The increase in non-spot gross revenue is primarily due to us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starting to host events again in the second quarter of 2021, whereas the number of events that were being held in 2020 due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the COVID-19 pandemic was relatively very few. The increase in gross political revenue was attributable to an increase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at our Portland, Maine market, partially offset by fewer national, local and state elections in 2021 versus 2020 at our other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markets.</w:t>
      </w:r>
    </w:p>
    <w:p>
      <w:pPr>
        <w:spacing w:after="0" w:line="170" w:lineRule="exact"/>
        <w:rPr>
          <w:sz w:val="20"/>
          <w:szCs w:val="20"/>
          <w:color w:val="auto"/>
        </w:rPr>
      </w:pPr>
    </w:p>
    <w:p>
      <w:pPr>
        <w:ind w:left="60" w:right="139" w:firstLine="324"/>
        <w:spacing w:after="0" w:line="301" w:lineRule="auto"/>
        <w:rPr>
          <w:sz w:val="20"/>
          <w:szCs w:val="20"/>
          <w:color w:val="auto"/>
        </w:rPr>
      </w:pPr>
      <w:r>
        <w:rPr>
          <w:rFonts w:ascii="Arial" w:cs="Arial" w:eastAsia="Arial" w:hAnsi="Arial"/>
          <w:sz w:val="16"/>
          <w:szCs w:val="16"/>
          <w:color w:val="auto"/>
        </w:rPr>
        <w:t>Station operating expense was $21,017,000 for the three months ended June 30, 2021, compared with $18,652,000 for the three months ended June 30, 2020, an increase of $2,365,000 or 12.7%. The increase in operating expense was primarily a result of increases in commission expense, healthcare costs, sales rating survey expenses, and music licensing fees, of $1,270,000, $500,000, $481,000 and $102,000, respectively, from the second quarter of 2020.</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had operating income for the three months ended June 30, 2021 of $4,615,000 compared to an operating loss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$8,659,000 for the three months ended June 30, 2020, an increase of $13,274,000. The increase was a result of the increase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net operating revenue partially offset by the increase in station operating expense, noted above, a non cash impairment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charge related to our broadcast licenses in the second quarter of 2020 of $3,757,000, a decrease in corporate general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administrative expenses of $576,000 and an increase in other operating income of $126,000. The decrease in corporate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general and administrative expenses was primarily attributable to decreases in non cash compensation expenses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$255,000, legal expenses of $81,000, compensation-related expenses of $55,000 and overall expense reductions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$185,000, respectively, from second quarter of 2020. In the second quarter of 2021 we recorded a gain on the sale of fixed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assets of $80,000 compared to a loss on the sale of fixed assets of $46,000 in the second quarter of 2020 in other operating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expense.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We generated net income of $3,253,000 ($0.54 per share on a fully diluted basis) during the three months ended June 30, 2021, compared to a net loss of $4,911,000 ($0.82 per share on a fully diluted basis) for the three months ended June 30, 2020, an increase of $8,164,000. The increase in net income is primarily due to the increase in operating income, described above and an increase in income tax expense of $5,130,000. The increase in our income tax expense is due to the increase in income before income tax.</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Six Months Ended June 30, 2021 Compared to Six Months Ended June 30, 2020</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results of operations for the six months ended June 30, 2021 and 2020.</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Results of Operations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Increase</w:t>
            </w:r>
          </w:p>
        </w:tc>
        <w:tc>
          <w:tcPr>
            <w:tcW w:w="940" w:type="dxa"/>
            <w:vAlign w:val="bottom"/>
            <w:gridSpan w:val="2"/>
            <w:vMerge w:val="restart"/>
          </w:tcPr>
          <w:p>
            <w:pPr>
              <w:jc w:val="center"/>
              <w:ind w:right="70"/>
              <w:spacing w:after="0"/>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w w:val="97"/>
              </w:rPr>
              <w:t>(Decrease)</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92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(In thousands,</w:t>
            </w:r>
          </w:p>
        </w:tc>
        <w:tc>
          <w:tcPr>
            <w:tcW w:w="20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74"/>
              </w:rPr>
              <w:t>except percentages</w:t>
            </w:r>
          </w:p>
        </w:tc>
        <w:tc>
          <w:tcPr>
            <w:tcW w:w="102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w w:val="95"/>
              </w:rPr>
              <w:t>and per share</w:t>
            </w: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information)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42,917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Station operating expenses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39,940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40,851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(911)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general and administrative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1,261</w:t>
            </w:r>
          </w:p>
        </w:tc>
        <w:tc>
          <w:tcPr>
            <w:tcW w:w="20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broadcast licenses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5,498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11,990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4920" w:type="dxa"/>
            <w:vAlign w:val="bottom"/>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5,666</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(6,336)</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12,002</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4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4,011</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7,242</w:t>
            </w:r>
          </w:p>
        </w:tc>
        <w:tc>
          <w:tcPr>
            <w:tcW w:w="20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7"/>
        </w:trPr>
        <w:tc>
          <w:tcPr>
            <w:tcW w:w="49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(loss) per share (diluted)</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(224.1)</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60"/>
        <w:spacing w:after="0"/>
        <w:tabs>
          <w:tab w:leader="none" w:pos="780" w:val="left"/>
        </w:tabs>
        <w:rPr>
          <w:sz w:val="20"/>
          <w:szCs w:val="20"/>
          <w:color w:val="auto"/>
        </w:rPr>
      </w:pPr>
      <w:r>
        <w:rPr>
          <w:rFonts w:ascii="Arial" w:cs="Arial" w:eastAsia="Arial" w:hAnsi="Arial"/>
          <w:sz w:val="18"/>
          <w:szCs w:val="18"/>
          <w:color w:val="auto"/>
        </w:rPr>
        <w:t>N/M =</w:t>
      </w:r>
      <w:r>
        <w:rPr>
          <w:sz w:val="20"/>
          <w:szCs w:val="20"/>
          <w:color w:val="auto"/>
        </w:rPr>
        <w:tab/>
      </w:r>
      <w:r>
        <w:rPr>
          <w:rFonts w:ascii="Arial" w:cs="Arial" w:eastAsia="Arial" w:hAnsi="Arial"/>
          <w:sz w:val="17"/>
          <w:szCs w:val="17"/>
          <w:color w:val="auto"/>
        </w:rPr>
        <w:t>Not Meaningful</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six months ended June 30, 2021, consolidated net operating revenue was $50,347,000 compared with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$42,917,000 for the six months ended June 30, 2020, an increase of $7,430,000 or 17.3%. The increase in revenue was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attributable to lower-than-normal revenue in 2020 due to the COVID-19 pandemic. We had increases in gross local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 of $5,836,000, gross national revenue of $1,214,000, gross interactive revenue of $1,070,000, and non-spot gross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revenue of $386,000 partially offset by a decrease in gross political revenue of $672,000 and an increase in agency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commissions of $427,000, for the comparable period of 2020. The increase in gross local and national revenue occurred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majority of our markets. The increase in gross interactive revenue is primarily due to an increase in our streaming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website content revenue. The increase in non-spot gross revenue is primarily due to us starting to host events again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2021, whereas the number of events that were being held in 2020 due to the COVID-19 pandemic was relatively very few.</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decrease in gross political revenue was attributable to less national, local and state elections in 2021 versus 2020.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increase in agency commissions was due to the increase in gross revenue.</w:t>
      </w:r>
    </w:p>
    <w:p>
      <w:pPr>
        <w:spacing w:after="0" w:line="170" w:lineRule="exact"/>
        <w:rPr>
          <w:sz w:val="20"/>
          <w:szCs w:val="20"/>
          <w:color w:val="auto"/>
        </w:rPr>
      </w:pPr>
    </w:p>
    <w:p>
      <w:pPr>
        <w:ind w:left="60" w:right="219" w:firstLine="324"/>
        <w:spacing w:after="0" w:line="296" w:lineRule="auto"/>
        <w:rPr>
          <w:sz w:val="20"/>
          <w:szCs w:val="20"/>
          <w:color w:val="auto"/>
        </w:rPr>
      </w:pPr>
      <w:r>
        <w:rPr>
          <w:rFonts w:ascii="Arial" w:cs="Arial" w:eastAsia="Arial" w:hAnsi="Arial"/>
          <w:sz w:val="16"/>
          <w:szCs w:val="16"/>
          <w:color w:val="auto"/>
        </w:rPr>
        <w:t>Station operating expense was $39,940,000 for the six months ended June 30, 2021, compared with $40,851,000 for the six months ended June 30, 2020, a decrease of $911,000 or 2.2%. The decrease in operating expense was primarily result of decreases in compensation related expense, bad debt expense, depreciation and amortization expense and tower lease expense of $1,196,000, $588,000, $511,000 and $188,000, respectively partially offset by an increase in sales rating survey expenses and commission expense of $768,000 and $767,000, respectively for the comparable period of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had operating income for the six months ended June 30, 2021 of $5,498,000 compared to an operating loss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$6,492,000 for the six months ended June 30, 2020, an increase of $11,990,000. The increase was a result of the increase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operating revenue and a decrease in station operating expense, noted above, and a non-cash impairment charge related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our broadcast licenses of $3,757,000 in 2020, a decrease in corporate general and administrative expenses of $1,153,000</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 a decrease in other operating income of $1,261,000. The decrease in corporate general and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administrative expenses was primarily attributable to decreases in non-cash compensation expenses of $481,000, legal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expenses of $136,000, contribution expenses of $126,000, compensation-related expenses of $194,000 and overall expense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reductions of $200,000, respectively, from the comparable period of 2020. In the first quarter of 2020 we recorded the gain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the sale of a tower and a building on one of our tower sites in our Bellingham, Washington market of $1,400,000 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operating (income) expenses.</w:t>
      </w:r>
    </w:p>
    <w:p>
      <w:pPr>
        <w:spacing w:after="0" w:line="184"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We generated net income of $4,011,000 ($0.67 per share on a fully diluted basis) during the six months ended June 30, 2021, compared to a net loss of $3,231,000 ($0.54 per share on a fully diluted basis) for the six months ended June 30, 2020, an increase of $7,242,000. The increase in net income is primarily due to the increase in operating income, described above, partially offset by an increase in income tax expense of $4,760,000. The increase in our income tax expense is due to the increase in income before income tax.</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Debt Arrangements and Debt Service Requirements</w:t>
      </w:r>
    </w:p>
    <w:p>
      <w:pPr>
        <w:spacing w:after="0" w:line="198"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On August 18, 2015, we entered into a new credit facility (the “Credit Facility”) with JPMorgan Chase Bank, N.A., The Huntington National Bank, Citizens Bank, National Association and J.P. Morgan Securities LLC (collectively, the “Lenders”). The Credit Facility consists of a $100 million five-year revolving facility (the “Revolving Credit Facility”) and originally matured on August 18, 2020. On June 27, 2018, the Company entered into a Second Amendment to its Credit Facility, (the “Second Amendment”), which had first been amended on September 1, 2017, extending the revolving credit maturity date under the Credit Agreement for five years after the date of the amendment to June 27, 2023. On July 1, 2019, we elected to reduce our Revolving Credit Facility to $70 million. On May 11, 2020, as part of our reincorporation as a Florida corporation, we entered into an assumption agreement and amendment of loan documents.</w:t>
      </w:r>
    </w:p>
    <w:p>
      <w:pPr>
        <w:spacing w:after="0" w:line="125"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7"/>
          <w:szCs w:val="17"/>
          <w:color w:val="auto"/>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12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the Company incurred an additional $120,000 of transaction fees related to the Credit Facility that were capitalized. The cumulative transaction fees are being amortized over the remaining life of the Credit Facility.</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Interest rates under the Credit Facility are payable, at our option, at alternatives equal to LIBOR (0.1250% at</w:t>
      </w:r>
    </w:p>
    <w:p>
      <w:pPr>
        <w:spacing w:after="0" w:line="35" w:lineRule="exact"/>
        <w:rPr>
          <w:sz w:val="20"/>
          <w:szCs w:val="20"/>
          <w:color w:val="auto"/>
        </w:rPr>
      </w:pPr>
    </w:p>
    <w:p>
      <w:pPr>
        <w:ind w:left="60" w:right="139"/>
        <w:spacing w:after="0" w:line="252" w:lineRule="auto"/>
        <w:rPr>
          <w:sz w:val="20"/>
          <w:szCs w:val="20"/>
          <w:color w:val="auto"/>
        </w:rPr>
      </w:pPr>
      <w:r>
        <w:rPr>
          <w:rFonts w:ascii="Arial" w:cs="Arial" w:eastAsia="Arial" w:hAnsi="Arial"/>
          <w:sz w:val="18"/>
          <w:szCs w:val="18"/>
          <w:color w:val="auto"/>
        </w:rPr>
        <w:t>June 30, 2021), plus 1% to 2% or the base rate plus 0% to 1%. The spread over LIBOR and the base rate vary from time to time, depending upon our financial leverage. As previously noted, the May 11, 2020 amendment to the Credit Facility includes an alternative to LIBOR in the event LIBOR is no longer available. Letters of credit issued under the Credit Facility will be subject to a participation fee (which is equal to the interest rate applicable to Eurocurrency Loans, as defined in the Credit Agreement) payable to each of the Lenders and a fronting fee equal to 0.25% per annum payable to the issuing bank. We also pay quarterly commitment fees of 0.2% to 0.3% per annum on the unused portion of the Revolving Credit Facility.</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Credit Facility contains a number of financial covenants (all of which we were in compliance with at</w:t>
      </w:r>
    </w:p>
    <w:p>
      <w:pPr>
        <w:spacing w:after="0" w:line="23" w:lineRule="exact"/>
        <w:rPr>
          <w:sz w:val="20"/>
          <w:szCs w:val="20"/>
          <w:color w:val="auto"/>
        </w:rPr>
      </w:pPr>
    </w:p>
    <w:p>
      <w:pPr>
        <w:jc w:val="both"/>
        <w:ind w:left="60" w:right="239"/>
        <w:spacing w:after="0" w:line="323" w:lineRule="auto"/>
        <w:rPr>
          <w:sz w:val="20"/>
          <w:szCs w:val="20"/>
          <w:color w:val="auto"/>
        </w:rPr>
      </w:pPr>
      <w:r>
        <w:rPr>
          <w:rFonts w:ascii="Arial" w:cs="Arial" w:eastAsia="Arial" w:hAnsi="Arial"/>
          <w:sz w:val="16"/>
          <w:szCs w:val="16"/>
          <w:color w:val="auto"/>
        </w:rPr>
        <w:t>June 30, 2021) which, among other things, require us to maintain specified financial ratios and impose certain limitations on us with respect to investments, additional indebtedness, dividends, distributions, guarantees, liens and encumbrances.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had approximately $60 million of unused borrowing capacity under the Revolving Credit Facility at June 30,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98" w:lineRule="exact"/>
        <w:rPr>
          <w:sz w:val="20"/>
          <w:szCs w:val="20"/>
          <w:color w:val="auto"/>
        </w:rPr>
      </w:pPr>
    </w:p>
    <w:p>
      <w:pPr>
        <w:ind w:left="60" w:right="219" w:firstLine="324"/>
        <w:spacing w:after="0" w:line="255" w:lineRule="auto"/>
        <w:rPr>
          <w:sz w:val="20"/>
          <w:szCs w:val="20"/>
          <w:color w:val="auto"/>
        </w:rPr>
      </w:pPr>
      <w:r>
        <w:rPr>
          <w:rFonts w:ascii="Arial" w:cs="Arial" w:eastAsia="Arial" w:hAnsi="Arial"/>
          <w:sz w:val="18"/>
          <w:szCs w:val="18"/>
          <w:color w:val="auto"/>
        </w:rPr>
        <w:t>During the six months ended June 30, 2021 and 2020, we had net cash flows from operating activities of $9,203,000 and $8,319,000, respectively. We believe that cash flow from operations will be sufficient to meet quarterly debt service requirements for interest and payments of principal under our Credit Facility. However, if such cash flow is not sufficient we may be required to sell additional equity securities, refinance our obligations or dispose of one or more of our properties in order to make such scheduled payments. There can be no assurance that we would be able to effect any such transactions on favorable terms, if at all.</w:t>
      </w:r>
    </w:p>
    <w:p>
      <w:pPr>
        <w:spacing w:after="0" w:line="152"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In March 2013, our board of directors authorized an increase to our Stock Buy-Back Program (the “Buy-Back Program”) to allow us to purchase up to $75.8 million of our Class A Common Stock. From its inception in 1998 through June 30, 2021, we have repurchased 2.2 million shares of our Class A Common Stock for $57 million. During the three and six months ended June 30, 2021, we did not repurchase any shares related to the Buy-Back Program. Given the unprecedented uncertainty surrounding the COVID-19 virus and the resulting economic issues we have halted the directions for any additional buybacks under our plan.</w:t>
      </w:r>
    </w:p>
    <w:p>
      <w:pPr>
        <w:spacing w:after="0" w:line="152" w:lineRule="exact"/>
        <w:rPr>
          <w:sz w:val="20"/>
          <w:szCs w:val="20"/>
          <w:color w:val="auto"/>
        </w:rPr>
      </w:pPr>
    </w:p>
    <w:p>
      <w:pPr>
        <w:jc w:val="both"/>
        <w:ind w:left="60" w:right="279" w:firstLine="324"/>
        <w:spacing w:after="0" w:line="263" w:lineRule="auto"/>
        <w:rPr>
          <w:sz w:val="20"/>
          <w:szCs w:val="20"/>
          <w:color w:val="auto"/>
        </w:rPr>
      </w:pPr>
      <w:r>
        <w:rPr>
          <w:rFonts w:ascii="Arial" w:cs="Arial" w:eastAsia="Arial" w:hAnsi="Arial"/>
          <w:sz w:val="18"/>
          <w:szCs w:val="18"/>
          <w:color w:val="auto"/>
        </w:rPr>
        <w:t>Our capital expenditures, exclusive of acquisitions, for the six months ended June 30, 2021 were $1,455,000 (versus $1,379,000 in 2020). We anticipate capital expenditures in 2021 to be approximately $4.0 million to $4.5 million, which we expect to finance through funds generated from operations.</w:t>
      </w:r>
    </w:p>
    <w:p>
      <w:pPr>
        <w:spacing w:after="0" w:line="157"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On January 8, 2021, the Company closed on an agreement to purchase WBQL and W288DQ from Consolidated Media, LLC, for an aggregate purchase price of $175,000, of which $25,000 was paid in 2020 and the remaining $150,000 paid in 2021. Management attributes the goodwill recognized in the acquisition to the power of the existing brands in the Clarksville, Tennessee market as well as synergies and growth opportunities expected through the combination with the Company’s existing stations.</w:t>
      </w:r>
    </w:p>
    <w:p>
      <w:pPr>
        <w:spacing w:after="0" w:line="147" w:lineRule="exact"/>
        <w:rPr>
          <w:sz w:val="20"/>
          <w:szCs w:val="20"/>
          <w:color w:val="auto"/>
        </w:rPr>
      </w:pPr>
    </w:p>
    <w:p>
      <w:pPr>
        <w:ind w:left="60" w:right="339" w:firstLine="324"/>
        <w:spacing w:after="0" w:line="257" w:lineRule="auto"/>
        <w:rPr>
          <w:sz w:val="20"/>
          <w:szCs w:val="20"/>
          <w:color w:val="auto"/>
        </w:rPr>
      </w:pPr>
      <w:r>
        <w:rPr>
          <w:rFonts w:ascii="Arial" w:cs="Arial" w:eastAsia="Arial" w:hAnsi="Arial"/>
          <w:sz w:val="18"/>
          <w:szCs w:val="18"/>
          <w:color w:val="auto"/>
        </w:rPr>
        <w:t>On January 2, 2020, the Company closed on an agreement to purchase W295BL from Basic Holdings, LLC, for an aggregate purchase price of $200,000, of which $10,000 was paid in 2019 and the remaining $190,000 paid in 2020. Management attributes the goodwill recognized in the acquisition to the power of the existing brands in the Manchester, New Hampshire market as well as synergies and growth opportunities expected through the combination with the Company’s existing stations.</w:t>
      </w:r>
    </w:p>
    <w:p>
      <w:pPr>
        <w:spacing w:after="0" w:line="147" w:lineRule="exact"/>
        <w:rPr>
          <w:sz w:val="20"/>
          <w:szCs w:val="20"/>
          <w:color w:val="auto"/>
        </w:rPr>
      </w:pPr>
    </w:p>
    <w:p>
      <w:pPr>
        <w:ind w:left="60" w:right="439" w:firstLine="324"/>
        <w:spacing w:after="0" w:line="296" w:lineRule="auto"/>
        <w:rPr>
          <w:sz w:val="20"/>
          <w:szCs w:val="20"/>
          <w:color w:val="auto"/>
        </w:rPr>
      </w:pPr>
      <w:r>
        <w:rPr>
          <w:rFonts w:ascii="Arial" w:cs="Arial" w:eastAsia="Arial" w:hAnsi="Arial"/>
          <w:sz w:val="16"/>
          <w:szCs w:val="16"/>
          <w:color w:val="auto"/>
        </w:rPr>
        <w:t>On June 18, 2021, the Company’s Board of Directors declared a quarterly cash dividend of $0.16 per shares on its Classes A and B Common Stock. This dividend, totaling approximately $960,000, was paid on July 16, 2021 to shareholders of record on June 30, 2021 and was recorded in dividends payable on the Company’s Condensed Consolidated Balance sheet at June 30, 2021. The Company had previously temporarily suspended the quarterly cash dividend in response to the uncertainty of the ongoing impact of COVID-19 as of June 18, 2020.</w:t>
      </w:r>
    </w:p>
    <w:p>
      <w:pPr>
        <w:spacing w:after="0" w:line="134" w:lineRule="exact"/>
        <w:rPr>
          <w:sz w:val="20"/>
          <w:szCs w:val="20"/>
          <w:color w:val="auto"/>
        </w:rPr>
      </w:pPr>
    </w:p>
    <w:p>
      <w:pPr>
        <w:ind w:left="60" w:right="459" w:firstLine="324"/>
        <w:spacing w:after="0" w:line="259" w:lineRule="auto"/>
        <w:rPr>
          <w:sz w:val="20"/>
          <w:szCs w:val="20"/>
          <w:color w:val="auto"/>
        </w:rPr>
      </w:pPr>
      <w:r>
        <w:rPr>
          <w:rFonts w:ascii="Arial" w:cs="Arial" w:eastAsia="Arial" w:hAnsi="Arial"/>
          <w:sz w:val="18"/>
          <w:szCs w:val="18"/>
          <w:color w:val="auto"/>
        </w:rPr>
        <w:t>On March 4, 2020, the Company’s Board of Directors declared a quarterly cash dividend of $0.32 per share on its Classes A and B Common Stock. This dividend, totaling approximately $1.9 million, was paid on April 10, 2020 to shareholders of record on March 16, 2020 and was recorded in dividends payable on the Company’s Condensed Consolidated Balance sheet at March 31, 2020.</w:t>
      </w:r>
    </w:p>
    <w:p>
      <w:pPr>
        <w:spacing w:after="0" w:line="146" w:lineRule="exact"/>
        <w:rPr>
          <w:sz w:val="20"/>
          <w:szCs w:val="20"/>
          <w:color w:val="auto"/>
        </w:rPr>
      </w:pPr>
    </w:p>
    <w:p>
      <w:pPr>
        <w:ind w:left="60" w:right="199" w:firstLine="324"/>
        <w:spacing w:after="0" w:line="277" w:lineRule="auto"/>
        <w:rPr>
          <w:sz w:val="20"/>
          <w:szCs w:val="20"/>
          <w:color w:val="auto"/>
        </w:rPr>
      </w:pPr>
      <w:r>
        <w:rPr>
          <w:rFonts w:ascii="Arial" w:cs="Arial" w:eastAsia="Arial" w:hAnsi="Arial"/>
          <w:sz w:val="18"/>
          <w:szCs w:val="18"/>
          <w:color w:val="auto"/>
        </w:rPr>
        <w:t>We continue to actively seek and explore opportunities for expansion through the acquisitions of additional broadcast properties.</w:t>
      </w:r>
    </w:p>
    <w:p>
      <w:pPr>
        <w:spacing w:after="0" w:line="130"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We anticipate that any future acquisitions of radio and television stations and dividend payments will be financed through funds generated from operations, borrowings under the Credit Agreement, additional debt or equity financing, cash on hand, or a combination thereof. However, there can be no assurances that any such financing will be available on acceptable terms,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Summary Disclosures About Contractual Obligations and Commercial Commitments</w:t>
      </w:r>
    </w:p>
    <w:p>
      <w:pPr>
        <w:spacing w:after="0" w:line="198"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We have future cash obligations under various types of contracts, including the terms of our Credit Facility, operating leases, programming contracts, employment agreements, and other operating contracts. For additional information concerning our future cash obligations see “Item 7. Management’s Discussion and Analysis of Financial Condition and Results of Operation — Summary Disclosures About Contractual Obligations” in our annual report on Form 10-K for the year ended December 31, 2020.</w:t>
      </w:r>
    </w:p>
    <w:p>
      <w:pPr>
        <w:spacing w:after="0" w:line="147" w:lineRule="exact"/>
        <w:rPr>
          <w:sz w:val="20"/>
          <w:szCs w:val="20"/>
          <w:color w:val="auto"/>
        </w:rPr>
      </w:pPr>
    </w:p>
    <w:p>
      <w:pPr>
        <w:ind w:left="60" w:right="639" w:firstLine="324"/>
        <w:spacing w:after="0" w:line="277" w:lineRule="auto"/>
        <w:rPr>
          <w:sz w:val="20"/>
          <w:szCs w:val="20"/>
          <w:color w:val="auto"/>
        </w:rPr>
      </w:pPr>
      <w:r>
        <w:rPr>
          <w:rFonts w:ascii="Arial" w:cs="Arial" w:eastAsia="Arial" w:hAnsi="Arial"/>
          <w:sz w:val="18"/>
          <w:szCs w:val="18"/>
          <w:color w:val="auto"/>
        </w:rPr>
        <w:t>We anticipate that our contractual cash obligations will be financed through funds generated from operations or additional borrowings under the Credit Facility, or a combination thereof.</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left="60" w:right="1299" w:firstLine="324"/>
        <w:spacing w:after="0" w:line="453" w:lineRule="auto"/>
        <w:rPr>
          <w:sz w:val="20"/>
          <w:szCs w:val="20"/>
          <w:color w:val="auto"/>
        </w:rPr>
      </w:pPr>
      <w:r>
        <w:rPr>
          <w:rFonts w:ascii="Arial" w:cs="Arial" w:eastAsia="Arial" w:hAnsi="Arial"/>
          <w:sz w:val="18"/>
          <w:szCs w:val="18"/>
          <w:color w:val="auto"/>
        </w:rPr>
        <w:t xml:space="preserve">Recent accounting pronouncements are described in Note 2 to the accompanying financial statements. </w:t>
      </w:r>
      <w:r>
        <w:rPr>
          <w:rFonts w:ascii="Arial" w:cs="Arial" w:eastAsia="Arial" w:hAnsi="Arial"/>
          <w:sz w:val="18"/>
          <w:szCs w:val="18"/>
          <w:b w:val="1"/>
          <w:bCs w:val="1"/>
          <w:color w:val="auto"/>
        </w:rPr>
        <w:t>Inflation</w:t>
      </w:r>
    </w:p>
    <w:p>
      <w:pPr>
        <w:spacing w:after="0" w:line="2"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The impact of inflation on our operations has not been significant to date. There can be no assurance that a high rate of inflation in the future would not have an adverse effect on our operations.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3. Quantitative and Qualitative Disclosures about Market Risk</w:t>
      </w:r>
    </w:p>
    <w:p>
      <w:pPr>
        <w:spacing w:after="0" w:line="185"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Refer to “Item 7A. Quantitative and Qualitative Disclosures About Market Risk” and “Item 7. Management’s Discussion and Analysis of Financial Condition and Results of Operations — Market Risk and Risk Management Policies” in our annual report on Form 10-K for the year ended December 31, 2020, which is hereby incorporated herein by reference, for a complete discussion of our market risk. There have been no material changes to the market risk information included in our 2020 annual report on Form 10-K.</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4. Controls and Procedures</w:t>
      </w:r>
    </w:p>
    <w:p>
      <w:pPr>
        <w:spacing w:after="0" w:line="198"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the Company’s management, including its Chief Executive Officer and Chief Financial Officer, of the effectiveness of the design and operation of the Company’s disclosure controls and procedures pursuant to Rule 13a-15 of the Securities Exchange Act of 1934. Based upon that evaluation, the Company’s Chief Executive Officer and Chief Financial Officer concluded that the Company’s disclosure controls and procedures are effective to cause the material information required to be disclosed by the Company in the reports that it files or submits under the Securities Exchange Act of 1934 to be recorded, processed, summarized and reported within the time periods specified in the Commission’s rules and forms. There have been no changes in the Company’s internal controls over financial reporting during the quarter ended June 30, 2021, that have materially affected, or are reasonably likely to materially affect, the Company’s internal controls over financial reporting.</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1. Legal Proceedings</w:t>
      </w:r>
    </w:p>
    <w:p>
      <w:pPr>
        <w:spacing w:after="0" w:line="198" w:lineRule="exact"/>
        <w:rPr>
          <w:sz w:val="20"/>
          <w:szCs w:val="20"/>
          <w:color w:val="auto"/>
        </w:rPr>
      </w:pPr>
    </w:p>
    <w:p>
      <w:pPr>
        <w:ind w:left="60" w:right="319" w:firstLine="324"/>
        <w:spacing w:after="0" w:line="263" w:lineRule="auto"/>
        <w:rPr>
          <w:sz w:val="20"/>
          <w:szCs w:val="20"/>
          <w:color w:val="auto"/>
        </w:rPr>
      </w:pPr>
      <w:r>
        <w:rPr>
          <w:rFonts w:ascii="Arial" w:cs="Arial" w:eastAsia="Arial" w:hAnsi="Arial"/>
          <w:sz w:val="18"/>
          <w:szCs w:val="18"/>
          <w:color w:val="auto"/>
        </w:rPr>
        <w:t>From time to time, the Company may be involved in various legal proceedings that are incidental to the Company’s business. In management’s opinion, the Company is not a party to any current legal proceedings that are material to its financial condition, either individually or in the aggregate.</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1A. Risk Factors</w:t>
      </w:r>
    </w:p>
    <w:p>
      <w:pPr>
        <w:spacing w:after="0" w:line="185" w:lineRule="exact"/>
        <w:rPr>
          <w:sz w:val="20"/>
          <w:szCs w:val="20"/>
          <w:color w:val="auto"/>
        </w:rPr>
      </w:pPr>
    </w:p>
    <w:p>
      <w:pPr>
        <w:ind w:left="60" w:right="479" w:firstLine="324"/>
        <w:spacing w:after="0" w:line="277" w:lineRule="auto"/>
        <w:rPr>
          <w:sz w:val="20"/>
          <w:szCs w:val="20"/>
          <w:color w:val="auto"/>
        </w:rPr>
      </w:pPr>
      <w:r>
        <w:rPr>
          <w:rFonts w:ascii="Arial" w:cs="Arial" w:eastAsia="Arial" w:hAnsi="Arial"/>
          <w:sz w:val="18"/>
          <w:szCs w:val="18"/>
          <w:color w:val="auto"/>
        </w:rPr>
        <w:t>There have been no material changes in the Company’s risk factors from those previously disclosed in our annual report on Form 10-K for the year ended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2. Unregistered Sales of Equity Securities and Use of Proceeds</w:t>
      </w:r>
    </w:p>
    <w:p>
      <w:pPr>
        <w:spacing w:after="0" w:line="198"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The following table summarizes our repurchases of our Class A Common Stock during the three months ended June 30, 2021.</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of</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7"/>
              </w:rPr>
              <w:t>Dollar</w:t>
            </w:r>
          </w:p>
        </w:tc>
      </w:t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Value of</w:t>
            </w:r>
          </w:p>
        </w:tc>
      </w:t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3"/>
              </w:rPr>
              <w:t>Shares</w:t>
            </w:r>
          </w:p>
        </w:tc>
      </w:t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as Part of</w:t>
            </w: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Number</w:t>
            </w: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Price</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Publicly</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of Shares</w:t>
            </w: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 per</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Under the</w:t>
            </w:r>
          </w:p>
        </w:tc>
      </w:t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Purchased</w:t>
            </w:r>
          </w:p>
        </w:tc>
        <w:tc>
          <w:tcPr>
            <w:tcW w:w="10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Program</w:t>
            </w:r>
          </w:p>
        </w:tc>
        <w:tc>
          <w:tcPr>
            <w:tcW w:w="10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Program(a)</w:t>
            </w:r>
          </w:p>
        </w:tc>
      </w:tr>
      <w:tr>
        <w:trPr>
          <w:trHeight w:val="209"/>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 April 30, 2021</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18,785,315</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May 1 - May 31, 2021</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18,785,315</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June 30, 2021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18,785,315</w:t>
            </w:r>
          </w:p>
        </w:tc>
      </w:tr>
      <w:tr>
        <w:trPr>
          <w:trHeight w:val="209"/>
        </w:trPr>
        <w:tc>
          <w:tcPr>
            <w:tcW w:w="4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18,785,315</w:t>
            </w:r>
          </w:p>
        </w:tc>
      </w:tr>
      <w:tr>
        <w:trPr>
          <w:trHeight w:val="20"/>
        </w:trPr>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right="199" w:hanging="330"/>
        <w:spacing w:after="0" w:line="263"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Stock Buy-Back Program which allows us to purchase our Class A Common Stock. In February 2013, our Board of Directors authorized an increase in the amount committed to the Buy-Back Program from $60 million to approximately $75.8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6. Exhibits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280" w:type="dxa"/>
            <w:vAlign w:val="bottom"/>
          </w:tcPr>
          <w:p>
            <w:pPr>
              <w:jc w:val="right"/>
              <w:ind w:right="870"/>
              <w:spacing w:after="0"/>
              <w:rPr>
                <w:sz w:val="20"/>
                <w:szCs w:val="20"/>
                <w:color w:val="auto"/>
              </w:rPr>
            </w:pPr>
            <w:r>
              <w:rPr>
                <w:rFonts w:ascii="Arial" w:cs="Arial" w:eastAsia="Arial" w:hAnsi="Arial"/>
                <w:sz w:val="18"/>
                <w:szCs w:val="18"/>
                <w:color w:val="auto"/>
                <w:w w:val="85"/>
              </w:rPr>
              <w:t>31.1</w:t>
            </w:r>
          </w:p>
        </w:tc>
        <w:tc>
          <w:tcPr>
            <w:tcW w:w="74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of Chief Executive Officer Pursuant to Rule 13a-14(a) and Rule15d-14(a) of the Securities</w:t>
              </w:r>
            </w:hyperlink>
          </w:p>
        </w:tc>
      </w:tr>
      <w:tr>
        <w:trPr>
          <w:trHeight w:val="196"/>
        </w:trPr>
        <w:tc>
          <w:tcPr>
            <w:tcW w:w="1280" w:type="dxa"/>
            <w:vAlign w:val="bottom"/>
          </w:tcPr>
          <w:p>
            <w:pPr>
              <w:spacing w:after="0"/>
              <w:rPr>
                <w:sz w:val="17"/>
                <w:szCs w:val="17"/>
                <w:color w:val="auto"/>
              </w:rPr>
            </w:pPr>
          </w:p>
        </w:tc>
        <w:tc>
          <w:tcPr>
            <w:tcW w:w="68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Exchange Act of 1934, as Adopted Pursuant to Section 302 of the Sarbanes-Oxley Act of 2002.</w:t>
              </w:r>
            </w:hyperlink>
          </w:p>
        </w:tc>
        <w:tc>
          <w:tcPr>
            <w:tcW w:w="600" w:type="dxa"/>
            <w:vAlign w:val="bottom"/>
            <w:gridSpan w:val="2"/>
          </w:tcPr>
          <w:p>
            <w:pPr>
              <w:spacing w:after="0"/>
              <w:rPr>
                <w:sz w:val="17"/>
                <w:szCs w:val="17"/>
                <w:color w:val="auto"/>
              </w:rPr>
            </w:pPr>
          </w:p>
        </w:tc>
      </w:tr>
      <w:tr>
        <w:trPr>
          <w:trHeight w:val="412"/>
        </w:trPr>
        <w:tc>
          <w:tcPr>
            <w:tcW w:w="1280" w:type="dxa"/>
            <w:vAlign w:val="bottom"/>
          </w:tcPr>
          <w:p>
            <w:pPr>
              <w:jc w:val="right"/>
              <w:ind w:right="870"/>
              <w:spacing w:after="0"/>
              <w:rPr>
                <w:sz w:val="20"/>
                <w:szCs w:val="20"/>
                <w:color w:val="auto"/>
              </w:rPr>
            </w:pPr>
            <w:r>
              <w:rPr>
                <w:rFonts w:ascii="Arial" w:cs="Arial" w:eastAsia="Arial" w:hAnsi="Arial"/>
                <w:sz w:val="18"/>
                <w:szCs w:val="18"/>
                <w:color w:val="auto"/>
                <w:w w:val="85"/>
              </w:rPr>
              <w:t>31.2</w:t>
            </w:r>
          </w:p>
        </w:tc>
        <w:tc>
          <w:tcPr>
            <w:tcW w:w="7480" w:type="dxa"/>
            <w:vAlign w:val="bottom"/>
            <w:gridSpan w:val="3"/>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Certification of Chief Financial Officer Pursuant to Rule 13a-14(a) and Rule 15d-14(a) of the Securities</w:t>
              </w:r>
            </w:hyperlink>
          </w:p>
        </w:tc>
      </w:tr>
      <w:tr>
        <w:trPr>
          <w:trHeight w:val="196"/>
        </w:trPr>
        <w:tc>
          <w:tcPr>
            <w:tcW w:w="1280" w:type="dxa"/>
            <w:vAlign w:val="bottom"/>
          </w:tcPr>
          <w:p>
            <w:pPr>
              <w:spacing w:after="0"/>
              <w:rPr>
                <w:sz w:val="17"/>
                <w:szCs w:val="17"/>
                <w:color w:val="auto"/>
              </w:rPr>
            </w:pPr>
          </w:p>
        </w:tc>
        <w:tc>
          <w:tcPr>
            <w:tcW w:w="6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Exchange Act of 1934, as Adopted Pursuant to Section 302 of the Sarbanes-Oxley Act of 2002.</w:t>
              </w:r>
            </w:hyperlink>
          </w:p>
        </w:tc>
        <w:tc>
          <w:tcPr>
            <w:tcW w:w="5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29" w:lineRule="exact"/>
        <w:rPr>
          <w:sz w:val="20"/>
          <w:szCs w:val="20"/>
          <w:color w:val="auto"/>
        </w:rPr>
      </w:pPr>
    </w:p>
    <w:p>
      <w:pPr>
        <w:ind w:left="1340" w:right="179" w:hanging="1284"/>
        <w:spacing w:after="0" w:line="263" w:lineRule="auto"/>
        <w:tabs>
          <w:tab w:leader="none" w:pos="1340" w:val="left"/>
        </w:tabs>
        <w:numPr>
          <w:ilvl w:val="0"/>
          <w:numId w:val="9"/>
        </w:numPr>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Certification of Chief Executive Officer and Chief Financial Officer Pursuant to 18 U.S.C. Section 1350</w:t>
        </w:r>
      </w:hyperlink>
      <w:r>
        <w:rPr>
          <w:rFonts w:ascii="Arial" w:cs="Arial" w:eastAsia="Arial" w:hAnsi="Arial"/>
          <w:sz w:val="18"/>
          <w:szCs w:val="18"/>
          <w:u w:val="single" w:color="auto"/>
          <w:color w:val="0000EE"/>
        </w:rPr>
        <w:t xml:space="preserve"> </w:t>
      </w:r>
      <w:hyperlink w:anchor="page31">
        <w:r>
          <w:rPr>
            <w:rFonts w:ascii="Arial" w:cs="Arial" w:eastAsia="Arial" w:hAnsi="Arial"/>
            <w:sz w:val="18"/>
            <w:szCs w:val="18"/>
            <w:u w:val="single" w:color="auto"/>
            <w:color w:val="0000EE"/>
          </w:rPr>
          <w:t>and Rule 13-14(b) of the Securities Exchange Act of 1934, as Adopted Pursuant to Section 906 of the</w:t>
        </w:r>
      </w:hyperlink>
      <w:r>
        <w:rPr>
          <w:rFonts w:ascii="Arial" w:cs="Arial" w:eastAsia="Arial" w:hAnsi="Arial"/>
          <w:sz w:val="18"/>
          <w:szCs w:val="18"/>
          <w:u w:val="single" w:color="auto"/>
          <w:color w:val="0000EE"/>
        </w:rPr>
        <w:t xml:space="preserve"> </w:t>
      </w:r>
      <w:hyperlink w:anchor="page31">
        <w:r>
          <w:rPr>
            <w:rFonts w:ascii="Arial" w:cs="Arial" w:eastAsia="Arial" w:hAnsi="Arial"/>
            <w:sz w:val="18"/>
            <w:szCs w:val="18"/>
            <w:u w:val="single" w:color="auto"/>
            <w:color w:val="0000EE"/>
          </w:rPr>
          <w:t>Sarbanes-Oxley Act of 2002.</w:t>
        </w:r>
      </w:hyperlink>
    </w:p>
    <w:p>
      <w:pPr>
        <w:spacing w:after="0" w:line="184" w:lineRule="exact"/>
        <w:rPr>
          <w:rFonts w:ascii="Arial" w:cs="Arial" w:eastAsia="Arial" w:hAnsi="Arial"/>
          <w:sz w:val="18"/>
          <w:szCs w:val="18"/>
          <w:u w:val="single" w:color="auto"/>
          <w:color w:val="0000EE"/>
        </w:rPr>
      </w:pPr>
    </w:p>
    <w:tbl>
      <w:tblPr>
        <w:tblLayout w:type="fixed"/>
        <w:tblInd w:w="6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7540" w:type="dxa"/>
            <w:vAlign w:val="bottom"/>
          </w:tcPr>
          <w:p>
            <w:pPr>
              <w:ind w:left="300"/>
              <w:spacing w:after="0"/>
              <w:rPr>
                <w:sz w:val="20"/>
                <w:szCs w:val="20"/>
                <w:color w:val="auto"/>
              </w:rPr>
            </w:pPr>
            <w:r>
              <w:rPr>
                <w:rFonts w:ascii="Arial" w:cs="Arial" w:eastAsia="Arial" w:hAnsi="Arial"/>
                <w:sz w:val="18"/>
                <w:szCs w:val="18"/>
                <w:color w:val="auto"/>
                <w:w w:val="90"/>
              </w:rPr>
              <w:t>Inline XBRL Instance Document (the instance document does not appear in the Interactive Data File</w:t>
            </w:r>
          </w:p>
        </w:tc>
      </w:tr>
      <w:tr>
        <w:trPr>
          <w:trHeight w:val="230"/>
        </w:trPr>
        <w:tc>
          <w:tcPr>
            <w:tcW w:w="980" w:type="dxa"/>
            <w:vAlign w:val="bottom"/>
          </w:tcPr>
          <w:p>
            <w:pPr>
              <w:spacing w:after="0"/>
              <w:rPr>
                <w:sz w:val="20"/>
                <w:szCs w:val="20"/>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7540" w:type="dxa"/>
            <w:vAlign w:val="bottom"/>
          </w:tcPr>
          <w:p>
            <w:pPr>
              <w:ind w:left="30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7540" w:type="dxa"/>
            <w:vAlign w:val="bottom"/>
          </w:tcPr>
          <w:p>
            <w:pPr>
              <w:ind w:left="300"/>
              <w:spacing w:after="0"/>
              <w:rPr>
                <w:sz w:val="20"/>
                <w:szCs w:val="20"/>
                <w:color w:val="auto"/>
              </w:rPr>
            </w:pPr>
            <w:r>
              <w:rPr>
                <w:rFonts w:ascii="Arial" w:cs="Arial" w:eastAsia="Arial" w:hAnsi="Arial"/>
                <w:sz w:val="18"/>
                <w:szCs w:val="18"/>
                <w:color w:val="auto"/>
              </w:rPr>
              <w:t>Inline XBRL Taxonomy Calculation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7540" w:type="dxa"/>
            <w:vAlign w:val="bottom"/>
          </w:tcPr>
          <w:p>
            <w:pPr>
              <w:ind w:left="3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7540" w:type="dxa"/>
            <w:vAlign w:val="bottom"/>
          </w:tcPr>
          <w:p>
            <w:pPr>
              <w:ind w:left="3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7540" w:type="dxa"/>
            <w:vAlign w:val="bottom"/>
          </w:tcPr>
          <w:p>
            <w:pPr>
              <w:ind w:left="30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rFonts w:ascii="Arial" w:cs="Arial" w:eastAsia="Arial" w:hAnsi="Arial"/>
          <w:sz w:val="18"/>
          <w:szCs w:val="18"/>
          <w:u w:val="single" w:color="auto"/>
          <w:color w:val="0000EE"/>
        </w:rPr>
      </w:pPr>
    </w:p>
    <w:p>
      <w:pPr>
        <w:ind w:left="1340" w:hanging="1284"/>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27</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SAGA COMMUNICATIONS, INC.</w:t>
            </w: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Date: August 9,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D. BUSH</w:t>
            </w:r>
          </w:p>
        </w:tc>
      </w:tr>
      <w:tr>
        <w:trPr>
          <w:trHeight w:val="195"/>
        </w:trPr>
        <w:tc>
          <w:tcPr>
            <w:tcW w:w="446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Samuel D. Bush</w:t>
            </w:r>
          </w:p>
        </w:tc>
      </w:tr>
      <w:tr>
        <w:trPr>
          <w:trHeight w:val="216"/>
        </w:trPr>
        <w:tc>
          <w:tcPr>
            <w:tcW w:w="4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w w:val="94"/>
              </w:rPr>
              <w:t>Senior Vice President and Chief Financial Officer (Principal</w:t>
            </w:r>
          </w:p>
        </w:tc>
      </w:tr>
      <w:tr>
        <w:trPr>
          <w:trHeight w:val="230"/>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Financial Officer)</w:t>
            </w: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Date: August 9,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CATHERINE A. BOBINSKI</w:t>
            </w:r>
          </w:p>
        </w:tc>
      </w:tr>
      <w:tr>
        <w:trPr>
          <w:trHeight w:val="195"/>
        </w:trPr>
        <w:tc>
          <w:tcPr>
            <w:tcW w:w="446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Catherine A. Bobinski</w:t>
            </w:r>
          </w:p>
        </w:tc>
      </w:tr>
      <w:tr>
        <w:trPr>
          <w:trHeight w:val="216"/>
        </w:trPr>
        <w:tc>
          <w:tcPr>
            <w:tcW w:w="4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Senior Vice President, Chief Accounting Officer and</w:t>
            </w:r>
          </w:p>
        </w:tc>
      </w:tr>
      <w:tr>
        <w:trPr>
          <w:trHeight w:val="230"/>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Corporate Controller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7680"/>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CERTIFICATION OF CHIEF EXECUTIVE OFFICER PURSUANT TO RULE 13a-14(a)</w:t>
      </w:r>
    </w:p>
    <w:p>
      <w:pPr>
        <w:spacing w:after="0" w:line="16"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AND RULE 15d-14(a) OF THE SECURITIES EXCHANGE ACT, AS AMENDED</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Edward K. Christian, Chief Executive Officer of Saga Communications, Inc., certify that:</w:t>
      </w:r>
    </w:p>
    <w:p>
      <w:pPr>
        <w:spacing w:after="0" w:line="198" w:lineRule="exact"/>
        <w:rPr>
          <w:sz w:val="20"/>
          <w:szCs w:val="20"/>
          <w:color w:val="auto"/>
        </w:rPr>
      </w:pPr>
    </w:p>
    <w:p>
      <w:pPr>
        <w:ind w:left="880" w:hanging="33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Saga Communications, Inc.;</w:t>
      </w:r>
    </w:p>
    <w:p>
      <w:pPr>
        <w:spacing w:after="0" w:line="198" w:lineRule="exact"/>
        <w:rPr>
          <w:rFonts w:ascii="Arial" w:cs="Arial" w:eastAsia="Arial" w:hAnsi="Arial"/>
          <w:sz w:val="18"/>
          <w:szCs w:val="18"/>
          <w:color w:val="auto"/>
        </w:rPr>
      </w:pPr>
    </w:p>
    <w:p>
      <w:pPr>
        <w:ind w:left="880" w:right="259" w:hanging="332"/>
        <w:spacing w:after="0" w:line="270"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7"/>
          <w:szCs w:val="17"/>
          <w:color w:val="auto"/>
        </w:rPr>
      </w:pPr>
    </w:p>
    <w:p>
      <w:pPr>
        <w:ind w:left="880" w:right="579" w:hanging="332"/>
        <w:spacing w:after="0" w:line="248"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880" w:right="479" w:hanging="332"/>
        <w:spacing w:after="0" w:line="24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180" w:right="239" w:hanging="323"/>
        <w:spacing w:after="0" w:line="243"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180" w:right="239" w:hanging="321"/>
        <w:spacing w:after="0" w:line="243"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1180" w:right="339" w:hanging="321"/>
        <w:spacing w:after="0" w:line="248"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180" w:right="259" w:hanging="321"/>
        <w:spacing w:after="0" w:line="243"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880" w:right="259" w:hanging="332"/>
        <w:spacing w:after="0" w:line="248"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180" w:right="539" w:hanging="321"/>
        <w:spacing w:after="0" w:line="248"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180" w:right="299" w:hanging="321"/>
        <w:spacing w:after="0" w:line="261"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20"/>
        <w:spacing w:after="0"/>
        <w:tabs>
          <w:tab w:leader="none" w:pos="440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6"/>
          <w:szCs w:val="16"/>
          <w:color w:val="auto"/>
        </w:rPr>
        <w:t>/s/ Edward K. Christian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14605</wp:posOffset>
            </wp:positionV>
            <wp:extent cx="27774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Edward K. Christian</w:t>
      </w:r>
    </w:p>
    <w:p>
      <w:pPr>
        <w:spacing w:after="0" w:line="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545211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ind w:left="7680"/>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 RULE 13a-14(a)</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RULE 15d-14(a) OF THE SECURITIES EXCHANGE ACT, AS AMENDED</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Samuel D. Bush, Chief Financial Officer of Saga Communications, Inc., certify that:</w:t>
      </w:r>
    </w:p>
    <w:p>
      <w:pPr>
        <w:spacing w:after="0" w:line="198" w:lineRule="exact"/>
        <w:rPr>
          <w:sz w:val="20"/>
          <w:szCs w:val="20"/>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Saga Communications, Inc.;</w:t>
      </w:r>
    </w:p>
    <w:p>
      <w:pPr>
        <w:spacing w:after="0" w:line="198" w:lineRule="exact"/>
        <w:rPr>
          <w:rFonts w:ascii="Arial" w:cs="Arial" w:eastAsia="Arial" w:hAnsi="Arial"/>
          <w:sz w:val="18"/>
          <w:szCs w:val="18"/>
          <w:color w:val="auto"/>
        </w:rPr>
      </w:pPr>
    </w:p>
    <w:p>
      <w:pPr>
        <w:ind w:left="880" w:right="259" w:hanging="332"/>
        <w:spacing w:after="0" w:line="270"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7"/>
          <w:szCs w:val="17"/>
          <w:color w:val="auto"/>
        </w:rPr>
      </w:pPr>
    </w:p>
    <w:p>
      <w:pPr>
        <w:ind w:left="880" w:right="579" w:hanging="332"/>
        <w:spacing w:after="0" w:line="248"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880" w:right="479" w:hanging="332"/>
        <w:spacing w:after="0" w:line="243"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180" w:right="239" w:hanging="321"/>
        <w:spacing w:after="0" w:line="243"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180" w:right="239" w:hanging="321"/>
        <w:spacing w:after="0" w:line="243"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1180" w:right="339" w:hanging="321"/>
        <w:spacing w:after="0" w:line="248"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180" w:right="259" w:hanging="321"/>
        <w:spacing w:after="0" w:line="243"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880" w:right="259" w:hanging="332"/>
        <w:spacing w:after="0" w:line="248"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180" w:right="539" w:hanging="321"/>
        <w:spacing w:after="0" w:line="248"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180" w:right="299" w:hanging="321"/>
        <w:spacing w:after="0" w:line="261"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20"/>
        <w:spacing w:after="0"/>
        <w:tabs>
          <w:tab w:leader="none" w:pos="444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6"/>
          <w:szCs w:val="16"/>
          <w:color w:val="auto"/>
        </w:rPr>
        <w:t>/s/ Samuel D.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27514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Samuel D. Bush</w:t>
      </w:r>
    </w:p>
    <w:p>
      <w:pPr>
        <w:spacing w:after="0" w:line="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545211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ind w:left="7800"/>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ind w:left="1660" w:right="640"/>
        <w:spacing w:after="0" w:line="250"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7" w:lineRule="exact"/>
        <w:rPr>
          <w:sz w:val="20"/>
          <w:szCs w:val="20"/>
          <w:color w:val="auto"/>
        </w:rPr>
      </w:pPr>
    </w:p>
    <w:p>
      <w:pPr>
        <w:ind w:left="200" w:right="319"/>
        <w:spacing w:after="0" w:line="241" w:lineRule="auto"/>
        <w:rPr>
          <w:sz w:val="20"/>
          <w:szCs w:val="20"/>
          <w:color w:val="auto"/>
        </w:rPr>
      </w:pPr>
      <w:r>
        <w:rPr>
          <w:rFonts w:ascii="Arial" w:cs="Arial" w:eastAsia="Arial" w:hAnsi="Arial"/>
          <w:sz w:val="18"/>
          <w:szCs w:val="18"/>
          <w:color w:val="auto"/>
        </w:rPr>
        <w:t>In connection with the Quarterly Report of Saga Communications, Inc. (the “Company”) on Form 10-Q for the period ended June 30, 2021 as filed with the Securities and Exchange Commission on the date hereof (the “Report”), we, Edward K. Christian, Chief Executive Officer of the Company, and Samuel D. Bush, Chief Financial Officer of the Company, certify, pursuant to 18 U.S.C. Section 1350, as adopted pursuant to Section 906 of the Sarbanes-Oxley Act of 2002, to the best of our knowledge, that:</w:t>
      </w:r>
    </w:p>
    <w:p>
      <w:pPr>
        <w:spacing w:after="0" w:line="176" w:lineRule="exact"/>
        <w:rPr>
          <w:sz w:val="20"/>
          <w:szCs w:val="20"/>
          <w:color w:val="auto"/>
        </w:rPr>
      </w:pPr>
    </w:p>
    <w:p>
      <w:pPr>
        <w:ind w:left="880" w:right="339" w:hanging="332"/>
        <w:spacing w:after="0" w:line="261"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880" w:right="439" w:hanging="332"/>
        <w:spacing w:after="0" w:line="261"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Dated: August 9, 2021</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K. Christian</w:t>
            </w:r>
          </w:p>
        </w:tc>
      </w:tr>
      <w:tr>
        <w:trPr>
          <w:trHeight w:val="182"/>
        </w:trPr>
        <w:tc>
          <w:tcPr>
            <w:tcW w:w="4180" w:type="dxa"/>
            <w:vAlign w:val="bottom"/>
          </w:tcPr>
          <w:p>
            <w:pPr>
              <w:spacing w:after="0"/>
              <w:rPr>
                <w:sz w:val="15"/>
                <w:szCs w:val="15"/>
                <w:color w:val="auto"/>
              </w:rPr>
            </w:pPr>
          </w:p>
        </w:tc>
        <w:tc>
          <w:tcPr>
            <w:tcW w:w="4400" w:type="dxa"/>
            <w:vAlign w:val="bottom"/>
          </w:tcPr>
          <w:p>
            <w:pPr>
              <w:spacing w:after="0" w:line="182" w:lineRule="exact"/>
              <w:rPr>
                <w:sz w:val="20"/>
                <w:szCs w:val="20"/>
                <w:color w:val="auto"/>
              </w:rPr>
            </w:pPr>
            <w:r>
              <w:rPr>
                <w:rFonts w:ascii="Arial" w:cs="Arial" w:eastAsia="Arial" w:hAnsi="Arial"/>
                <w:sz w:val="18"/>
                <w:szCs w:val="18"/>
                <w:color w:val="auto"/>
              </w:rPr>
              <w:t>Edward K. Christian</w:t>
            </w:r>
          </w:p>
        </w:tc>
      </w:tr>
      <w:tr>
        <w:trPr>
          <w:trHeight w:val="230"/>
        </w:trPr>
        <w:tc>
          <w:tcPr>
            <w:tcW w:w="41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05"/>
        </w:trPr>
        <w:tc>
          <w:tcPr>
            <w:tcW w:w="4180" w:type="dxa"/>
            <w:vAlign w:val="bottom"/>
          </w:tcPr>
          <w:p>
            <w:pPr>
              <w:spacing w:after="0"/>
              <w:rPr>
                <w:sz w:val="20"/>
                <w:szCs w:val="20"/>
                <w:color w:val="auto"/>
              </w:rPr>
            </w:pPr>
            <w:r>
              <w:rPr>
                <w:rFonts w:ascii="Arial" w:cs="Arial" w:eastAsia="Arial" w:hAnsi="Arial"/>
                <w:sz w:val="18"/>
                <w:szCs w:val="18"/>
                <w:color w:val="auto"/>
              </w:rPr>
              <w:t>Dated: August 9, 2021</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D. Bush</w:t>
            </w:r>
          </w:p>
        </w:tc>
      </w:tr>
      <w:tr>
        <w:trPr>
          <w:trHeight w:val="182"/>
        </w:trPr>
        <w:tc>
          <w:tcPr>
            <w:tcW w:w="4180" w:type="dxa"/>
            <w:vAlign w:val="bottom"/>
          </w:tcPr>
          <w:p>
            <w:pPr>
              <w:spacing w:after="0"/>
              <w:rPr>
                <w:sz w:val="15"/>
                <w:szCs w:val="15"/>
                <w:color w:val="auto"/>
              </w:rPr>
            </w:pPr>
          </w:p>
        </w:tc>
        <w:tc>
          <w:tcPr>
            <w:tcW w:w="4400" w:type="dxa"/>
            <w:vAlign w:val="bottom"/>
          </w:tcPr>
          <w:p>
            <w:pPr>
              <w:spacing w:after="0" w:line="182" w:lineRule="exact"/>
              <w:rPr>
                <w:sz w:val="20"/>
                <w:szCs w:val="20"/>
                <w:color w:val="auto"/>
              </w:rPr>
            </w:pPr>
            <w:r>
              <w:rPr>
                <w:rFonts w:ascii="Arial" w:cs="Arial" w:eastAsia="Arial" w:hAnsi="Arial"/>
                <w:sz w:val="18"/>
                <w:szCs w:val="18"/>
                <w:color w:val="auto"/>
              </w:rPr>
              <w:t>Samuel D. Bush</w:t>
            </w:r>
          </w:p>
        </w:tc>
      </w:tr>
      <w:tr>
        <w:trPr>
          <w:trHeight w:val="230"/>
        </w:trPr>
        <w:tc>
          <w:tcPr>
            <w:tcW w:w="41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7"/>
        </w:trPr>
        <w:tc>
          <w:tcPr>
            <w:tcW w:w="41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Roman"/>
      <w:start w:val="3"/>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decimal"/>
      <w:start w:val="32"/>
    </w:lvl>
  </w:abstractNum>
  <w:abstractNum w:abstractNumId="9">
    <w:nsid w:val="1190CDE7"/>
    <w:multiLevelType w:val="hybridMultilevel"/>
    <w:lvl w:ilvl="0">
      <w:lvlJc w:val="left"/>
      <w:lvlText w:val="(%1)"/>
      <w:numFmt w:val="decimal"/>
      <w:start w:val="104"/>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2021-08-09T15:49:29Z</dcterms:created>
  <dcterms:modified xsi:type="dcterms:W3CDTF">2021-08-09T15:49:29Z</dcterms:modified>
</cp:coreProperties>
</file>