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(Mark One)</w:t>
      </w:r>
    </w:p>
    <w:p>
      <w:pPr>
        <w:spacing w:after="0" w:line="152" w:lineRule="exact"/>
        <w:rPr>
          <w:sz w:val="24"/>
          <w:szCs w:val="24"/>
          <w:color w:val="auto"/>
        </w:rPr>
      </w:pPr>
    </w:p>
    <w:p>
      <w:pPr>
        <w:ind w:left="1020" w:hanging="682"/>
        <w:spacing w:after="0"/>
        <w:tabs>
          <w:tab w:leader="none" w:pos="10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1020" w:hanging="682"/>
        <w:spacing w:after="0"/>
        <w:tabs>
          <w:tab w:leader="none" w:pos="10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8" w:lineRule="exact"/>
        <w:rPr>
          <w:sz w:val="24"/>
          <w:szCs w:val="24"/>
          <w:color w:val="auto"/>
        </w:rPr>
      </w:pPr>
    </w:p>
    <w:tbl>
      <w:tblPr>
        <w:tblLayout w:type="fixed"/>
        <w:tblInd w:w="35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760" w:type="dxa"/>
            <w:vAlign w:val="bottom"/>
            <w:tcBorders>
              <w:bottom w:val="single" w:sz="8" w:color="auto"/>
            </w:tcBorders>
          </w:tcPr>
          <w:p>
            <w:pPr>
              <w:spacing w:after="0"/>
              <w:rPr>
                <w:sz w:val="16"/>
                <w:szCs w:val="16"/>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89"/>
              </w:rPr>
              <w:t>to</w:t>
            </w:r>
          </w:p>
        </w:tc>
      </w:tr>
      <w:tr>
        <w:trPr>
          <w:trHeight w:val="312"/>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Commission File Number 1-11588</w:t>
            </w:r>
          </w:p>
        </w:tc>
        <w:tc>
          <w:tcPr>
            <w:tcW w:w="220" w:type="dxa"/>
            <w:vAlign w:val="bottom"/>
          </w:tcPr>
          <w:p>
            <w:pPr>
              <w:spacing w:after="0"/>
              <w:rPr>
                <w:sz w:val="24"/>
                <w:szCs w:val="24"/>
                <w:color w:val="auto"/>
              </w:rPr>
            </w:pPr>
          </w:p>
        </w:tc>
      </w:tr>
    </w:tbl>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Saga Communications,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07" w:lineRule="exact"/>
        <w:rPr>
          <w:sz w:val="24"/>
          <w:szCs w:val="24"/>
          <w:color w:val="auto"/>
        </w:rPr>
      </w:pPr>
    </w:p>
    <w:tbl>
      <w:tblPr>
        <w:tblLayout w:type="fixed"/>
        <w:tblInd w:w="1300" w:type="dxa"/>
        <w:tblCellMar>
          <w:top w:w="0" w:type="dxa"/>
          <w:left w:w="0" w:type="dxa"/>
          <w:bottom w:w="0" w:type="dxa"/>
          <w:right w:w="0" w:type="dxa"/>
        </w:tblCellMar>
      </w:tblP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w w:val="98"/>
              </w:rPr>
              <w:t>Florida</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38-3042953</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03"/>
        </w:trPr>
        <w:tc>
          <w:tcPr>
            <w:tcW w:w="5660" w:type="dxa"/>
            <w:vAlign w:val="bottom"/>
          </w:tcPr>
          <w:p>
            <w:pPr>
              <w:jc w:val="center"/>
              <w:ind w:right="301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rPr>
              <w:t>73 Kercheval Avenue</w:t>
            </w: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48236</w:t>
            </w:r>
          </w:p>
        </w:tc>
      </w:tr>
      <w:tr>
        <w:trPr>
          <w:trHeight w:val="203"/>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b w:val="1"/>
                <w:bCs w:val="1"/>
                <w:color w:val="auto"/>
              </w:rPr>
              <w:t>Grosse Pointe Farms, Michigan</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12"/>
        </w:trPr>
        <w:tc>
          <w:tcPr>
            <w:tcW w:w="5660" w:type="dxa"/>
            <w:vAlign w:val="bottom"/>
          </w:tcPr>
          <w:p>
            <w:pPr>
              <w:jc w:val="center"/>
              <w:ind w:right="303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320" w:type="dxa"/>
            <w:vAlign w:val="bottom"/>
          </w:tcPr>
          <w:p>
            <w:pPr>
              <w:spacing w:after="0"/>
              <w:rPr>
                <w:sz w:val="18"/>
                <w:szCs w:val="18"/>
                <w:color w:val="auto"/>
              </w:rPr>
            </w:pPr>
          </w:p>
        </w:tc>
      </w:tr>
      <w:tr>
        <w:trPr>
          <w:trHeight w:val="409"/>
        </w:trPr>
        <w:tc>
          <w:tcPr>
            <w:tcW w:w="5660" w:type="dxa"/>
            <w:vAlign w:val="bottom"/>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(313) 886-7070</w:t>
            </w:r>
          </w:p>
        </w:tc>
        <w:tc>
          <w:tcPr>
            <w:tcW w:w="1320" w:type="dxa"/>
            <w:vAlign w:val="bottom"/>
          </w:tcPr>
          <w:p>
            <w:pPr>
              <w:spacing w:after="0"/>
              <w:rPr>
                <w:sz w:val="24"/>
                <w:szCs w:val="24"/>
                <w:color w:val="auto"/>
              </w:rPr>
            </w:pPr>
          </w:p>
        </w:tc>
      </w:tr>
      <w:tr>
        <w:trPr>
          <w:trHeight w:val="212"/>
        </w:trPr>
        <w:tc>
          <w:tcPr>
            <w:tcW w:w="5660" w:type="dxa"/>
            <w:vAlign w:val="bottom"/>
          </w:tcPr>
          <w:p>
            <w:pPr>
              <w:jc w:val="center"/>
              <w:ind w:left="189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1320" w:type="dxa"/>
            <w:vAlign w:val="bottom"/>
          </w:tcPr>
          <w:p>
            <w:pPr>
              <w:spacing w:after="0"/>
              <w:rPr>
                <w:sz w:val="18"/>
                <w:szCs w:val="18"/>
                <w:color w:val="auto"/>
              </w:rPr>
            </w:pPr>
          </w:p>
        </w:tc>
      </w:tr>
    </w:tbl>
    <w:p>
      <w:pPr>
        <w:spacing w:after="0" w:line="2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r>
        <w:trPr>
          <w:trHeight w:val="217"/>
        </w:trPr>
        <w:tc>
          <w:tcPr>
            <w:tcW w:w="3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$.01 per share</w:t>
            </w:r>
          </w:p>
        </w:tc>
        <w:tc>
          <w:tcPr>
            <w:tcW w:w="3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SGA</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3"/>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left="20" w:right="6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0" w:lineRule="exact"/>
        <w:rPr>
          <w:sz w:val="24"/>
          <w:szCs w:val="24"/>
          <w:color w:val="auto"/>
        </w:rPr>
      </w:pPr>
    </w:p>
    <w:p>
      <w:pPr>
        <w:jc w:val="both"/>
        <w:ind w:left="20" w:right="120"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w:t>
      </w:r>
    </w:p>
    <w:p>
      <w:pPr>
        <w:spacing w:after="0" w:line="90" w:lineRule="exact"/>
        <w:rPr>
          <w:sz w:val="24"/>
          <w:szCs w:val="24"/>
          <w:color w:val="auto"/>
        </w:rPr>
      </w:pPr>
    </w:p>
    <w:p>
      <w:pPr>
        <w:ind w:left="20" w:right="18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47" w:lineRule="exact"/>
        <w:rPr>
          <w:sz w:val="24"/>
          <w:szCs w:val="24"/>
          <w:color w:val="auto"/>
        </w:rPr>
      </w:pPr>
    </w:p>
    <w:p>
      <w:pPr>
        <w:ind w:left="10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420" w:space="720"/>
            <w:col w:w="2680" w:space="720"/>
            <w:col w:w="2700"/>
          </w:cols>
          <w:pgMar w:left="820" w:top="661" w:right="839" w:bottom="1440" w:gutter="0" w:footer="0" w:header="0"/>
          <w:type w:val="continuous"/>
        </w:sectPr>
      </w:pPr>
    </w:p>
    <w:p>
      <w:pPr>
        <w:spacing w:after="0" w:line="21" w:lineRule="exact"/>
        <w:rPr>
          <w:sz w:val="24"/>
          <w:szCs w:val="24"/>
          <w:color w:val="auto"/>
        </w:rPr>
      </w:pPr>
    </w:p>
    <w:p>
      <w:pPr>
        <w:jc w:val="center"/>
        <w:ind w:left="780"/>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420" w:space="720"/>
            <w:col w:w="6100"/>
          </w:cols>
          <w:pgMar w:left="820" w:top="661" w:right="839" w:bottom="1440" w:gutter="0" w:footer="0" w:header="0"/>
          <w:type w:val="continuous"/>
        </w:sectPr>
      </w:pPr>
    </w:p>
    <w:p>
      <w:pPr>
        <w:spacing w:after="0" w:line="179" w:lineRule="exact"/>
        <w:rPr>
          <w:sz w:val="24"/>
          <w:szCs w:val="24"/>
          <w:color w:val="auto"/>
        </w:rPr>
      </w:pPr>
    </w:p>
    <w:p>
      <w:pPr>
        <w:ind w:left="20" w:right="26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$.01 par value, outstanding as of May 6, 2026 was 6,363,968.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646430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157480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191770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9"/>
          </w:tcPr>
          <w:p>
            <w:pPr>
              <w:ind w:left="120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820" w:type="dxa"/>
            <w:vAlign w:val="bottom"/>
          </w:tcPr>
          <w:p>
            <w:pPr>
              <w:spacing w:after="0"/>
              <w:rPr>
                <w:sz w:val="20"/>
                <w:szCs w:val="20"/>
                <w:color w:val="auto"/>
              </w:rPr>
            </w:pPr>
          </w:p>
        </w:tc>
      </w:tr>
      <w:tr>
        <w:trPr>
          <w:trHeight w:val="621"/>
        </w:trPr>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8080" w:type="dxa"/>
            <w:vAlign w:val="bottom"/>
            <w:gridSpan w:val="20"/>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8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9"/>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 March 31, 2026 and December 31, 2025</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9"/>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 Three months ended March 31, 2026 and 2025</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9"/>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 Three months ended March 31, 2026 and 2025</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9"/>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 Three months ended March 31, 2026 and 2025</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060" w:type="dxa"/>
            <w:vAlign w:val="bottom"/>
            <w:gridSpan w:val="19"/>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EX-31.1</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EX-31.2</w:t>
            </w:r>
          </w:p>
        </w:tc>
        <w:tc>
          <w:tcPr>
            <w:tcW w:w="8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Item 1. </w:t>
      </w:r>
      <w:r>
        <w:rPr>
          <w:rFonts w:ascii="Times New Roman" w:cs="Times New Roman" w:eastAsia="Times New Roman" w:hAnsi="Times New Roman"/>
          <w:sz w:val="18"/>
          <w:szCs w:val="18"/>
          <w:b w:val="1"/>
          <w:bCs w:val="1"/>
          <w:i w:val="1"/>
          <w:iCs w:val="1"/>
          <w:u w:val="single" w:color="auto"/>
          <w:color w:val="auto"/>
        </w:rPr>
        <w:t>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March 31,</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560" w:type="dxa"/>
            <w:vAlign w:val="bottom"/>
            <w:gridSpan w:val="6"/>
          </w:tcPr>
          <w:p>
            <w:pPr>
              <w:jc w:val="right"/>
              <w:ind w:right="10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 xml:space="preserve"> ​​​</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5"/>
          </w:tcPr>
          <w:p>
            <w:pPr>
              <w:jc w:val="right"/>
              <w:ind w:right="47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w:t>
            </w:r>
          </w:p>
        </w:tc>
        <w:tc>
          <w:tcPr>
            <w:tcW w:w="3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 held for sale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Barter transactions</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49,168</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97,863</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46,413</w:t>
            </w:r>
          </w:p>
        </w:tc>
        <w:tc>
          <w:tcPr>
            <w:tcW w:w="2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Broadcast licenses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intangibles, deferred costs and investments, net</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198,030</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201,322</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3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payroll and payroll taxes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Barter transactions</w:t>
            </w:r>
          </w:p>
        </w:tc>
        <w:tc>
          <w:tcPr>
            <w:tcW w:w="1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6 and 9)</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113,884</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Treasury stock</w:t>
            </w:r>
          </w:p>
        </w:tc>
        <w:tc>
          <w:tcPr>
            <w:tcW w:w="1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(38,236)</w:t>
            </w:r>
          </w:p>
        </w:tc>
        <w:tc>
          <w:tcPr>
            <w:tcW w:w="2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151,480</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198,030</w:t>
            </w:r>
          </w:p>
        </w:tc>
        <w:tc>
          <w:tcPr>
            <w:tcW w:w="200" w:type="dxa"/>
            <w:vAlign w:val="bottom"/>
            <w:gridSpan w:val="2"/>
          </w:tcPr>
          <w:p>
            <w:pPr>
              <w:spacing w:after="0"/>
              <w:rPr>
                <w:sz w:val="18"/>
                <w:szCs w:val="18"/>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right="59"/>
        <w:spacing w:after="0" w:line="272" w:lineRule="auto"/>
        <w:rPr>
          <w:sz w:val="20"/>
          <w:szCs w:val="20"/>
          <w:color w:val="auto"/>
        </w:rPr>
      </w:pPr>
      <w:r>
        <w:rPr>
          <w:rFonts w:ascii="Times New Roman" w:cs="Times New Roman" w:eastAsia="Times New Roman" w:hAnsi="Times New Roman"/>
          <w:sz w:val="16"/>
          <w:szCs w:val="16"/>
          <w:color w:val="auto"/>
        </w:rPr>
        <w:t>Note: The balance sheet at December 31, 2025 has been derived from the audited financial statements at that date but does not include all of the information and footnotes required by accounting principles generally accepted in the United States for complete financial statements.</w:t>
      </w:r>
    </w:p>
    <w:p>
      <w:pPr>
        <w:spacing w:after="0" w:line="4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240" w:type="dxa"/>
            <w:vAlign w:val="bottom"/>
            <w:gridSpan w:val="5"/>
          </w:tcPr>
          <w:p>
            <w:pPr>
              <w:ind w:left="178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900" w:type="dxa"/>
            <w:vAlign w:val="bottom"/>
          </w:tcPr>
          <w:p>
            <w:pPr>
              <w:spacing w:after="0"/>
              <w:rPr>
                <w:sz w:val="24"/>
                <w:szCs w:val="24"/>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560" w:type="dxa"/>
            <w:vAlign w:val="bottom"/>
            <w:gridSpan w:val="3"/>
          </w:tcPr>
          <w:p>
            <w:pPr>
              <w:jc w:val="center"/>
              <w:ind w:right="2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6"/>
          </w:tcPr>
          <w:p>
            <w:pPr>
              <w:jc w:val="right"/>
              <w:ind w:right="650"/>
              <w:spacing w:after="0" w:line="174"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data)</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revenue</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Station operating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56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7"/>
        </w:trPr>
        <w:tc>
          <w:tcPr>
            <w:tcW w:w="59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6,074</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6,123</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tcPr>
          <w:p>
            <w:pPr>
              <w:spacing w:after="0"/>
              <w:rPr>
                <w:sz w:val="18"/>
                <w:szCs w:val="18"/>
                <w:color w:val="auto"/>
              </w:rPr>
            </w:pPr>
          </w:p>
        </w:tc>
        <w:tc>
          <w:tcPr>
            <w:tcW w:w="56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9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7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2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2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Earnings</w:t>
            </w:r>
          </w:p>
        </w:tc>
        <w:tc>
          <w:tcPr>
            <w:tcW w:w="2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(Unaudited)</w:t>
            </w:r>
          </w:p>
        </w:tc>
        <w:tc>
          <w:tcPr>
            <w:tcW w:w="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80"/>
              </w:rPr>
              <w:t>(In thousands)</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8,183</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74,334</w:t>
            </w:r>
          </w:p>
        </w:tc>
        <w:tc>
          <w:tcPr>
            <w:tcW w:w="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128,216</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(36,710)</w:t>
            </w:r>
          </w:p>
        </w:tc>
        <w:tc>
          <w:tcPr>
            <w:tcW w:w="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three months ended March 31, 2025</w:t>
            </w:r>
          </w:p>
        </w:tc>
        <w:tc>
          <w:tcPr>
            <w:tcW w:w="1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per common share</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restricted</w:t>
            </w:r>
          </w:p>
        </w:tc>
        <w:tc>
          <w:tcPr>
            <w:tcW w:w="18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71"/>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401(k) plan contribution</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8,183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74,144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125,037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(35,703)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163,560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24"/>
                <w:szCs w:val="24"/>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7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4"/>
                <w:szCs w:val="24"/>
                <w:color w:val="auto"/>
              </w:rPr>
            </w:pPr>
          </w:p>
        </w:tc>
        <w:tc>
          <w:tcPr>
            <w:tcW w:w="7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2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Shares</w:t>
            </w:r>
          </w:p>
        </w:tc>
        <w:tc>
          <w:tcPr>
            <w:tcW w:w="2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Earnings</w:t>
            </w:r>
          </w:p>
        </w:tc>
        <w:tc>
          <w:tcPr>
            <w:tcW w:w="2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(Unaudited)</w:t>
            </w:r>
          </w:p>
        </w:tc>
        <w:tc>
          <w:tcPr>
            <w:tcW w:w="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80"/>
              </w:rPr>
              <w:t>(In thousands)</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6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8,304</w:t>
            </w: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75,749</w:t>
            </w:r>
          </w:p>
        </w:tc>
        <w:tc>
          <w:tcPr>
            <w:tcW w:w="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113,884</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(38,236)</w:t>
            </w:r>
          </w:p>
        </w:tc>
        <w:tc>
          <w:tcPr>
            <w:tcW w:w="2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151,480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three months ended March 31, 2026</w:t>
            </w:r>
          </w:p>
        </w:tc>
        <w:tc>
          <w:tcPr>
            <w:tcW w:w="1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Forfeiture of restricted stock</w:t>
            </w:r>
          </w:p>
        </w:tc>
        <w:tc>
          <w:tcPr>
            <w:tcW w:w="8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declared per common share</w:t>
            </w:r>
          </w:p>
        </w:tc>
        <w:tc>
          <w:tcPr>
            <w:tcW w:w="1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Compensation expense related to restricted</w:t>
            </w:r>
          </w:p>
        </w:tc>
        <w:tc>
          <w:tcPr>
            <w:tcW w:w="1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shares held in treasury</w:t>
            </w:r>
          </w:p>
        </w:tc>
        <w:tc>
          <w:tcPr>
            <w:tcW w:w="1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401(k) plan contribution</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2"/>
        </w:trPr>
        <w:tc>
          <w:tcPr>
            <w:tcW w:w="2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w:t>
            </w:r>
          </w:p>
        </w:tc>
        <w:tc>
          <w:tcPr>
            <w:tcW w:w="140" w:type="dxa"/>
            <w:vAlign w:val="bottom"/>
          </w:tcPr>
          <w:p>
            <w:pPr>
              <w:spacing w:after="0"/>
              <w:rPr>
                <w:sz w:val="12"/>
                <w:szCs w:val="12"/>
                <w:color w:val="auto"/>
              </w:rPr>
            </w:pPr>
          </w:p>
        </w:tc>
        <w:tc>
          <w:tcPr>
            <w:tcW w:w="600" w:type="dxa"/>
            <w:vAlign w:val="bottom"/>
            <w:tcBorders>
              <w:top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75,732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109,905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(37,408)</w:t>
            </w: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148,312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8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4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20" w:type="dxa"/>
            <w:vAlign w:val="bottom"/>
            <w:gridSpan w:val="5"/>
          </w:tcPr>
          <w:p>
            <w:pPr>
              <w:ind w:left="1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240" w:type="dxa"/>
            <w:vAlign w:val="bottom"/>
          </w:tcPr>
          <w:p>
            <w:pPr>
              <w:spacing w:after="0"/>
              <w:rPr>
                <w:sz w:val="18"/>
                <w:szCs w:val="18"/>
                <w:color w:val="auto"/>
              </w:rPr>
            </w:pP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18"/>
                <w:szCs w:val="18"/>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4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5"/>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8"/>
              </w:rPr>
              <w:t>(Unaudited)</w:t>
            </w:r>
          </w:p>
        </w:tc>
        <w:tc>
          <w:tcPr>
            <w:tcW w:w="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(2,394)</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costs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expense related to restricted stock awards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insurance claims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rent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Barter revenue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and other compensation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lease assets and liabilities (net)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decrease in current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increase in accounts payable, accrued expenses, and other liabilities</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adjustments</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Redemption of short-term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property and equipment (Capital Expenditures)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and disposal of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insurance claims, redemption of investments and other</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dividends paid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SAGA COMMUNICATIONS,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80" w:right="5419" w:hanging="330"/>
        <w:spacing w:after="0" w:line="456" w:lineRule="auto"/>
        <w:tabs>
          <w:tab w:leader="none" w:pos="23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spacing w:after="0" w:line="153"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our opinion, the accompanying financial statements include all adjustments of a normal, recurring nature considered necessary for a fair presentation of our financial position as of March 31, 2026 and the results of operations for the three months ended March 31, 2026 and 2025. Results of operations for three months ended March 31, 2026 are not necessarily indicative of the results that may be expected for the year ending December 31, 2026.</w:t>
      </w:r>
    </w:p>
    <w:p>
      <w:pPr>
        <w:spacing w:after="0" w:line="139" w:lineRule="exact"/>
        <w:rPr>
          <w:sz w:val="20"/>
          <w:szCs w:val="20"/>
          <w:color w:val="auto"/>
        </w:rPr>
      </w:pPr>
    </w:p>
    <w:p>
      <w:pPr>
        <w:ind w:left="60" w:right="599" w:firstLine="324"/>
        <w:spacing w:after="0" w:line="282" w:lineRule="auto"/>
        <w:rPr>
          <w:sz w:val="20"/>
          <w:szCs w:val="20"/>
          <w:color w:val="auto"/>
        </w:rPr>
      </w:pPr>
      <w:r>
        <w:rPr>
          <w:rFonts w:ascii="Times New Roman" w:cs="Times New Roman" w:eastAsia="Times New Roman" w:hAnsi="Times New Roman"/>
          <w:sz w:val="18"/>
          <w:szCs w:val="18"/>
          <w:color w:val="auto"/>
        </w:rPr>
        <w:t>We own or operate broadcast properties in 28 markets, including 82 FM and 30 AM radio stations and 79 metro signals.</w:t>
      </w:r>
    </w:p>
    <w:p>
      <w:pPr>
        <w:spacing w:after="0" w:line="121" w:lineRule="exact"/>
        <w:rPr>
          <w:sz w:val="20"/>
          <w:szCs w:val="20"/>
          <w:color w:val="auto"/>
        </w:rPr>
      </w:pPr>
    </w:p>
    <w:p>
      <w:pPr>
        <w:ind w:left="60" w:right="579" w:firstLine="324"/>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Saga Communications, Inc. (the “Company”) annual report on Form 10-K for the year ended December 31, 2025.</w:t>
      </w:r>
    </w:p>
    <w:p>
      <w:pPr>
        <w:spacing w:after="0" w:line="135"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have evaluated events and transactions occurring subsequent to the balance sheet date of March 31, 2026, for items that should potentially be recognized in these financial statements or discussed within the notes to these financial statements.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Information</w:t>
      </w:r>
    </w:p>
    <w:p>
      <w:pPr>
        <w:spacing w:after="0" w:line="18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and the Company’s 2023 Incentive Compensation Plan, that earn dividends on an equal basis with common shares. In applying the two-class method, earnings are allocated to both common shares and participating securities.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18"/>
                <w:szCs w:val="18"/>
                <w:color w:val="auto"/>
              </w:rPr>
            </w:pPr>
          </w:p>
        </w:tc>
        <w:tc>
          <w:tcPr>
            <w:tcW w:w="600" w:type="dxa"/>
            <w:vAlign w:val="bottom"/>
            <w:gridSpan w:val="3"/>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(In thousands, except</w:t>
            </w:r>
          </w:p>
        </w:tc>
        <w:tc>
          <w:tcPr>
            <w:tcW w:w="1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620" w:type="dxa"/>
            <w:vAlign w:val="bottom"/>
            <w:gridSpan w:val="4"/>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Loss allocated to unvested participating securities</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CCEEFF"/>
            </w:tcBorders>
            <w:gridSpan w:val="2"/>
          </w:tcPr>
          <w:p>
            <w:pPr>
              <w:spacing w:after="0"/>
              <w:rPr>
                <w:sz w:val="21"/>
                <w:szCs w:val="21"/>
                <w:color w:val="auto"/>
              </w:rPr>
            </w:pPr>
          </w:p>
        </w:tc>
        <w:tc>
          <w:tcPr>
            <w:tcW w:w="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4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44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weighted-average</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shares and assumed conversions</w:t>
            </w:r>
          </w:p>
        </w:tc>
        <w:tc>
          <w:tcPr>
            <w:tcW w:w="1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620" w:type="dxa"/>
            <w:vAlign w:val="bottom"/>
            <w:gridSpan w:val="4"/>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340" w:type="dxa"/>
            <w:vAlign w:val="bottom"/>
          </w:tcPr>
          <w:p>
            <w:pPr>
              <w:jc w:val="right"/>
              <w:ind w:right="21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outstanding that had an anti-dilutive effect on our earnings per share calculation for the three months ended March 31, 2026 and 2025, respectively.</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87" w:lineRule="exact"/>
        <w:rPr>
          <w:sz w:val="20"/>
          <w:szCs w:val="20"/>
          <w:color w:val="auto"/>
        </w:rPr>
      </w:pPr>
    </w:p>
    <w:p>
      <w:pPr>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We account for marketable securities in accordance with ASC 320, “</w:t>
      </w:r>
      <w:r>
        <w:rPr>
          <w:rFonts w:ascii="Times New Roman" w:cs="Times New Roman" w:eastAsia="Times New Roman" w:hAnsi="Times New Roman"/>
          <w:sz w:val="18"/>
          <w:szCs w:val="18"/>
          <w:i w:val="1"/>
          <w:iCs w:val="1"/>
          <w:color w:val="auto"/>
        </w:rPr>
        <w:t>Investments – Debt Securities,</w:t>
      </w:r>
      <w:r>
        <w:rPr>
          <w:rFonts w:ascii="Times New Roman" w:cs="Times New Roman" w:eastAsia="Times New Roman" w:hAnsi="Times New Roman"/>
          <w:sz w:val="18"/>
          <w:szCs w:val="18"/>
          <w:color w:val="auto"/>
        </w:rPr>
        <w:t>” which require that certain debt securities be classified into one of three categories: held-to-maturity, available-for-sale, or trading securities, and depending upon the classification, value the security at amortized cost or fair market value. At March 31, 2026 and December 31, 2025, we have recorded $9.4 million and $9.3 million, respectively, of held-to-maturity U.S. Treasury Bills at amortized cost basis that have a fair market value of $9.4 million and $9.3 million, respectively. Our held-to-maturity U.S. Treasury Bills all have original maturity dates ranging from April 2026 to July 2026.</w:t>
      </w:r>
    </w:p>
    <w:p>
      <w:pPr>
        <w:spacing w:after="0" w:line="144"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Our financial instruments are comprised of cash and cash equivalents, short-term investments,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secured overnight finance rate (“SOFR”), prime rate or have been reset at the prevailing market rate at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0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A provision for credit losses is recorded based on our judgment of collectability of receivables. Amounts are written off when determined to be fully uncollectible. Delinquent accounts are based on contractual terms.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uncertain economic conditions. In the event we recover amounts previously written off, we will reduce the specific allowance for credit loss. Our allowance for credit losses was $1,134,000 and $1,136,000 at March 31, 2026 and December 31, 2025, respectively. The activity in the allowance for credit losses during the three months ended March 31, 2025 was as follows: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Write Off of</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Uncollectible</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r>
      <w:tr>
        <w:trPr>
          <w:trHeight w:val="162"/>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at Beginning</w:t>
            </w: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6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Accounts, Net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End of</w:t>
            </w:r>
          </w:p>
        </w:tc>
      </w:tr>
      <w:tr>
        <w:trPr>
          <w:trHeight w:val="173"/>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180" w:type="dxa"/>
            <w:vAlign w:val="bottom"/>
            <w:gridSpan w:val="7"/>
          </w:tcPr>
          <w:p>
            <w:pPr>
              <w:jc w:val="right"/>
              <w:ind w:right="2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14"/>
                <w:szCs w:val="14"/>
                <w:b w:val="1"/>
                <w:bCs w:val="1"/>
                <w:color w:val="auto"/>
              </w:rPr>
              <w:t>Acquisitions</w:t>
            </w:r>
            <w:r>
              <w:rPr>
                <w:rFonts w:ascii="Arial" w:cs="Arial" w:eastAsia="Arial" w:hAnsi="Arial"/>
                <w:sz w:val="14"/>
                <w:szCs w:val="14"/>
                <w:color w:val="auto"/>
              </w:rPr>
              <w:t xml:space="preserve">  ​​  </w:t>
            </w:r>
            <w:r>
              <w:rPr>
                <w:rFonts w:ascii="Times New Roman" w:cs="Times New Roman" w:eastAsia="Times New Roman" w:hAnsi="Times New Roman"/>
                <w:sz w:val="14"/>
                <w:szCs w:val="14"/>
                <w:b w:val="1"/>
                <w:bCs w:val="1"/>
                <w:color w:val="auto"/>
              </w:rPr>
              <w:t>Recoveries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142"/>
        </w:trPr>
        <w:tc>
          <w:tcPr>
            <w:tcW w:w="4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r>
      <w:tr>
        <w:trPr>
          <w:trHeight w:val="148"/>
        </w:trPr>
        <w:tc>
          <w:tcPr>
            <w:tcW w:w="4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March 31, 2026</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1,134</w:t>
            </w:r>
          </w:p>
        </w:tc>
      </w:tr>
    </w:tbl>
    <w:p>
      <w:pPr>
        <w:spacing w:after="0" w:line="3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effective tax rate differs from the federal statutory rate as a result of the inclusion of state taxes in the income tax amount and permanent differences related to executive compensation.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89" w:lineRule="exact"/>
        <w:rPr>
          <w:sz w:val="20"/>
          <w:szCs w:val="20"/>
          <w:color w:val="auto"/>
        </w:rPr>
      </w:pPr>
    </w:p>
    <w:p>
      <w:pPr>
        <w:ind w:left="60" w:right="99" w:firstLine="315"/>
        <w:spacing w:after="0" w:line="252" w:lineRule="auto"/>
        <w:rPr>
          <w:sz w:val="20"/>
          <w:szCs w:val="20"/>
          <w:color w:val="auto"/>
        </w:rPr>
      </w:pPr>
      <w:r>
        <w:rPr>
          <w:rFonts w:ascii="Times New Roman" w:cs="Times New Roman" w:eastAsia="Times New Roman" w:hAnsi="Times New Roman"/>
          <w:sz w:val="18"/>
          <w:szCs w:val="18"/>
          <w:color w:val="auto"/>
        </w:rPr>
        <w:t>We serve twenty-eight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Company’s Chief Executive Officer is our Chief Operating Decision Maker (“CODM”) and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The CODM is regularly provided with financial information consistent with the Condensed Consolidated Statement of Income presented within. Specifically, the CODM utilizes consolidated operating income as profitability measures for purposes of making operating decisions and assessing financial performance. Further, the CODM reviews and utilizes station operating expense and corporate general and administrative expenses at the consolidated level to manage the Company’s operations. Other segment items included in the consolidated net income are interest expense, interest income, other (income) expenses, net and income tax (benefit) expense, which are reflected in the Condensed Consolidated Statement of Income. We continually review our operating segment classification to align with operational changes in our business and may make changes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90"/>
        <w:spacing w:after="0" w:line="282" w:lineRule="auto"/>
        <w:rPr>
          <w:sz w:val="20"/>
          <w:szCs w:val="20"/>
          <w:color w:val="auto"/>
        </w:rPr>
      </w:pPr>
      <w:r>
        <w:rPr>
          <w:rFonts w:ascii="Times New Roman" w:cs="Times New Roman" w:eastAsia="Times New Roman" w:hAnsi="Times New Roman"/>
          <w:sz w:val="18"/>
          <w:szCs w:val="18"/>
          <w:color w:val="auto"/>
        </w:rPr>
        <w:t>Significant departmental expenses included in station operating expenses for the three months ended March 31, 2026 and 2025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55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96"/>
        </w:trPr>
        <w:tc>
          <w:tcPr>
            <w:tcW w:w="5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20" w:type="dxa"/>
            <w:vAlign w:val="bottom"/>
          </w:tcPr>
          <w:p>
            <w:pPr>
              <w:spacing w:after="0"/>
              <w:rPr>
                <w:sz w:val="17"/>
                <w:szCs w:val="17"/>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 and Technical</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8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Station General and Administrative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5"/>
                <w:szCs w:val="25"/>
                <w:color w:val="auto"/>
                <w:vertAlign w:val="superscript"/>
              </w:rPr>
              <w:t>(1)</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0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Station Operating Expense</w:t>
            </w: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22,012</w:t>
            </w:r>
          </w:p>
        </w:tc>
        <w:tc>
          <w:tcPr>
            <w:tcW w:w="320" w:type="dxa"/>
            <w:vAlign w:val="bottom"/>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21,963</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13" w:lineRule="exact"/>
        <w:rPr>
          <w:sz w:val="20"/>
          <w:szCs w:val="20"/>
          <w:color w:val="auto"/>
        </w:rPr>
      </w:pPr>
    </w:p>
    <w:p>
      <w:pPr>
        <w:ind w:left="260" w:hanging="210"/>
        <w:spacing w:after="0"/>
        <w:tabs>
          <w:tab w:leader="none" w:pos="260"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Other includes production and news departments, advertising and promotional expense.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Time Brokerage Agreements / Local Marketing Agreements</w:t>
      </w:r>
    </w:p>
    <w:p>
      <w:pPr>
        <w:spacing w:after="0" w:line="202"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Time Brokerage Agreements (“TBAs”) or Local Marketing Agreements (“LMAs”) in certain markets in the past.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Operations. Assets and liabilities related to the TBAs/LMAs are included in the accompanying unaudited Condensed Consolidated Balance Sheets.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Long-lived assets to be sold are classified as held for sale in the period in which they meet all the criteria for the disposal of long-lived assets. Upon classification as held for sale, non-current assets or disposal groups are measured at the lower of their carrying amount and fair value less costs to sell. Depreciation or amortization on such assets ceases from the date of classification. During the first quarter of 2026, the Company met the criteria related to certain land and buildings. As of March 31, 2026, assets held for sale were approximately $872,000 and there were no liabilities held for sale. There were no assets held for sale or liabilities held for sale as of December 31, 2025.</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89" w:lineRule="exact"/>
        <w:rPr>
          <w:sz w:val="20"/>
          <w:szCs w:val="20"/>
          <w:color w:val="auto"/>
        </w:rPr>
      </w:pPr>
    </w:p>
    <w:p>
      <w:pPr>
        <w:ind w:left="60" w:right="99" w:firstLine="315"/>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(DISE)” (“ASU 2024-03”), which requires disclosures about specific types of expenses included in the expense captions presented on the face of the income statement as well as disclosures about selling expenses on an annual and interim basis. In January 2025, the FASB issued ASU 2025-01 clarifying the effective date for ASU-2024-03. ASU 2024-03 is effective for us for annual periods beginning January 1, 2027 and interim periods beginning after January 1, 2028. We are currently evaluating the impact ASU 2024-03 will have on our financial statement disclosures.</w:t>
      </w:r>
    </w:p>
    <w:p>
      <w:pPr>
        <w:spacing w:after="0" w:line="189" w:lineRule="exact"/>
        <w:rPr>
          <w:sz w:val="20"/>
          <w:szCs w:val="20"/>
          <w:color w:val="auto"/>
        </w:rPr>
      </w:pPr>
    </w:p>
    <w:p>
      <w:pPr>
        <w:ind w:left="60" w:right="219" w:firstLine="324"/>
        <w:spacing w:after="0" w:line="253"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(“ASU 2025-11”), which clarifies the guidance in Topic 270 to improve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annual periods beginning after December 15, 2027, and interim periods within those annual periods and early adoption is permitted. The Company is currently evaluating the impact of this standard on its financial statements, including timing and method of adoption.</w:t>
      </w:r>
    </w:p>
    <w:p>
      <w:pPr>
        <w:spacing w:after="0" w:line="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In December 2025, the FASB issued ASU 2025-12, “Codification Improvements”, (“ASU 2025-12”), which provides for several updates to the codification. The amendments of ASU 2025-12 are effective for annual periods beginning after December 15, 2026, and interim periods within those annual periods and early adoption is permitted. The Company is currently evaluating the impact of this standard on its financial statements, including timing and method of adoption.</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Nature of goods and services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description of principal activities from which we generate our revenue: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Broadcast Advertising Revenue</w:t>
      </w:r>
    </w:p>
    <w:p>
      <w:pPr>
        <w:spacing w:after="0" w:line="200"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Digital Advertising Revenue</w:t>
      </w:r>
    </w:p>
    <w:p>
      <w:pPr>
        <w:spacing w:after="0" w:line="18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We recognize revenue from our digital initiatives across multiple platforms such as targeted digital advertising, search engine management, search engine optimization, online promotions, advertising on our online news sites, websites and digital audio streams, mobile messaging, email marketing and other e-commerce. Revenue is recorded when each specific performance obligation in the digital advertising campaign takes place, typically within a one month period. Digital audio stream revenue is recognized when the commercial spots have streamed. Third-party products such as targeted display advertising are recognized over time as digital items are used for advertising content and impression targets are met each month. The Company assesses each digital order to determine if the Company is operating as the principal or an agent. The Company currently operates as the principal for digital revenue with the exception of national streaming where we operate as the agent.</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87"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Revenues from contracts with customers comprised the following for three months ended March 31, 2026 and 2025:</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4"/>
          </w:tcPr>
          <w:p>
            <w:pPr>
              <w:jc w:val="center"/>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Types of Revenue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Broadcast Advertising Revenue, net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Advertising Revenue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02" w:lineRule="exact"/>
        <w:rPr>
          <w:sz w:val="20"/>
          <w:szCs w:val="20"/>
          <w:color w:val="auto"/>
        </w:rPr>
      </w:pPr>
    </w:p>
    <w:p>
      <w:pPr>
        <w:ind w:left="60" w:right="379" w:firstLine="324"/>
        <w:spacing w:after="0" w:line="256" w:lineRule="auto"/>
        <w:rPr>
          <w:sz w:val="20"/>
          <w:szCs w:val="20"/>
          <w:color w:val="auto"/>
        </w:rPr>
      </w:pPr>
      <w:r>
        <w:rPr>
          <w:rFonts w:ascii="Times New Roman" w:cs="Times New Roman" w:eastAsia="Times New Roman" w:hAnsi="Times New Roman"/>
          <w:sz w:val="18"/>
          <w:szCs w:val="18"/>
          <w:color w:val="auto"/>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the majority of our sales contracts are one year or less, we have utilized the optional exemption under ASC 606-10-50-14 and will not disclose information about the remaining performance obligations for sales contracts which have original expected durations of one year or less.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Broadcast Licenses and Other Intangible Assets</w:t>
      </w:r>
    </w:p>
    <w:p>
      <w:pPr>
        <w:spacing w:after="0" w:line="202" w:lineRule="exact"/>
        <w:rPr>
          <w:sz w:val="20"/>
          <w:szCs w:val="20"/>
          <w:color w:val="auto"/>
        </w:rPr>
      </w:pPr>
    </w:p>
    <w:p>
      <w:pPr>
        <w:ind w:left="60" w:right="79" w:firstLine="226"/>
        <w:spacing w:after="0" w:line="268" w:lineRule="auto"/>
        <w:rPr>
          <w:sz w:val="20"/>
          <w:szCs w:val="20"/>
          <w:color w:val="auto"/>
        </w:rPr>
      </w:pPr>
      <w:r>
        <w:rPr>
          <w:rFonts w:ascii="Times New Roman" w:cs="Times New Roman" w:eastAsia="Times New Roman" w:hAnsi="Times New Roman"/>
          <w:sz w:val="17"/>
          <w:szCs w:val="17"/>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9"/>
        <w:spacing w:after="0" w:line="252"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 The FCC license valuations are Level 3 non-recurring fair value measurements.</w:t>
      </w:r>
    </w:p>
    <w:p>
      <w:pPr>
        <w:spacing w:after="0" w:line="190" w:lineRule="exact"/>
        <w:rPr>
          <w:sz w:val="20"/>
          <w:szCs w:val="20"/>
          <w:color w:val="auto"/>
        </w:rPr>
      </w:pPr>
    </w:p>
    <w:p>
      <w:pPr>
        <w:ind w:left="60" w:right="179" w:firstLine="226"/>
        <w:spacing w:after="0" w:line="281" w:lineRule="auto"/>
        <w:rPr>
          <w:sz w:val="20"/>
          <w:szCs w:val="20"/>
          <w:color w:val="auto"/>
        </w:rPr>
      </w:pPr>
      <w:r>
        <w:rPr>
          <w:rFonts w:ascii="Times New Roman" w:cs="Times New Roman" w:eastAsia="Times New Roman" w:hAnsi="Times New Roman"/>
          <w:sz w:val="17"/>
          <w:szCs w:val="17"/>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accompanying condensed consolidated balance sheets.</w:t>
      </w:r>
    </w:p>
    <w:p>
      <w:pPr>
        <w:spacing w:after="0" w:line="164" w:lineRule="exact"/>
        <w:rPr>
          <w:sz w:val="20"/>
          <w:szCs w:val="20"/>
          <w:color w:val="auto"/>
        </w:rPr>
      </w:pPr>
    </w:p>
    <w:p>
      <w:pPr>
        <w:ind w:left="60" w:right="259" w:firstLine="271"/>
        <w:spacing w:after="0" w:line="258" w:lineRule="auto"/>
        <w:rPr>
          <w:sz w:val="20"/>
          <w:szCs w:val="20"/>
          <w:color w:val="auto"/>
        </w:rPr>
      </w:pPr>
      <w:r>
        <w:rPr>
          <w:rFonts w:ascii="Times New Roman" w:cs="Times New Roman" w:eastAsia="Times New Roman" w:hAnsi="Times New Roman"/>
          <w:sz w:val="18"/>
          <w:szCs w:val="18"/>
          <w:color w:val="auto"/>
        </w:rPr>
        <w:t>The Company considered the current and expected future economic and market conditions, and other potential indicators of impairment and determined a triggering event had not occurred which would necessitate any interim impairment tests during the three months ended March 31, 2026. We will continue to monitor changes in economic and market conditions, and if any event or circumstances indicate a triggering event has occurred, we will perform an interim impairment test of our intangible assets at the appropriate time.</w:t>
      </w:r>
    </w:p>
    <w:p>
      <w:pPr>
        <w:spacing w:after="0" w:line="183"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w:t>
      </w:r>
    </w:p>
    <w:p>
      <w:pPr>
        <w:spacing w:after="0" w:line="158"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that have finite lives are amortized over their useful lives using the straight-line method. Favorable lease agreements are amortized over the lives of the leases ranging from five to twenty-six years. Other intangibles are amortized over one to fifteen years. Customer relationships are amortized over three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Common Stock and Treasury Stock</w:t>
      </w:r>
    </w:p>
    <w:p>
      <w:pPr>
        <w:spacing w:after="0" w:line="20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the Company’s Articles of Incorporation (“Articles of Incorporation”) provide that shares of Class B Common Stock automatically convert into shares of Class A Common Stock if transferred to, or owned by, any person other than the “Principal Shareholder,” as defined in the Articles of Incorporation as Edward K. Christian. Following Mr. Christian’s passing in 2022 and the transfer of his Class B shares into an estate planning trust, all outstanding shares of Class B common stock were automatically converted into shares of Class A Common Stock. As of March 31, 2026, no shares of Class B common stock are issued or outstanding.</w:t>
      </w:r>
    </w:p>
    <w:p>
      <w:pPr>
        <w:spacing w:after="0" w:line="14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Shareholders are entitled to receive such dividends as may be declared by our Board of Directors out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legally available for such purpose. However, no dividend may be declared or paid in cash or property on any share of any class of Common Stock unless simultaneously the same dividend is declared or paid on each share of the other class of Common Stock. In the case of any stock dividend, holders of Class A Common Stock would receive the same percentage dividend payable in shares of Class A Common Stock.</w:t>
      </w:r>
    </w:p>
    <w:p>
      <w:pPr>
        <w:spacing w:after="0" w:line="143" w:lineRule="exact"/>
        <w:rPr>
          <w:sz w:val="20"/>
          <w:szCs w:val="20"/>
          <w:color w:val="auto"/>
        </w:rPr>
      </w:pPr>
    </w:p>
    <w:p>
      <w:pPr>
        <w:ind w:left="60" w:right="4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Common Stock vote as a single class on all matters submitted to a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with each share of Class A Common Stock entitled to one vote.</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of Directors consisted of eight members on March 31, 2026, and currently consists of eight members.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Holders of Common Stock are not entitled to cumulative voting in the election of directors.</w:t>
      </w:r>
    </w:p>
    <w:p>
      <w:pPr>
        <w:spacing w:after="0" w:line="166"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Common Stock vote as a single class with respect to any proposed “going private” transaction with the “Principal Shareholder” or an affiliate of the “Principal shareholder”, with each share of each class of Common Stock entitled to one vote per share.</w:t>
      </w:r>
    </w:p>
    <w:p>
      <w:pPr>
        <w:spacing w:after="0" w:line="135"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spacing w:after="0" w:line="147" w:lineRule="exact"/>
        <w:rPr>
          <w:sz w:val="20"/>
          <w:szCs w:val="20"/>
          <w:color w:val="auto"/>
        </w:rPr>
      </w:pPr>
    </w:p>
    <w:p>
      <w:pPr>
        <w:ind w:left="60" w:right="2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liquidation, dissolution, or winding-up, the holders of Class A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share ratably in accordance with the number of shares held in all assets available for distribution after payment in full of creditors.</w:t>
      </w:r>
    </w:p>
    <w:p>
      <w:pPr>
        <w:spacing w:after="0" w:line="135"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information relating to the number of shares of our Common Stock issued in connection with stock transactions through March 31, 2026:</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600" w:type="dxa"/>
            <w:vAlign w:val="bottom"/>
            <w:vMerge w:val="restart"/>
          </w:tcPr>
          <w:p>
            <w:pPr>
              <w:ind w:left="64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 Issued</w:t>
            </w:r>
          </w:p>
        </w:tc>
        <w:tc>
          <w:tcPr>
            <w:tcW w:w="0" w:type="dxa"/>
            <w:vAlign w:val="bottom"/>
          </w:tcPr>
          <w:p>
            <w:pPr>
              <w:spacing w:after="0"/>
              <w:rPr>
                <w:sz w:val="1"/>
                <w:szCs w:val="1"/>
                <w:color w:val="auto"/>
              </w:rPr>
            </w:pPr>
          </w:p>
        </w:tc>
      </w:tr>
      <w:tr>
        <w:trPr>
          <w:trHeight w:val="209"/>
        </w:trPr>
        <w:tc>
          <w:tcPr>
            <w:tcW w:w="6600" w:type="dxa"/>
            <w:vAlign w:val="bottom"/>
            <w:vMerge w:val="continue"/>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 B</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Pr>
          <w:p>
            <w:pPr>
              <w:spacing w:after="0"/>
              <w:rPr>
                <w:sz w:val="17"/>
                <w:szCs w:val="17"/>
                <w:color w:val="auto"/>
              </w:rPr>
            </w:pPr>
          </w:p>
        </w:tc>
        <w:tc>
          <w:tcPr>
            <w:tcW w:w="128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(Shares in</w:t>
            </w:r>
          </w:p>
        </w:tc>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8"/>
                <w:szCs w:val="18"/>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260" w:type="dxa"/>
            <w:vAlign w:val="bottom"/>
          </w:tcPr>
          <w:p>
            <w:pPr>
              <w:spacing w:after="0"/>
              <w:rPr>
                <w:sz w:val="18"/>
                <w:szCs w:val="18"/>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We have a Stock Buy-Back Program (the “Buy-Back Program”) to allow us to purchase up to $75.8 million of our Class A Common Stock. As of March 31, 2026, we have remaining authorization of $15.1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Security and Exchange Commission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We halted the directions for any additional buybacks under our plan in 2020. We continue to monitor economic conditions to determine if and when it makes sense to make additional buybacks under our plan. During the three months ended March 31, 2026, 1,067 shares were retained for the payment of withholding taxes for approximately $13,000 related to the vesting of restricted stock. During the three months ended March 31, 2025 no shares were repurchased under the Buy-Back Program.</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ind w:left="60" w:right="199" w:firstLine="324"/>
        <w:spacing w:after="0" w:line="257" w:lineRule="auto"/>
        <w:rPr>
          <w:sz w:val="20"/>
          <w:szCs w:val="20"/>
          <w:color w:val="auto"/>
        </w:rPr>
      </w:pPr>
      <w:r>
        <w:rPr>
          <w:rFonts w:ascii="Times New Roman" w:cs="Times New Roman" w:eastAsia="Times New Roman" w:hAnsi="Times New Roman"/>
          <w:sz w:val="18"/>
          <w:szCs w:val="18"/>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w:t>
      </w:r>
    </w:p>
    <w:p>
      <w:pPr>
        <w:spacing w:after="0" w:line="1"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March 31, 2026, we do not have any non-cancellable operating lease commitments that have not yet commenced.</w:t>
      </w:r>
    </w:p>
    <w:p>
      <w:pPr>
        <w:spacing w:after="0" w:line="14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ROU assets are classified as operating right of use assets on the condensed consolidated balance sheet while current lease liabilities are classified within other accrued expenses and long-term lease liabilities are classified within other liabilities. Leases with an initial term of 12 months or less are not recorded on the balance sheet. ROU assets were $10.0 million and $10.3 million at March 31, 2026 and December 31, 2025 respectively. Lease liabilities were $5.1 million and $5.4 million at March 31, 2026 and December 31, 2025, respectively. During the three months ended March 31, 2026, we recorded additional ROU assets under operating leases of $150,000. Payments on lease liabilities during the three months ended March 31, 2026 and 2025 totaled $462,000, and $534,000, respectively.</w:t>
      </w:r>
    </w:p>
    <w:p>
      <w:pPr>
        <w:spacing w:after="0" w:line="148"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 xml:space="preserve">Lease expense includes cost for leases with terms in excess of one year. For the three months ended March 31, 2026 and 2025, our total lease expense was $510,000, and $480,000, respectively. Short-term lease costs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nature.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We have no financing leases and minimum annual rental commitments under non-cancellable operating leases consisted of the following at March 31, 2026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80" w:type="dxa"/>
            <w:vAlign w:val="bottom"/>
            <w:tcBorders>
              <w:bottom w:val="single" w:sz="8" w:color="CCEEFF"/>
            </w:tcBorders>
            <w:gridSpan w:val="2"/>
          </w:tcPr>
          <w:p>
            <w:pPr>
              <w:jc w:val="right"/>
              <w:ind w:right="236"/>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spacing w:after="0"/>
              <w:rPr>
                <w:sz w:val="20"/>
                <w:szCs w:val="20"/>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18"/>
                <w:szCs w:val="18"/>
                <w:i w:val="1"/>
                <w:iCs w:val="1"/>
                <w:color w:val="auto"/>
              </w:rPr>
              <w:t>(a)</w:t>
            </w:r>
          </w:p>
        </w:tc>
        <w:tc>
          <w:tcPr>
            <w:tcW w:w="58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Total lease payments </w:t>
            </w:r>
            <w:r>
              <w:rPr>
                <w:rFonts w:ascii="Times New Roman" w:cs="Times New Roman" w:eastAsia="Times New Roman" w:hAnsi="Times New Roman"/>
                <w:sz w:val="18"/>
                <w:szCs w:val="18"/>
                <w:i w:val="1"/>
                <w:iCs w:val="1"/>
                <w:color w:val="auto"/>
              </w:rPr>
              <w:t>(b)</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xml:space="preserve">Less: Interest </w:t>
            </w:r>
            <w:r>
              <w:rPr>
                <w:rFonts w:ascii="Times New Roman" w:cs="Times New Roman" w:eastAsia="Times New Roman" w:hAnsi="Times New Roman"/>
                <w:sz w:val="18"/>
                <w:szCs w:val="18"/>
                <w:i w:val="1"/>
                <w:iCs w:val="1"/>
                <w:color w:val="auto"/>
              </w:rPr>
              <w:t>(c)</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09"/>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18"/>
                <w:szCs w:val="18"/>
                <w:i w:val="1"/>
                <w:iCs w:val="1"/>
                <w:color w:val="auto"/>
              </w:rPr>
              <w:t>(d)</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Remaining payments are for the nine-months ending December 31, 2026.</w:t>
      </w:r>
    </w:p>
    <w:p>
      <w:pPr>
        <w:spacing w:after="0" w:line="29" w:lineRule="exact"/>
        <w:rPr>
          <w:rFonts w:ascii="Times New Roman" w:cs="Times New Roman" w:eastAsia="Times New Roman" w:hAnsi="Times New Roman"/>
          <w:sz w:val="18"/>
          <w:szCs w:val="18"/>
          <w:i w:val="1"/>
          <w:iCs w:val="1"/>
          <w:color w:val="auto"/>
        </w:rPr>
      </w:pPr>
    </w:p>
    <w:p>
      <w:pPr>
        <w:ind w:left="380" w:right="339" w:hanging="330"/>
        <w:spacing w:after="0" w:line="250" w:lineRule="auto"/>
        <w:tabs>
          <w:tab w:leader="none" w:pos="3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 payments include options to extend lease terms that are reasonably certain of being exercised. There were no legally binding minimum lease payments for leases signed but not yet commenced at March 31, 2026.</w:t>
      </w:r>
    </w:p>
    <w:p>
      <w:pPr>
        <w:ind w:left="380" w:right="159" w:hanging="330"/>
        <w:spacing w:after="0" w:line="250" w:lineRule="auto"/>
        <w:tabs>
          <w:tab w:leader="none" w:pos="3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weighted average remaining lease term and weighted average discount rate used in calculating our lease liabilities were 4.8 years and 6.1%, respectively, at March 31, 2026.</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8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An income tax benefit of $670,000 was recorded for the three months ended March 31, 2026 compared to an income tax benefit of $585,000 for the three months ended March 31, 2025. The effective tax rate was approximately 21.9% for the three months ended March 31, 2026 compared to 27.1% for the three months ended March 31, 2025. Income tax provisions for interim (quarterly) periods are based on estimated annual income tax rates and are adjusted for the effects of significant, infrequent or unusual items (i.e. discrete items) occurring during the interim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2005 Incentive Compensation Plan</w:t>
      </w:r>
    </w:p>
    <w:p>
      <w:pPr>
        <w:spacing w:after="0" w:line="20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On May 13, 2019 our shareholders approved an amendment to the Second Amended and Restated Saga Communications, Inc. 2005 Incentive Compensation Plan (as amended, the “The Second Restated 2005 Plan”). This plan was first approved in 2005, and subsequently re-approved in 2010 and 2013. The amendment to the Second Restated 2005 Plan (i) extended the date for making awards to September 6, 2023 and (ii) increased the number of authorized shares under the plan by 90,000 shares of Class B Common Stock. The Second Restated 2005 Plan allowed for the granting of restricted stock, restricted stock units, incentive stock options, nonqualified stock options, and performance awards to eligible employees and non-employee directors. As of December 31, 2025, there are no longer any unvested restricted stock awards for the Second Restated 2005 Plan.</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2023 Incentive Compensation Plan</w:t>
      </w:r>
    </w:p>
    <w:p>
      <w:pPr>
        <w:spacing w:after="0" w:line="22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May 8, 2023, our shareholders approved the 2023 Incentive Compensation Plan (the “2023 Plan”). The 2023 Plan replaces the Second Restated 2005 Plan. The Board of Directors does not intend to make any further awards under the Second Restated 2005 Plan. However, each outstanding award under the Second Restated 2005 Plan will remain outstanding under the Second Restated 2005 Plan and will continue to be governed under its terms and any applicable award agreement. The 2023 Plan allows for the granting of restricted stock, restricted stock units, incentive stock options, nonqualified stock options, and performance awards, including cash to eligible employees and non-employee directors of the Company and its subsidiaries. The number of shares of Common Stock that may be issued under the 2023 Plan may not exceed 600,000 shares of Class A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All stock options granted were fully vested and expensed at December 31, 2012; therefore, there was no compensation expense related to stock options for the three months ended March 31, 2026 and 2025, respectively.</w:t>
      </w:r>
    </w:p>
    <w:p>
      <w:pPr>
        <w:spacing w:after="0" w:line="121" w:lineRule="exact"/>
        <w:rPr>
          <w:sz w:val="20"/>
          <w:szCs w:val="20"/>
          <w:color w:val="auto"/>
        </w:rPr>
      </w:pPr>
    </w:p>
    <w:p>
      <w:pPr>
        <w:ind w:left="60" w:right="899" w:firstLine="324"/>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2026 or 2025 and there were no stock options outstanding as of March 31, 2026. All outstanding stock options were exercised in 2017.</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summarizes the restricted stock transactions for the three months ended March 31, 2026:</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6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7020" w:type="dxa"/>
            <w:vAlign w:val="bottom"/>
            <w:gridSpan w:val="2"/>
          </w:tcPr>
          <w:p>
            <w:pPr>
              <w:ind w:left="68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and outstanding at March 31, 2026</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271,479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0"/>
        </w:trPr>
        <w:tc>
          <w:tcPr>
            <w:tcW w:w="6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27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we had $518,000 and $527,000, respectively, of total compensation expense related to restricted stock-based compensation arrangements. This expense is included in corporate general and administrative expenses in our results of operations. The associated tax benefit recognized for the three months ended March 31, 2026 and 2025 was $136,000 and $139,000, respectively.</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9. Long-Term Debt</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05"/>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3"/>
        </w:trPr>
        <w:tc>
          <w:tcPr>
            <w:tcW w:w="5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40" w:type="dxa"/>
            <w:vAlign w:val="bottom"/>
          </w:tcPr>
          <w:p>
            <w:pPr>
              <w:spacing w:after="0"/>
              <w:rPr>
                <w:sz w:val="20"/>
                <w:szCs w:val="20"/>
                <w:color w:val="auto"/>
              </w:rPr>
            </w:pPr>
          </w:p>
        </w:tc>
        <w:tc>
          <w:tcPr>
            <w:tcW w:w="18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
        </w:trPr>
        <w:tc>
          <w:tcPr>
            <w:tcW w:w="5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r>
      <w:tr>
        <w:trPr>
          <w:trHeight w:val="196"/>
        </w:trPr>
        <w:tc>
          <w:tcPr>
            <w:tcW w:w="5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4"/>
          </w:tcPr>
          <w:p>
            <w:pPr>
              <w:jc w:val="right"/>
              <w:ind w:right="430"/>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86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payable within one year</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04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0"/>
        </w:trPr>
        <w:tc>
          <w:tcPr>
            <w:tcW w:w="5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Sale-Leaseback Transaction described in Note 13, the Company entered into a Fourth Amendment (“Fourth Amendment”) to its Credit Agreement, dated as of August 18, 2015 and amended on September 1, 2017, June 17, 2018, and December 19, 2022, between the Company, JPMorgan Chase Bank, N.A. and The Huntington National Bank (collectively, the “Lenders”), and JPMorgan Chase Bank, N.A., in its capacity as Administrative Agent for the Lenders (“Agent”), (i) reducing the aggregate amount of the Lender’s revolving commitments from $50,000,000 to $40,000,000, and (ii) releasing the Agent’s security interest in the GTC Assets, but not any proceeds paid for the GTC Assets or any other collateral (the borrowing arrangement governed by the Credit Agreement). On December 19, 2022, we entered into a Third Amendment to our Credit Agreement, (the “Third Amendment”), which extended the maturity date to December 19, 2027, reduced the lenders to JPMorgan Chase Bank, N.A., and the Huntington National Bank (collectively, the “Lenders”), established an interest rate equal to the secured overnight financing rate (“SOFR”) as administered by the SOFR Administrator (currently established as the Federal Reserve Bank of New York) as the interest base and increased the basis points.</w:t>
      </w:r>
    </w:p>
    <w:p>
      <w:pPr>
        <w:spacing w:after="0" w:line="14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pledged substantially all of our assets (excluding our FCC licenses and certain other assets) in support of the Credit Agreement and each of our subsidiaries has guaranteed the Credit Agreement and has pledged substantially all of their assets (excluding their FCC licenses and certain other assets) in support of the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rates under the Credit Agreement are payable, at our option, at alternatives equal to SOFR (3.68% at</w:t>
      </w:r>
    </w:p>
    <w:p>
      <w:pPr>
        <w:spacing w:after="0" w:line="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March 31, 2026), plus 1% to 2% or the base rate plus 0% to 1%. The spread over SOFR and the base rate vary from time to time, depending upon our financial leverage. Letters of credit issued under the Credit Agreement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Agreement. We previously paid quarterly commitment fees of 0.2% to 0.3% per annum on the unused portion of the Credit Agreement.</w:t>
      </w:r>
    </w:p>
    <w:p>
      <w:pPr>
        <w:spacing w:after="0" w:line="163"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contains a number of financial covenants which, among other things, require us to maintain specified financial ratios and impose certain limitations on us with respect to investments, additional indebtedness, dividends, distributions, guarantees, liens and encumbrances. As of March 31, 2026, the Company was in compliance with all of our debt covenants with the exception of the fixed charges coverage ratio for which we obtained a waiver.</w:t>
      </w:r>
    </w:p>
    <w:p>
      <w:pPr>
        <w:spacing w:after="0" w:line="139" w:lineRule="exact"/>
        <w:rPr>
          <w:sz w:val="20"/>
          <w:szCs w:val="20"/>
          <w:color w:val="auto"/>
        </w:rPr>
      </w:pPr>
    </w:p>
    <w:p>
      <w:pPr>
        <w:ind w:left="60" w:right="139" w:firstLine="270"/>
        <w:spacing w:after="0" w:line="282" w:lineRule="auto"/>
        <w:rPr>
          <w:sz w:val="20"/>
          <w:szCs w:val="20"/>
          <w:color w:val="auto"/>
        </w:rPr>
      </w:pPr>
      <w:r>
        <w:rPr>
          <w:rFonts w:ascii="Times New Roman" w:cs="Times New Roman" w:eastAsia="Times New Roman" w:hAnsi="Times New Roman"/>
          <w:sz w:val="18"/>
          <w:szCs w:val="18"/>
          <w:color w:val="auto"/>
        </w:rPr>
        <w:t>We have approximately $35 million of unused borrowing capacity under the Credit Agreement at both March 31, 2026 and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202" w:lineRule="exact"/>
        <w:rPr>
          <w:sz w:val="20"/>
          <w:szCs w:val="20"/>
          <w:color w:val="auto"/>
        </w:rPr>
      </w:pPr>
    </w:p>
    <w:p>
      <w:pPr>
        <w:ind w:left="60" w:right="179" w:firstLine="324"/>
        <w:spacing w:after="0" w:line="312" w:lineRule="auto"/>
        <w:rPr>
          <w:sz w:val="20"/>
          <w:szCs w:val="20"/>
          <w:color w:val="auto"/>
        </w:rPr>
      </w:pPr>
      <w:r>
        <w:rPr>
          <w:rFonts w:ascii="Times New Roman" w:cs="Times New Roman" w:eastAsia="Times New Roman" w:hAnsi="Times New Roman"/>
          <w:sz w:val="17"/>
          <w:szCs w:val="17"/>
          <w:color w:val="auto"/>
        </w:rPr>
        <w:t>During three months ended March 31, 2026, the Company’s Board of Directors declared a quarterly cash dividend on its Class A Common Stock. This dividend totaling approximately $1.6 million was paid during the first quarter of 2026.</w:t>
      </w:r>
    </w:p>
    <w:p>
      <w:pPr>
        <w:spacing w:after="0" w:line="99" w:lineRule="exact"/>
        <w:rPr>
          <w:sz w:val="20"/>
          <w:szCs w:val="20"/>
          <w:color w:val="auto"/>
        </w:rPr>
      </w:pPr>
    </w:p>
    <w:p>
      <w:pPr>
        <w:ind w:left="60" w:right="119" w:firstLine="324"/>
        <w:spacing w:after="0" w:line="312" w:lineRule="auto"/>
        <w:rPr>
          <w:sz w:val="20"/>
          <w:szCs w:val="20"/>
          <w:color w:val="auto"/>
        </w:rPr>
      </w:pPr>
      <w:r>
        <w:rPr>
          <w:rFonts w:ascii="Times New Roman" w:cs="Times New Roman" w:eastAsia="Times New Roman" w:hAnsi="Times New Roman"/>
          <w:sz w:val="17"/>
          <w:szCs w:val="17"/>
          <w:color w:val="auto"/>
        </w:rPr>
        <w:t>During three months ended March 31, 2025, the Company’s Board of Directors declared a quarterly cash dividends on its Class A Common Stock. This dividend totaling approximately $1.6 million was paid during the first quarter of 2025.</w:t>
      </w:r>
    </w:p>
    <w:p>
      <w:pPr>
        <w:spacing w:after="0" w:line="9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intends to pay regular quarterly cash dividends in the future. Consistent with its strategic objective of maintaining a strong balance sheet and returning value to the shareholders, the Board of Directors will also continue to consider declaring special cash dividends, variable dividends and stock buybacks in the future. The declaration and payment of any future dividend, whether fixed, special, or based on the variable policy, or the implementation of any stock buyback program will remain at the full discretion of the Board and will depend on the Company’s financial results, cash requirements, future expectations, and other pertinent factors.</w:t>
      </w:r>
    </w:p>
    <w:p>
      <w:pPr>
        <w:spacing w:after="0" w:line="3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Other Income</w:t>
      </w:r>
    </w:p>
    <w:p>
      <w:pPr>
        <w:spacing w:after="0" w:line="189" w:lineRule="exact"/>
        <w:rPr>
          <w:sz w:val="20"/>
          <w:szCs w:val="20"/>
          <w:color w:val="auto"/>
        </w:rPr>
      </w:pPr>
    </w:p>
    <w:p>
      <w:pPr>
        <w:ind w:left="60" w:right="139" w:firstLine="270"/>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as part of the Company’s previously disclosed capital allocation plan to sell non-core assets, the Company sold a property in Springfield, Massachusetts for approximately $460,000. As a result of the sale, the Company recorded a gain of approximately $80,000, which is recorded in other operating (income) expense, net in the Company’s Condensed Consolidated Statement of Operations.</w:t>
      </w:r>
    </w:p>
    <w:p>
      <w:pPr>
        <w:spacing w:after="0" w:line="139" w:lineRule="exact"/>
        <w:rPr>
          <w:sz w:val="20"/>
          <w:szCs w:val="20"/>
          <w:color w:val="auto"/>
        </w:rPr>
      </w:pPr>
    </w:p>
    <w:p>
      <w:pPr>
        <w:ind w:left="60" w:right="419" w:firstLine="225"/>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we had weather-related damages in Hilton Head, South Carolina. The Company’s insurance policy provides coverage for repairs and replacements. As part of the insurance settlement, the Company received cash proceeds of $55,000, resulting in a gain of $55,000, which is recorded in other income in the Company’s Condensed Consolidated Statement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Sale-Leaseback Transaction</w:t>
      </w:r>
    </w:p>
    <w:p>
      <w:pPr>
        <w:spacing w:after="0" w:line="229" w:lineRule="exact"/>
        <w:rPr>
          <w:sz w:val="20"/>
          <w:szCs w:val="20"/>
          <w:color w:val="auto"/>
        </w:rPr>
      </w:pPr>
    </w:p>
    <w:p>
      <w:pPr>
        <w:ind w:left="60" w:right="79" w:firstLine="135"/>
        <w:spacing w:after="0" w:line="252" w:lineRule="auto"/>
        <w:rPr>
          <w:sz w:val="20"/>
          <w:szCs w:val="20"/>
          <w:color w:val="auto"/>
        </w:rPr>
      </w:pPr>
      <w:r>
        <w:rPr>
          <w:rFonts w:ascii="Times New Roman" w:cs="Times New Roman" w:eastAsia="Times New Roman" w:hAnsi="Times New Roman"/>
          <w:sz w:val="18"/>
          <w:szCs w:val="18"/>
          <w:color w:val="auto"/>
        </w:rPr>
        <w:t>On October 17, 2025 (the “Closing Date”), the Company entered into an Asset Purchase Agreement (the “Purchase Agreement”) by and among the Company, GTC Uno, LLC (“GTC”) and certain of the Company’s subsidiaries (the “Subsidiaries”), under which the Subsidiaries agreed to sell 24 telecommunications towers and related real property and other assets located at 22 sites (the “GTC Assets”) for a total cash purchase price of approximately $10.7 million (the “Sale-Leaseback Transaction”). The Purchase Agreement contains customary representations and warranties made by the Company, GTC and the Subsidiaries. On the Closing Date, the parties closed on the sale of the 22 tower sites. Sales proceeds, net of brokerage commissions and certain adjustments, of approximately $10.1 million were paid to the Company, with the remaining purchase price of $400,000 remaining in escrow and not controlled by the Company as of year-end. Several towers had underlying land leases requiring consent to the sale by the land-owners. There was one tower with a consent pending as of year-end, as the other were received prior to the sale and three were received during the fourth quarter of 2025. The Company anticipates that the remaining escrowed funds will be released within the second quarter of 2026 upon receipt of landlord consent to assign the leases on the real property where the tower is located. To the extent such consent is not received, within eight months of the Closing Date, title for that site will revert to the applicable Subsidiary. Simultaneously with the closing, each Subsidiary entered into an Antenna Site Lease Agreement (a “Lease”) with GTC for the Company’s continued use of the towers that were sold, pursuant to which the Subsidiaries have agreed to make annual lease payments of $1.00 per annum. Each Lease has a term of 25 years.</w:t>
      </w:r>
    </w:p>
    <w:p>
      <w:pPr>
        <w:spacing w:after="0" w:line="195" w:lineRule="exact"/>
        <w:rPr>
          <w:sz w:val="20"/>
          <w:szCs w:val="20"/>
          <w:color w:val="auto"/>
        </w:rPr>
      </w:pPr>
    </w:p>
    <w:p>
      <w:pPr>
        <w:ind w:left="60" w:right="79" w:firstLine="225"/>
        <w:spacing w:after="0" w:line="281" w:lineRule="auto"/>
        <w:rPr>
          <w:sz w:val="20"/>
          <w:szCs w:val="20"/>
          <w:color w:val="auto"/>
        </w:rPr>
      </w:pPr>
      <w:r>
        <w:rPr>
          <w:rFonts w:ascii="Times New Roman" w:cs="Times New Roman" w:eastAsia="Times New Roman" w:hAnsi="Times New Roman"/>
          <w:sz w:val="17"/>
          <w:szCs w:val="17"/>
          <w:color w:val="auto"/>
        </w:rPr>
        <w:t>The Company evaluated the Sale-Leaseback transaction under the sale-leaseback guidance in ASC 842-40 and concluded that the transfer of the properties qualified as sales because control of the assets transferred to the buyer-lessor in accordance with the guidance in ASC 606, with the exception of the one tower pending receipt of consent. The Company evaluated the lease classification criteria in ASC 842 and determined that the leasebacks are classified as operating leases.</w:t>
      </w:r>
    </w:p>
    <w:p>
      <w:pPr>
        <w:spacing w:after="0" w:line="164" w:lineRule="exact"/>
        <w:rPr>
          <w:sz w:val="20"/>
          <w:szCs w:val="20"/>
          <w:color w:val="auto"/>
        </w:rPr>
      </w:pPr>
    </w:p>
    <w:p>
      <w:pPr>
        <w:ind w:left="60" w:right="79" w:firstLine="270"/>
        <w:spacing w:after="0" w:line="253" w:lineRule="auto"/>
        <w:rPr>
          <w:sz w:val="20"/>
          <w:szCs w:val="20"/>
          <w:color w:val="auto"/>
        </w:rPr>
      </w:pPr>
      <w:r>
        <w:rPr>
          <w:rFonts w:ascii="Times New Roman" w:cs="Times New Roman" w:eastAsia="Times New Roman" w:hAnsi="Times New Roman"/>
          <w:sz w:val="18"/>
          <w:szCs w:val="18"/>
          <w:color w:val="auto"/>
        </w:rPr>
        <w:t>As the contractual lease payments are nominal annual payments of $1 per lease, the present value of lease payments was not material and therefore no lease liability was recorded. In accordance with ASC 842, the Company determined that the Sale-Leaseback transaction was not at fair value based on the difference between the present value of the lease payments and the present value of market rental payments. As such, the Company adjusted the sales price of the assets to recognize the prepayment of the rent, which is included within the right-of-use assets recorded at the time of the sale and lease commencement. The prepaid rent is amortized on a straight-line basis over the 25-year lease terms and recognized within station operating expenses in the accompanying condensed consolidated statements of operations. The estimated market rent was based on comparable third-party leases, including rent escalation provisions and then discounted to present value using a rate of 9.75%. The difference between the present value of the contractual lease payments and the present value of market lease payments was determined to be $5.2 million. This amount was recorded as prepaid rent and added to the net cash proceeds of $9.85 million from the sale, after expenses, to determine the adjusted sales price of $15.1 million for purposes of calculating the gain on the sale. These proceeds do not include approximately $400,000 being held in escrow, noted above.</w:t>
      </w:r>
    </w:p>
    <w:p>
      <w:pPr>
        <w:spacing w:after="0" w:line="187" w:lineRule="exact"/>
        <w:rPr>
          <w:sz w:val="20"/>
          <w:szCs w:val="20"/>
          <w:color w:val="auto"/>
        </w:rPr>
      </w:pPr>
    </w:p>
    <w:p>
      <w:pPr>
        <w:ind w:left="60" w:right="79" w:firstLine="360"/>
        <w:spacing w:after="0" w:line="266" w:lineRule="auto"/>
        <w:rPr>
          <w:sz w:val="20"/>
          <w:szCs w:val="20"/>
          <w:color w:val="auto"/>
        </w:rPr>
      </w:pPr>
      <w:r>
        <w:rPr>
          <w:rFonts w:ascii="Times New Roman" w:cs="Times New Roman" w:eastAsia="Times New Roman" w:hAnsi="Times New Roman"/>
          <w:sz w:val="18"/>
          <w:szCs w:val="18"/>
          <w:color w:val="auto"/>
        </w:rPr>
        <w:t>At the time of the transaction, the carrying value of the towers was approximately $3.5 million for the 23 towers that closed as of December 31, 2025. The Company recognized a gain on sale of $11.6 million. This gain was included in other operating (income) expense, net during the year ended December 31, 2025.</w:t>
      </w:r>
    </w:p>
    <w:p>
      <w:pPr>
        <w:spacing w:after="0" w:line="176" w:lineRule="exact"/>
        <w:rPr>
          <w:sz w:val="20"/>
          <w:szCs w:val="20"/>
          <w:color w:val="auto"/>
        </w:rPr>
      </w:pPr>
    </w:p>
    <w:p>
      <w:pPr>
        <w:ind w:left="60" w:right="239" w:firstLine="225"/>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 of the prepaid rent included in the right-of-use asset associated with the sale-leaseback transaction was $5.1 million and $5.2 million, respectively.</w:t>
      </w:r>
    </w:p>
    <w:p>
      <w:pPr>
        <w:spacing w:after="0" w:line="162" w:lineRule="exact"/>
        <w:rPr>
          <w:sz w:val="20"/>
          <w:szCs w:val="20"/>
          <w:color w:val="auto"/>
        </w:rPr>
      </w:pPr>
    </w:p>
    <w:p>
      <w:pPr>
        <w:ind w:left="60" w:right="159" w:firstLine="225"/>
        <w:spacing w:after="0" w:line="282" w:lineRule="auto"/>
        <w:rPr>
          <w:sz w:val="20"/>
          <w:szCs w:val="20"/>
          <w:color w:val="auto"/>
        </w:rPr>
      </w:pPr>
      <w:r>
        <w:rPr>
          <w:rFonts w:ascii="Times New Roman" w:cs="Times New Roman" w:eastAsia="Times New Roman" w:hAnsi="Times New Roman"/>
          <w:sz w:val="18"/>
          <w:szCs w:val="18"/>
          <w:color w:val="auto"/>
        </w:rPr>
        <w:t>The activity related to the prepaid rent associated with the sale-leaseback transaction for the three months ended March 31, 2026 was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 at lease commencement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$ 5,244</w:t>
            </w:r>
          </w:p>
        </w:tc>
      </w:tr>
      <w:tr>
        <w:trPr>
          <w:trHeight w:val="21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expense (non-cash rent expense)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 at December 31,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$ 5,190</w:t>
            </w:r>
          </w:p>
        </w:tc>
      </w:tr>
      <w:tr>
        <w:trPr>
          <w:trHeight w:val="216"/>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expense (non-cash rent expense)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 at March 31, 2026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$ 5,135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Subsequent to March 31, 2026, in the second quarter of 2026, the Company entered into amendments to the existing Purchase Agreement and related lease arrangements (the “Amendments”) with GTC to align the previously executed documents with the intended economic substance of the transaction. Under the Amendments the Purchase Agreement was modified to provide for a $15.9 million purchase price which includes the $10.7 million up front cash payment that was previously received upon original closing, consistent with the original Purchase Agreement and new promissory notes totaling $5.2 million. In addition, the original lease agreements were modified to provide for market rent payments over the 25-year original lease terms.</w:t>
      </w:r>
    </w:p>
    <w:p>
      <w:pPr>
        <w:spacing w:after="0" w:line="162"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amendments to the lease arrangements have been evaluated and determined to represent lease modifications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Upon the modification of the lease agreements in Q2 of FY2026, the Company will record right-of-use assets and lease liabilities using the Company’s incremental borrowing rate on the date of modification. Based on the Amendments, the Sale Leaseback Transaction is determined to be at fair value as the present value of contractual lease payments equals the present value of market lease payments. As a result, the previously recognized prepaid rent of $5.2 million will be derecognized.</w:t>
      </w:r>
    </w:p>
    <w:p>
      <w:pPr>
        <w:spacing w:after="0" w:line="14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610-20 </w:t>
      </w:r>
      <w:r>
        <w:rPr>
          <w:rFonts w:ascii="Times New Roman" w:cs="Times New Roman" w:eastAsia="Times New Roman" w:hAnsi="Times New Roman"/>
          <w:sz w:val="18"/>
          <w:szCs w:val="18"/>
          <w:i w:val="1"/>
          <w:iCs w:val="1"/>
          <w:color w:val="auto"/>
        </w:rPr>
        <w:t>Other Income—Gains and Losses from the Derecognition of Nonfinancial Assets,</w:t>
      </w:r>
      <w:r>
        <w:rPr>
          <w:rFonts w:ascii="Times New Roman" w:cs="Times New Roman" w:eastAsia="Times New Roman" w:hAnsi="Times New Roman"/>
          <w:sz w:val="18"/>
          <w:szCs w:val="18"/>
          <w:color w:val="auto"/>
        </w:rPr>
        <w:t xml:space="preserve"> the notes receivable now included within the purchase price will be recorded at fair value in Q2 of FY2026 when the notes becomes enforceable. The notes receivable bears an interest rate of 9.3%, which is materially consistent to the Company’s incremental borrowing rate at the time of the Amendments. The lease payments under the amended lease agreements and principal and interest payments under the notes receivable are determinable and contractually consistent in amount and timing. The agreements include legally enforceable rights to offset, which both parties intend to exercise. As such, the notes receivable and operating lease liabilities based on the Amendments qualify for offsetting in accordance with ASC 210-20, </w:t>
      </w:r>
      <w:r>
        <w:rPr>
          <w:rFonts w:ascii="Times New Roman" w:cs="Times New Roman" w:eastAsia="Times New Roman" w:hAnsi="Times New Roman"/>
          <w:sz w:val="18"/>
          <w:szCs w:val="18"/>
          <w:i w:val="1"/>
          <w:iCs w:val="1"/>
          <w:color w:val="auto"/>
        </w:rPr>
        <w:t>Balance Sheet – Offsetting.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5455920</wp:posOffset>
            </wp:positionH>
            <wp:positionV relativeFrom="paragraph">
              <wp:posOffset>-992505</wp:posOffset>
            </wp:positionV>
            <wp:extent cx="28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14. Subsequent Events</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On May 6, 2026, the Company’s Board of Directors declared a quarterly cash dividend of $0.25 per share on its Class A Common Stock. This dividend, totaling approximately $1,600,000 will be paid on June 12, 2026 to shareholders of record on May 22, 2026.</w:t>
      </w:r>
    </w:p>
    <w:p>
      <w:pPr>
        <w:spacing w:after="0" w:line="135"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On May 7, 2026, the Company obtained a waiver from the lenders under its Credit Agreement with respect to the Company’s noncompliance with the minimum fixed charge coverage ratio covenant as of March 31, 2026. The waiver applies solely to the March 31, 2026 covenant noncompliance and does not modify the covenant requirements for future periods.</w:t>
      </w:r>
    </w:p>
    <w:p>
      <w:pPr>
        <w:spacing w:after="0" w:line="153"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See Note 13 – Sale-Leaseback Transaction for a discussion of certain Amendments to the Company’s Sale-Leaseback Transaction.</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2. Management’s Discussion and Analysis of Financial Condition and 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Forward-looking statements may be identified by the use of forward-looking terms such as “will,” “may,” “believes,” “intends,” “expects,” “anticipates,” “plans,” “estimates,” “guidance,” and similar expressions that are intended to identify forward-looking statements that are not historical facts. These statements are made as of the date of this report or as otherwise indicated, based on current expectations.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Future Factors include, among others, changes in national, regional and local economic conditions and advertising demand; shifts in audience behavior and listening habits; competition from traditional and non-traditional media, including digital, streaming and other online platforms; our ability to attract and retain advertising customers and to maintain or increase advertising rates; adverse changes in interest rates and interest rate relationships; our financial leverage, our ability to comply with debt covenants, and service our indebtedness; dependence on key personnel; dependence on key stations and the advertising revenue they generate; U.S. national and local economic conditions or an economic recession; market volatility; demand for our services; the degree of competition by traditional and non-traditional competitors; our ability to successfully integrate acquired stations; regulatory requirements including royalties we pay; variability in political advertising revenue due to election cycles, timing, candidate spending levels, regulatory developments, and advertising demand; our ability to execute our digital strategy, including our ability to deliver measurable outcomes across paid search, display, social and online news offerings; our ability to successfully implement and scale our consumer-journey focus (including “Click, Visit, Call and Search”) and to demonstrate value to customers; our ability to maintain and grow our “blended advertising” model and to integrate radio and digital solutions in a manner that is easy for advertisers to adopt; governmental and regulatory policy changes; changes in tax laws; the impact of technological advances; risks associated with cyber-attacks on our computer systems and those of our vendors; the outcomes of contingencies; trends in audience behavior; damage to our reputation resulting from adverse publicity, regulatory actions, litigation, and operational failures, the failure to meet client or listener expectations and other facts; changes in local real estate values; natural disasters; terrorist attacks; geopolitical conflicts, including conflicts in regions where we or our advertisers conduct business, the effects of widespread outbreak of illness or disease, inflation or deflation; our belief that our cash flow from operations will be sufficient to meet debt service requirements for payments of interest and scheduled payments of principal under our Credit Agreement if we borrow in the future; increased energy costs; and risk factors described in our annual report on Form 10-K for the year ended December 31, 2025 or elsewhere in this quarterly report. These are representative of the Future Factors that could cause a difference between an ultimate actual outcome and a forward-looking statement.</w:t>
      </w:r>
    </w:p>
    <w:p>
      <w:pPr>
        <w:spacing w:after="0" w:line="3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2025. The following discussion is presented on a consolidated basis.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2025.</w:t>
      </w:r>
    </w:p>
    <w:p>
      <w:pPr>
        <w:spacing w:after="0" w:line="14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impairment of intangible assets and impairment of goodwill). Station operating income is generally recognized by the broadcasting industry as a measure of performance, is used by analysts who report on the performance of the broadcasting industry, and it serves as an indicator of the market value of a group of stations. In addition, we use it to evaluate individual stations, market-level performance, overall operations and as a primary measure for incentive-based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 The most directly comparable GAAP measure to station operating income is operating income (loss).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We are a media company primarily engaged in acquiring, developing and operating broadcast properties including opportunities complementary to our core radio business including digital, e-commerce and non-traditional revenue initiatives. We actively seek and explore opportunities for expansion through the acquisition of additional broadcast properties. We review acquisition opportunities on an ongoing basis.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Radio Stations and Complementary Digital Marketing Services</w:t>
      </w:r>
    </w:p>
    <w:p>
      <w:pPr>
        <w:spacing w:after="0" w:line="202"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35"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Most advertising contracts are short-term and generally run for a few weeks only. The majority of our revenue is generated from local advertising, which is sold primarily by each radio market’s sales staff. For the three months ended March 31, 2026 and 2025, approximately 90% and 88%,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4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revenue varies throughout the year. Advertising expenditures, our primary source of revenue, generally have been lowest during the winter months, which include the first quarter of each year. Furthermore, political advertising revenue may fluctuate significantly from period to period and year to year based on election cycles, the timing and competitiveness of races within our markets, and advertiser spending patterns. While gross political revenue was not a significant factor in our first quarter results, we expect political advertising to increase in periods that include higher levels of election activity; however, the timing and amount of political revenue is difficult to predict and may vary materially from historical levels. Our gross political revenue for the three months ended March 31, 2026 and 2025 was $275,000 and $271,000, respectively. For the remainder of the year, we have approximately $1.1 million of gross political revenue sold for a total of $1.4 million of gross political revenue sold thus far for the entire year compared to $650,000 for 2025.</w:t>
      </w:r>
    </w:p>
    <w:p>
      <w:pPr>
        <w:spacing w:after="0" w:line="161"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Our net operating revenue, station operating expense and operating income varies from market to market based upon each market’s rank or size which is based upon population and the available radio advertising revenue in that particular market.</w:t>
      </w:r>
    </w:p>
    <w:p>
      <w:pPr>
        <w:spacing w:after="0" w:line="135" w:lineRule="exact"/>
        <w:rPr>
          <w:sz w:val="20"/>
          <w:szCs w:val="20"/>
          <w:color w:val="auto"/>
        </w:r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The broadcasting industry and advertising in general is influenced by the state of the overall economy, including unemployment rates, inflation, energy prices and consumer interest rates. Our stations primarily broadcast in small to midsize markets.</w:t>
      </w:r>
    </w:p>
    <w:p>
      <w:pPr>
        <w:spacing w:after="0" w:line="13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rates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pacing w:after="0" w:line="161"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spacing w:after="0" w:line="16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47"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The primary operating expenses involved in owning and operating radio stations are employee salaries and related benefits costs, sales commissions, programming expenses, depreciation, and advertising and promotion expenses.</w:t>
      </w:r>
    </w:p>
    <w:p>
      <w:pPr>
        <w:spacing w:after="0" w:line="99" w:lineRule="exact"/>
        <w:rPr>
          <w:sz w:val="20"/>
          <w:szCs w:val="20"/>
          <w:color w:val="auto"/>
        </w:rPr>
      </w:pPr>
    </w:p>
    <w:p>
      <w:pPr>
        <w:ind w:left="60" w:right="559" w:firstLine="324"/>
        <w:spacing w:after="0" w:line="266" w:lineRule="auto"/>
        <w:rPr>
          <w:sz w:val="20"/>
          <w:szCs w:val="20"/>
          <w:color w:val="auto"/>
        </w:rPr>
      </w:pPr>
      <w:r>
        <w:rPr>
          <w:rFonts w:ascii="Times New Roman" w:cs="Times New Roman" w:eastAsia="Times New Roman" w:hAnsi="Times New Roman"/>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216" w:lineRule="exact"/>
        <w:rPr>
          <w:sz w:val="20"/>
          <w:szCs w:val="20"/>
          <w:color w:val="auto"/>
        </w:rPr>
      </w:pPr>
    </w:p>
    <w:p>
      <w:pPr>
        <w:ind w:left="60" w:right="159" w:firstLine="315"/>
        <w:spacing w:after="0" w:line="266" w:lineRule="auto"/>
        <w:rPr>
          <w:sz w:val="20"/>
          <w:szCs w:val="20"/>
          <w:color w:val="auto"/>
        </w:rPr>
      </w:pPr>
      <w:r>
        <w:rPr>
          <w:rFonts w:ascii="Times New Roman" w:cs="Times New Roman" w:eastAsia="Times New Roman" w:hAnsi="Times New Roman"/>
          <w:sz w:val="18"/>
          <w:szCs w:val="18"/>
          <w:color w:val="auto"/>
        </w:rPr>
        <w:t>The advertising industry continues to evolve as businesses increasingly utilize multiple media channels to reach consumers. In response to these industry trends, we have expanded the range of advertising solutions offered to our clients to include both broadcast radio advertising and complementary digital marketing services.</w:t>
      </w:r>
    </w:p>
    <w:p>
      <w:pPr>
        <w:spacing w:after="0" w:line="216" w:lineRule="exact"/>
        <w:rPr>
          <w:sz w:val="20"/>
          <w:szCs w:val="20"/>
          <w:color w:val="auto"/>
        </w:rPr>
      </w:pPr>
    </w:p>
    <w:p>
      <w:pPr>
        <w:ind w:left="60" w:right="239" w:firstLine="270"/>
        <w:spacing w:after="0" w:line="258" w:lineRule="auto"/>
        <w:rPr>
          <w:sz w:val="20"/>
          <w:szCs w:val="20"/>
          <w:color w:val="auto"/>
        </w:rPr>
      </w:pPr>
      <w:r>
        <w:rPr>
          <w:rFonts w:ascii="Times New Roman" w:cs="Times New Roman" w:eastAsia="Times New Roman" w:hAnsi="Times New Roman"/>
          <w:sz w:val="18"/>
          <w:szCs w:val="18"/>
          <w:color w:val="auto"/>
        </w:rPr>
        <w:t>We continue to execute Saga’s digital strategy focused on the consumer journey. Our integrated (or “blended”) advertising approach allows advertisers to combine the reach and audience engagement of radio with digital advertising tools that enable more targeted consumer engagement and campaign measurement. These services include paid search advertising, targeted digital display advertising, streaming advertising, social media advertising, online video advertising, website-based advertising, on-line news services and other related digital marketing services.</w:t>
      </w:r>
    </w:p>
    <w:p>
      <w:pPr>
        <w:spacing w:after="0" w:line="210" w:lineRule="exact"/>
        <w:rPr>
          <w:sz w:val="20"/>
          <w:szCs w:val="20"/>
          <w:color w:val="auto"/>
        </w:rPr>
      </w:pPr>
    </w:p>
    <w:p>
      <w:pPr>
        <w:ind w:left="60" w:right="119" w:firstLine="270"/>
        <w:spacing w:after="0" w:line="253" w:lineRule="auto"/>
        <w:rPr>
          <w:sz w:val="20"/>
          <w:szCs w:val="20"/>
          <w:color w:val="auto"/>
        </w:rPr>
      </w:pPr>
      <w:r>
        <w:rPr>
          <w:rFonts w:ascii="Times New Roman" w:cs="Times New Roman" w:eastAsia="Times New Roman" w:hAnsi="Times New Roman"/>
          <w:sz w:val="18"/>
          <w:szCs w:val="18"/>
          <w:color w:val="auto"/>
        </w:rPr>
        <w:t>Paid search advertising campaigns are designed to reach consumers actively searching for products or services. Targeted digital display advertising campaigns are delivered through programmatic advertising platforms and allow advertisers to reach audiences based on geographic location, behavioral attributes, contextual relevance and other targeting parameters. Most of our radio stations are able to be streamed on third party music platforms and our customers advertise between songs played on the streaming service. Additionally, we have online news sites, where advertisers place web banners that link to the client’s website and other e-commerce initiatives. Performance within these digital product categories may vary based on consumer behavior, advertiser demand, and the effectiveness of our sales execution. We consider these categories part of our broader digital strategy to provide advertisers with measurable outcomes across multiple touchpoints in the consumer journey. For the three months ended March 31, 2026 and 2025, approximately 19% and 14%, respectively, of our radio stations’ gross revenue was from digital advertising.</w:t>
      </w:r>
    </w:p>
    <w:p>
      <w:pPr>
        <w:spacing w:after="0" w:line="235" w:lineRule="exact"/>
        <w:rPr>
          <w:sz w:val="20"/>
          <w:szCs w:val="20"/>
          <w:color w:val="auto"/>
        </w:rPr>
      </w:pPr>
    </w:p>
    <w:p>
      <w:pPr>
        <w:ind w:left="60" w:right="139" w:firstLine="315"/>
        <w:spacing w:after="0" w:line="253" w:lineRule="auto"/>
        <w:rPr>
          <w:sz w:val="20"/>
          <w:szCs w:val="20"/>
          <w:color w:val="auto"/>
        </w:rPr>
      </w:pPr>
      <w:r>
        <w:rPr>
          <w:rFonts w:ascii="Times New Roman" w:cs="Times New Roman" w:eastAsia="Times New Roman" w:hAnsi="Times New Roman"/>
          <w:sz w:val="18"/>
          <w:szCs w:val="18"/>
          <w:color w:val="auto"/>
        </w:rPr>
        <w:t>Our digital advertising services are supported by a centralized team of digital implementation specialists who work in conjunction with local market personnel to execute and optimize campaigns. Campaign performance is monitored throughout the duration of the advertising schedule and clients are generally provided periodic reports which may include impressions, clicks, website visits, calls generated and other campaign performance indicators. As part of our digital transformation strategy, we focus on a blended approach that combines broadcast radio with complementary digital products, including paid search and targeted digital display, to support the consumer journey. In evaluating progress, we monitor key operating metrics such as (i) growth in paid search and targeted display activity, (ii) the number of advertising accounts that purchase blended campaigns and related client retention, and (iii) changes in local direct advertising activity associated with blended campaigns. These operating metrics are intended to provide insight into our execution and adoption of our blended strategy, and may be influenced by factors such as overall advertising demand, our ability to train and retain personnel, competition, and client budget allocations.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15"/>
        <w:spacing w:after="0" w:line="266" w:lineRule="auto"/>
        <w:rPr>
          <w:sz w:val="20"/>
          <w:szCs w:val="20"/>
          <w:color w:val="auto"/>
        </w:rPr>
      </w:pPr>
      <w:r>
        <w:rPr>
          <w:rFonts w:ascii="Times New Roman" w:cs="Times New Roman" w:eastAsia="Times New Roman" w:hAnsi="Times New Roman"/>
          <w:sz w:val="18"/>
          <w:szCs w:val="18"/>
          <w:color w:val="auto"/>
        </w:rPr>
        <w:t>Our digital advertising services rely on a number of third-party technology platforms and advertising exchanges, including major search, social media and programmatic advertising providers. Changes in the policies, technologies or pricing structures of these platforms could affect the manner in which digital advertising services are delivered.</w:t>
      </w:r>
    </w:p>
    <w:p>
      <w:pPr>
        <w:spacing w:after="0" w:line="216" w:lineRule="exact"/>
        <w:rPr>
          <w:sz w:val="20"/>
          <w:szCs w:val="20"/>
          <w:color w:val="auto"/>
        </w:rPr>
      </w:pPr>
    </w:p>
    <w:p>
      <w:pPr>
        <w:ind w:left="60" w:right="259" w:firstLine="315"/>
        <w:spacing w:after="0" w:line="282" w:lineRule="auto"/>
        <w:rPr>
          <w:sz w:val="20"/>
          <w:szCs w:val="20"/>
          <w:color w:val="auto"/>
        </w:rPr>
      </w:pPr>
      <w:r>
        <w:rPr>
          <w:rFonts w:ascii="Times New Roman" w:cs="Times New Roman" w:eastAsia="Times New Roman" w:hAnsi="Times New Roman"/>
          <w:sz w:val="18"/>
          <w:szCs w:val="18"/>
          <w:color w:val="auto"/>
        </w:rPr>
        <w:t>We expect the use of integrated advertising strategies combining broadcast and digital media to continue evolving as advertisers seek broader reach, targeted messaging and measurable marketing outcomes.</w:t>
      </w:r>
    </w:p>
    <w:p>
      <w:pPr>
        <w:spacing w:after="0" w:line="202" w:lineRule="exact"/>
        <w:rPr>
          <w:sz w:val="20"/>
          <w:szCs w:val="20"/>
          <w:color w:val="auto"/>
        </w:rPr>
      </w:pPr>
    </w:p>
    <w:p>
      <w:pPr>
        <w:jc w:val="both"/>
        <w:ind w:left="60" w:right="519" w:firstLine="324"/>
        <w:spacing w:after="0" w:line="266" w:lineRule="auto"/>
        <w:rPr>
          <w:sz w:val="20"/>
          <w:szCs w:val="20"/>
          <w:color w:val="auto"/>
        </w:rPr>
      </w:pPr>
      <w:r>
        <w:rPr>
          <w:rFonts w:ascii="Times New Roman" w:cs="Times New Roman" w:eastAsia="Times New Roman" w:hAnsi="Times New Roman"/>
          <w:sz w:val="18"/>
          <w:szCs w:val="18"/>
          <w:color w:val="auto"/>
        </w:rPr>
        <w:t>We also continue to evaluate opportunities to increase operating efficiencies through technology and automation, including the use of artificial intelligence in certain content and operational workflows, where appropriate, to support efficiency and scalability.</w:t>
      </w:r>
    </w:p>
    <w:p>
      <w:pPr>
        <w:spacing w:after="0" w:line="135" w:lineRule="exact"/>
        <w:rPr>
          <w:sz w:val="20"/>
          <w:szCs w:val="20"/>
          <w:color w:val="auto"/>
        </w:rPr>
      </w:pPr>
    </w:p>
    <w:p>
      <w:pPr>
        <w:ind w:left="60" w:right="399"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and the years ended December 31, 2025 and 2024, our Charleston, South Carolina: Columbus, Ohio; Milwaukee, Wisconsin; Norfolk, Virginia and Portland, Maine markets, when combined, represented approximately 36%, 35%, 34% and 36%, respectively, of our consolidated net operating revenue. An adverse change in any of these radio markets or our relative market position in those markets could have a significant impact on our operating results as a whole.</w:t>
      </w:r>
    </w:p>
    <w:p>
      <w:pPr>
        <w:spacing w:after="0" w:line="143"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percentage of our consolidated net operating revenue represented by each of these markets:</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60" w:type="dxa"/>
            <w:vAlign w:val="bottom"/>
            <w:gridSpan w:val="8"/>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250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2360" w:type="dxa"/>
            <w:vAlign w:val="bottom"/>
            <w:gridSpan w:val="8"/>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Net Operating Revenue for</w:t>
            </w:r>
          </w:p>
        </w:tc>
        <w:tc>
          <w:tcPr>
            <w:tcW w:w="250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Net Operating Revenue</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gridSpan w:val="7"/>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the Three Months Ended</w:t>
            </w:r>
          </w:p>
        </w:tc>
        <w:tc>
          <w:tcPr>
            <w:tcW w:w="186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gridSpan w:val="2"/>
          </w:tcPr>
          <w:p>
            <w:pPr>
              <w:ind w:left="39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Charleston, South Carolina</w:t>
            </w:r>
          </w:p>
        </w:tc>
        <w:tc>
          <w:tcPr>
            <w:tcW w:w="580" w:type="dxa"/>
            <w:vAlign w:val="bottom"/>
          </w:tcPr>
          <w:p>
            <w:pPr>
              <w:spacing w:after="0"/>
              <w:rPr>
                <w:sz w:val="18"/>
                <w:szCs w:val="18"/>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660" w:type="dxa"/>
            <w:vAlign w:val="bottom"/>
          </w:tcPr>
          <w:p>
            <w:pPr>
              <w:spacing w:after="0"/>
              <w:rPr>
                <w:sz w:val="18"/>
                <w:szCs w:val="18"/>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680" w:type="dxa"/>
            <w:vAlign w:val="bottom"/>
          </w:tcPr>
          <w:p>
            <w:pPr>
              <w:spacing w:after="0"/>
              <w:rPr>
                <w:sz w:val="18"/>
                <w:szCs w:val="18"/>
                <w:color w:val="auto"/>
              </w:rPr>
            </w:pP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7 %</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7 %</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Milwaukee, Wisconsin</w:t>
            </w:r>
          </w:p>
        </w:tc>
        <w:tc>
          <w:tcPr>
            <w:tcW w:w="580" w:type="dxa"/>
            <w:vAlign w:val="bottom"/>
          </w:tcPr>
          <w:p>
            <w:pPr>
              <w:spacing w:after="0"/>
              <w:rPr>
                <w:sz w:val="18"/>
                <w:szCs w:val="18"/>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660" w:type="dxa"/>
            <w:vAlign w:val="bottom"/>
          </w:tcPr>
          <w:p>
            <w:pPr>
              <w:spacing w:after="0"/>
              <w:rPr>
                <w:sz w:val="18"/>
                <w:szCs w:val="18"/>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680" w:type="dxa"/>
            <w:vAlign w:val="bottom"/>
          </w:tcPr>
          <w:p>
            <w:pPr>
              <w:spacing w:after="0"/>
              <w:rPr>
                <w:sz w:val="18"/>
                <w:szCs w:val="18"/>
                <w:color w:val="auto"/>
              </w:rPr>
            </w:pP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Norfolk, Virginia</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 Maine</w:t>
            </w:r>
          </w:p>
        </w:tc>
        <w:tc>
          <w:tcPr>
            <w:tcW w:w="580" w:type="dxa"/>
            <w:vAlign w:val="bottom"/>
          </w:tcPr>
          <w:p>
            <w:pPr>
              <w:spacing w:after="0"/>
              <w:rPr>
                <w:sz w:val="20"/>
                <w:szCs w:val="20"/>
                <w:color w:val="auto"/>
              </w:rPr>
            </w:pP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660" w:type="dxa"/>
            <w:vAlign w:val="bottom"/>
          </w:tcPr>
          <w:p>
            <w:pPr>
              <w:spacing w:after="0"/>
              <w:rPr>
                <w:sz w:val="20"/>
                <w:szCs w:val="20"/>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680" w:type="dxa"/>
            <w:vAlign w:val="bottom"/>
          </w:tcPr>
          <w:p>
            <w:pPr>
              <w:spacing w:after="0"/>
              <w:rPr>
                <w:sz w:val="20"/>
                <w:szCs w:val="20"/>
                <w:color w:val="auto"/>
              </w:rPr>
            </w:pP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-842645</wp:posOffset>
            </wp:positionV>
            <wp:extent cx="564896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5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and 2025 and the years ended December 31, 2025 and 2024, the radio stations in our five largest markets, when combined, represented approximately 60%, 51%, 39% and 40%, respectively, of our consolidated station operating income. The following table describes the percentage of our consolidated station operating income represented by each of these markets: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262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Percentage of Consolidated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520" w:type="dxa"/>
            <w:vAlign w:val="bottom"/>
            <w:gridSpan w:val="8"/>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Station Operating Income (*)</w:t>
            </w:r>
          </w:p>
        </w:tc>
        <w:tc>
          <w:tcPr>
            <w:tcW w:w="262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Station Operating Income(*)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9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7"/>
              </w:rPr>
              <w:t>for the Years Ended</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20"/>
                <w:szCs w:val="20"/>
                <w:color w:val="auto"/>
              </w:rPr>
            </w:pP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2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8"/>
                <w:szCs w:val="18"/>
                <w:color w:val="auto"/>
              </w:rPr>
            </w:pPr>
          </w:p>
        </w:tc>
        <w:tc>
          <w:tcPr>
            <w:tcW w:w="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Charleston, South Carolina</w:t>
            </w:r>
          </w:p>
        </w:tc>
        <w:tc>
          <w:tcPr>
            <w:tcW w:w="6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580" w:type="dxa"/>
            <w:vAlign w:val="bottom"/>
          </w:tcPr>
          <w:p>
            <w:pPr>
              <w:spacing w:after="0"/>
              <w:rPr>
                <w:sz w:val="18"/>
                <w:szCs w:val="18"/>
                <w:color w:val="auto"/>
              </w:rPr>
            </w:pP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8 %</w:t>
            </w:r>
          </w:p>
        </w:tc>
        <w:tc>
          <w:tcPr>
            <w:tcW w:w="84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Columbus, Ohio</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(29)%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Milwaukee, Wisconsin</w:t>
            </w:r>
          </w:p>
        </w:tc>
        <w:tc>
          <w:tcPr>
            <w:tcW w:w="620" w:type="dxa"/>
            <w:vAlign w:val="bottom"/>
          </w:tcPr>
          <w:p>
            <w:pPr>
              <w:spacing w:after="0"/>
              <w:rPr>
                <w:sz w:val="18"/>
                <w:szCs w:val="18"/>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58 %</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31 %</w:t>
            </w: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19 %</w:t>
            </w:r>
          </w:p>
        </w:tc>
        <w:tc>
          <w:tcPr>
            <w:tcW w:w="840" w:type="dxa"/>
            <w:vAlign w:val="bottom"/>
          </w:tcPr>
          <w:p>
            <w:pPr>
              <w:spacing w:after="0"/>
              <w:rPr>
                <w:sz w:val="18"/>
                <w:szCs w:val="18"/>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Norfolk, Virginia</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4 %</w:t>
            </w:r>
          </w:p>
        </w:tc>
        <w:tc>
          <w:tcPr>
            <w:tcW w:w="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Portland, Maine</w:t>
            </w:r>
          </w:p>
        </w:tc>
        <w:tc>
          <w:tcPr>
            <w:tcW w:w="620" w:type="dxa"/>
            <w:vAlign w:val="bottom"/>
          </w:tcPr>
          <w:p>
            <w:pPr>
              <w:spacing w:after="0"/>
              <w:rPr>
                <w:sz w:val="20"/>
                <w:szCs w:val="20"/>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9 %</w:t>
            </w:r>
          </w:p>
        </w:tc>
        <w:tc>
          <w:tcPr>
            <w:tcW w:w="580" w:type="dxa"/>
            <w:vAlign w:val="bottom"/>
          </w:tcPr>
          <w:p>
            <w:pPr>
              <w:spacing w:after="0"/>
              <w:rPr>
                <w:sz w:val="20"/>
                <w:szCs w:val="20"/>
                <w:color w:val="auto"/>
              </w:rPr>
            </w:pP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7 %</w:t>
            </w:r>
          </w:p>
        </w:tc>
        <w:tc>
          <w:tcPr>
            <w:tcW w:w="840" w:type="dxa"/>
            <w:vAlign w:val="bottom"/>
          </w:tcPr>
          <w:p>
            <w:pPr>
              <w:spacing w:after="0"/>
              <w:rPr>
                <w:sz w:val="20"/>
                <w:szCs w:val="20"/>
                <w:color w:val="auto"/>
              </w:rPr>
            </w:pPr>
          </w:p>
        </w:tc>
        <w:tc>
          <w:tcPr>
            <w:tcW w:w="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right="119" w:hanging="330"/>
        <w:spacing w:after="0" w:line="289" w:lineRule="auto"/>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Station operating income is operating income adjusted for corporate general and administrative expenses, depreciation and amortization, other operating (income) expenses, impairment of goodwill and impairment of intangible assets (a non-GAAP measure). Markets may reflect negative percentages when station operating income is negative.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8"/>
              </w:rPr>
              <w:t>$ Increase</w:t>
            </w:r>
          </w:p>
        </w:tc>
        <w:tc>
          <w:tcPr>
            <w:tcW w:w="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1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28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200" w:type="dxa"/>
            <w:vAlign w:val="bottom"/>
            <w:gridSpan w:val="2"/>
            <w:vMerge w:val="continue"/>
          </w:tcPr>
          <w:p>
            <w:pPr>
              <w:spacing w:after="0"/>
              <w:rPr>
                <w:sz w:val="11"/>
                <w:szCs w:val="11"/>
                <w:color w:val="auto"/>
              </w:rPr>
            </w:pPr>
          </w:p>
        </w:tc>
        <w:tc>
          <w:tcPr>
            <w:tcW w:w="100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7"/>
              </w:rPr>
              <w:t>except percentages</w:t>
            </w:r>
          </w:p>
        </w:tc>
        <w:tc>
          <w:tcPr>
            <w:tcW w:w="1020" w:type="dxa"/>
            <w:vAlign w:val="bottom"/>
            <w:gridSpan w:val="4"/>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and per share</w:t>
            </w: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information)</w:t>
            </w:r>
          </w:p>
        </w:tc>
        <w:tc>
          <w:tcPr>
            <w:tcW w:w="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revenue</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w:t>
            </w: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(1,345)</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Station operating expenses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139.1 %</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4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976.5 %</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(diluted)</w:t>
            </w:r>
          </w:p>
        </w:tc>
        <w:tc>
          <w:tcPr>
            <w:tcW w:w="1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(52.0)</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three months ended March 31, 2026, consolidated net operating revenue was $22,867,000 compared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$24,212,000 for the three months ended March 31, 2025, a decrease of $1,345,000 or 5.6%. The decrease was primarily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result of decreases in gross local revenue, gross national revenue, gross other income of $1,716,000, $247,000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$197,000 respectively partially offset by increases in gross digital revenue of $879,000 for the comparable period of 2025.</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most significant decreases in gross local revenue were at our Asheville, North Carolina, Columbus, Ohio; Des Moines,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Iowa and Ocala, Florida markets. The significant decreases in gross local revenue were partially offset by increases in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local e-commerce revenue which was up $100,000 or 23%. The markets with the most significant decreases in gross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national revenue were at our Columbus, Ohio; Des Moines, Iowa; Manchester, New Hampshire and Norfolk, Virginia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markets. The decrease in other income is primarily related to the tower lease income the Company is no longer receiving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the tower sale discussed in Note 13 as part of the Company’s capital allocation plan to sell non-core assets.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gross digital revenue is primarily due to an increase in our digital services revenue of $1,090,000, which is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comprised of display, which increased $636,000 or 120%, search, which increased $378,000 or 105%, and other digital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services which includes OTT/CTV campaigns, social media campaigns, best of digital, search engine optimization,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managed email, which combined increased $63,000 or 19% and an increase in mobile streaming of $82,000 or 116%,</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 a decline in our national streaming revenue of $197,000 or 32%, local streaming revenue of $50,000 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 and online news revenue of $44,000 or 7% .</w:t>
      </w:r>
    </w:p>
    <w:p>
      <w:pPr>
        <w:spacing w:after="0" w:line="166"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Station operating expense was $22,012,000 for the three months ended March 31, 2026, compared with $21,963,000 for the three months ended March 31, 2025, an increase of $49,000 or 0.2%. The increase in station operating expense was primarily the result of increases in digital services expenses, FCC related fees and sales survey expenses of $613,000, $105,000 and $60,000, respectively, partially offset by decreases in compensation-related expenses, and advertising and promotional expenses of $678,000 and $93,000, respectively for the comparable period of 2025. The increases in our digital services expenses relate to the investment we are making in our digital fulfillment team and digital campaign managers, as well as the cost of the digital service products. For 2026, we expect our digital service expenses to increase approximately $1 million to cover these additional hires. We are also investing in local sales managers at several of our markets, which we expect to increase station operating expense approximately $500,000 in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had an operating loss for the three months ended March 31, 2026 of $3,262,000 compared to an operating loss of $2,298,000 for the three months ended March 31, 2025, an increase in the loss of $964,000. The increase was a result of the decrease in net operating revenue and a minor increase in station operating expense, as noted above, partially offset by a decrease in corporate general and administrative expenses of $191,000, a decrease in depreciation and amortization of $152,000 and by a decrease in other operating expense of $87,000. The decrease in corporate general and administrative expenses was primarily comprised of decreases in additional expenses related to shareholder activism and a potential proxy contest of $110,000 in 2025 and a decrease in travel expense of approximately $82,000. The decrease in depreciation and amortization is primarily attributable to a reduction in assets as a result of the tower sale described in Note 13. In 2026, we recorded a gain on the sale of fixed assets and intangibles of $33,000 compared to a loss on the sale of fixed assets of $54,000 in 2025. The gain on the sale of fixed assets is primarily related to the sale of a property in Springfield, Massachusetts as described in Note 12.</w:t>
      </w:r>
    </w:p>
    <w:p>
      <w:pPr>
        <w:spacing w:after="0" w:line="16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We generated a net loss of $2,394,000 ($ (0.38) per share on a fully diluted basis) during the three months ended March 31, 2026, compared to a net loss of $1,575,000 ($ (0.25) per share on a fully diluted basis) for the three months ended March 31, 2025, an increase in the net loss of $819,000. The decrease in net income or increase in net loss is primarily due to the decrease in operating income, described above, a decrease in interest expense of $16,000, an increase in interest income of $12,000, an increase in other income of $32,000, and an increase in income tax benefit of $85,000. The decrease in interest expense is due to a decrease in our interest rates. The increase in our interest income is due to a higher cash on hand balance during the period. The increase in other income was due to insurance proceeds. The increase in the tax benefit is due to the increase in our loss before income taxes in 2026.</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 and Debt Service Requirements</w:t>
      </w:r>
    </w:p>
    <w:p>
      <w:pPr>
        <w:spacing w:after="0" w:line="20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Sale-Leaseback Transaction described in Note 13 to the accompanying consolidated financial statements, the Company entered into a Fourth Amendment (“Fourth Amendment”) to its Credit Agreement, dated as of August 18, 2015 and amended on September 1, 2017, June 17, 2018, and December 19, 2022, between the Company, JPMorgan Chase Bank, N.A. and The Huntington National Bank (collectively, the “Lenders”), and JPMorgan Chase Bank, N.A., in its capacity as Administrative Agent for the Lenders (“Agent”), (i) reducing the aggregate amount of the Lender’s revolving commitments from $50,000,000 to $40,000,000, and (ii) releasing the Agent’s security interest in the GTC Assets, but not any proceeds paid for the GTC Assets or any other collateral (the borrowing arrangement governed by the Credit Agreement). Previously, on December 19, 2022, we entered into a Third Amendment to our Credit Agreement, (the “Third Amendment”), which extended the maturity date to December 19, 2027, reduced the lenders to JPMorgan Chase Bank, N.A., and the Huntington National Bank (collectively, the “Lenders”), established an interest rate equal to the secured overnight financing rate (“SOFR”) as administered by the SOFR Administrator (currently established as the Federal Reserve Bank of New York) as the interest base and increased the basis points.</w:t>
      </w:r>
    </w:p>
    <w:p>
      <w:pPr>
        <w:spacing w:after="0" w:line="149"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have pledged substantially all of our assets (excluding our FCC licenses and certain other assets) in support of the Credit Agreement and each of our subsidiaries has guaranteed the Credit Agreement and has pledged substantially all of their assets (excluding their FCC licenses and certain other assets) in support of the Credit Agreement.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rates under the Credit Agreement are payable, at our option, at alternatives equal to SOFR (3.68% at</w:t>
      </w:r>
    </w:p>
    <w:p>
      <w:pPr>
        <w:spacing w:after="0" w:line="2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March 31, 2026), plus 1% to 2% or the base rate plus 0% to 1%. The spread over SOFR and the base rate vary from time to time, depending upon our financial leverage. Letters of credit issued under the Credit Agreement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Agreement. We previously paid quarterly commitment fees of 0.2% to 0.3% per annum on the unused portion of the Credit Agreement.</w:t>
      </w:r>
    </w:p>
    <w:p>
      <w:pPr>
        <w:spacing w:after="0" w:line="163"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contains a number of financial covenants which, among other things, require us to maintain specified financial ratios and impose certain limitations on us with respect to investments, additional indebtedness, dividends, distributions, guarantees, liens and encumbrances.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was not in compliance with the minimum fixed charge coverage ratio covenant under its Credit Agreement which requires the Company to maintain a minimum fixed charge coverage ratio of 1.15 to 1.00 at the end of each fiscal quarter. At March 31, 2026, the Company’s fixed charge coverage ratio was 0.92 to 1.00, constituting an event of default under the Credit Agreement.</w:t>
      </w:r>
    </w:p>
    <w:p>
      <w:pPr>
        <w:spacing w:after="0" w:line="153" w:lineRule="exact"/>
        <w:rPr>
          <w:sz w:val="20"/>
          <w:szCs w:val="20"/>
          <w:color w:val="auto"/>
        </w:rPr>
      </w:pPr>
    </w:p>
    <w:p>
      <w:pPr>
        <w:jc w:val="both"/>
        <w:ind w:left="60" w:right="499" w:firstLine="315"/>
        <w:spacing w:after="0" w:line="266" w:lineRule="auto"/>
        <w:rPr>
          <w:sz w:val="20"/>
          <w:szCs w:val="20"/>
          <w:color w:val="auto"/>
        </w:rPr>
      </w:pPr>
      <w:r>
        <w:rPr>
          <w:rFonts w:ascii="Times New Roman" w:cs="Times New Roman" w:eastAsia="Times New Roman" w:hAnsi="Times New Roman"/>
          <w:sz w:val="18"/>
          <w:szCs w:val="18"/>
          <w:color w:val="auto"/>
        </w:rPr>
        <w:t>On May 7, 2026, the Company obtained a waiver from its lenders for this covenant violation (the “Waiver”). The Waiver applies solely to the noncompliance as of March 31, 2026 and does not modify the covenant requirements for future periods unless otherwise amended.</w:t>
      </w:r>
    </w:p>
    <w:p>
      <w:pPr>
        <w:spacing w:after="0" w:line="176" w:lineRule="exact"/>
        <w:rPr>
          <w:sz w:val="20"/>
          <w:szCs w:val="20"/>
          <w:color w:val="auto"/>
        </w:rPr>
      </w:pPr>
    </w:p>
    <w:p>
      <w:pPr>
        <w:ind w:left="60" w:right="179" w:firstLine="315"/>
        <w:spacing w:after="0" w:line="256" w:lineRule="auto"/>
        <w:rPr>
          <w:sz w:val="20"/>
          <w:szCs w:val="20"/>
          <w:color w:val="auto"/>
        </w:rPr>
      </w:pPr>
      <w:r>
        <w:rPr>
          <w:rFonts w:ascii="Times New Roman" w:cs="Times New Roman" w:eastAsia="Times New Roman" w:hAnsi="Times New Roman"/>
          <w:sz w:val="18"/>
          <w:szCs w:val="18"/>
          <w:color w:val="auto"/>
        </w:rPr>
        <w:t>We are currently in discussions with the Lenders regarding a potential amendment to the Credit Agreement to, among other things, modify the fixed charge coverage ratio covenant calculation going forward. However, there can be no assurance that we will be able to negotiate such an amendment. If we are unable to obtain an amendment or otherwise comply with the covenant in future periods, the Lenders would have the right to declare all outstanding borrowings under the Credit Agreement immediately due and payable. Our intent would be to pay-off the outstanding indebtedness using existing cash and cash equivalents, which we believe are sufficient for our short-term and long-term cash requirements.</w:t>
      </w:r>
    </w:p>
    <w:p>
      <w:pPr>
        <w:spacing w:after="0" w:line="187"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We have $5,000,000 debt outstanding at December 31, 2025 and March 31, 2026 that we borrowed in conjunction with our Lafayette acquisition.</w:t>
      </w:r>
    </w:p>
    <w:p>
      <w:pPr>
        <w:spacing w:after="0" w:line="162"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We have approximately $35 million of unused borrowing capacity under the Revolving Credit Agreement at both March 31, 2026 and December 31, 2025.</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8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we had net cash flows from operating activities of $407,000 and $1,364,000, respectively. We believe that cash flow from operations will be sufficient to meet quarterly debt service requirements for payments of interest and scheduled payments of principal under our Credit Agreement if we borrow in the future. However, if such cash flow is not sufficient, we may be required to sell additional equity securities, refinance our obligations or dispose of one or more of our properties in order to make such scheduled payments. There can be no assurance that we would be able to effect any such transactions on favorable terms, if at all.</w:t>
      </w:r>
    </w:p>
    <w:p>
      <w:pPr>
        <w:spacing w:after="0" w:line="147"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In March 2013, our Board of Directors authorized an increase to our Stock Buy-Back Program (the “Buy-Back Program”) to allow us to purchase up to $75.8 million of our Class A Common Stock. From its inception in 1998 through March 31, 2026, we have repurchased 2.4 million shares of our Class A Common Stock for $60.6 million. During the three months ended March 31, 2026, approximately 1,067 shares were retained for payment of withholding taxes for approximately $13,000 related to the vesting of restricted stock. We continue to monitor economic conditions to determine if and when it makes sense to make additional buybacks under our plan.</w:t>
      </w:r>
    </w:p>
    <w:p>
      <w:pPr>
        <w:spacing w:after="0" w:line="160" w:lineRule="exact"/>
        <w:rPr>
          <w:sz w:val="20"/>
          <w:szCs w:val="20"/>
          <w:color w:val="auto"/>
        </w:rPr>
      </w:pPr>
    </w:p>
    <w:p>
      <w:pPr>
        <w:ind w:left="60" w:right="539" w:firstLine="324"/>
        <w:spacing w:after="0" w:line="266" w:lineRule="auto"/>
        <w:rPr>
          <w:sz w:val="20"/>
          <w:szCs w:val="20"/>
          <w:color w:val="auto"/>
        </w:rPr>
      </w:pPr>
      <w:r>
        <w:rPr>
          <w:rFonts w:ascii="Times New Roman" w:cs="Times New Roman" w:eastAsia="Times New Roman" w:hAnsi="Times New Roman"/>
          <w:sz w:val="18"/>
          <w:szCs w:val="18"/>
          <w:color w:val="auto"/>
        </w:rPr>
        <w:t>Our capital expenditures, exclusive of acquisitions, for the three months ended March 31, 2026 were $779,000 ($696,000 in 2025). We anticipate capital expenditures in 2026 to be approximately $3.5 million, which we expect to finance through funds generated from operations.</w:t>
      </w:r>
    </w:p>
    <w:p>
      <w:pPr>
        <w:spacing w:after="0" w:line="135" w:lineRule="exact"/>
        <w:rPr>
          <w:sz w:val="20"/>
          <w:szCs w:val="20"/>
          <w:color w:val="auto"/>
        </w:rPr>
      </w:pPr>
    </w:p>
    <w:p>
      <w:pPr>
        <w:ind w:left="60" w:right="139" w:firstLine="360"/>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as part of the Company’s previously disclosed capital allocation plan to sell non-core assets, the Company sold a property in Springfield, Massachusetts for approximately $460,000. As a result of the sale, the Company recorded a gain of approximately $80,000, which is recorded in other operating (income) expense, net in the Company’s Condensed Consolidated Statement of Operations.</w:t>
      </w:r>
    </w:p>
    <w:p>
      <w:pPr>
        <w:spacing w:after="0" w:line="139" w:lineRule="exact"/>
        <w:rPr>
          <w:sz w:val="20"/>
          <w:szCs w:val="20"/>
          <w:color w:val="auto"/>
        </w:rPr>
      </w:pPr>
    </w:p>
    <w:p>
      <w:pPr>
        <w:ind w:left="60" w:right="59" w:firstLine="31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Company’s Board of Directors declared a quarterly cash dividend on its Class A Common Stock. This dividend totaling approximately $1.6 million was paid during the first quarter of 2026.</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Company’s Board of Directors declared a quarterly cash dividend on its Class A Common Stock. This dividend totaling approximately $1.6 million was paid during the first quarter of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anticipate that any future acquisitions of radio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Summary Disclosures About Contractual Obligations and Commercial Commitments</w:t>
      </w:r>
    </w:p>
    <w:p>
      <w:pPr>
        <w:spacing w:after="0" w:line="189" w:lineRule="exact"/>
        <w:rPr>
          <w:sz w:val="20"/>
          <w:szCs w:val="20"/>
          <w:color w:val="auto"/>
        </w:rPr>
      </w:pPr>
    </w:p>
    <w:p>
      <w:pPr>
        <w:ind w:left="60" w:right="519" w:firstLine="324"/>
        <w:spacing w:after="0" w:line="258" w:lineRule="auto"/>
        <w:rPr>
          <w:sz w:val="20"/>
          <w:szCs w:val="20"/>
          <w:color w:val="auto"/>
        </w:rPr>
      </w:pPr>
      <w:r>
        <w:rPr>
          <w:rFonts w:ascii="Times New Roman" w:cs="Times New Roman" w:eastAsia="Times New Roman" w:hAnsi="Times New Roman"/>
          <w:sz w:val="18"/>
          <w:szCs w:val="18"/>
          <w:color w:val="auto"/>
        </w:rPr>
        <w:t>We have future cash obligations under various types of contracts, including the terms of our Credit Agreement,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2025.</w:t>
      </w:r>
    </w:p>
    <w:p>
      <w:pPr>
        <w:spacing w:after="0" w:line="143" w:lineRule="exact"/>
        <w:rPr>
          <w:sz w:val="20"/>
          <w:szCs w:val="20"/>
          <w:color w:val="auto"/>
        </w:rPr>
      </w:pPr>
    </w:p>
    <w:p>
      <w:pPr>
        <w:ind w:left="60" w:right="639"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our contractual cash obligations will be financed through funds generated from operations or additional borrowings under the Credit Agreement, or a combination thereof.</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2 to the accompanying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3. Quantitative and Qualitative Disclosures about Market Risk</w:t>
      </w:r>
    </w:p>
    <w:p>
      <w:pPr>
        <w:spacing w:after="0" w:line="202"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2025 for a complete discussion of our market risk. There have been no material changes to the market risk information included in our 2025 annual report on Form 10-K.</w:t>
      </w: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4. Controls and Procedures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Company’s management, including our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Security and Exchange Commission’s rules and forms. There have been no changes in the Company’s internal controls over financial reporting during the quarter ended March 31, 2026, that have materially affected, or are reasonably likely to materially affect, the Company’s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1. Legal Proceedings</w:t>
      </w:r>
    </w:p>
    <w:p>
      <w:pPr>
        <w:spacing w:after="0" w:line="189"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1A. Risk Factors</w:t>
      </w:r>
    </w:p>
    <w:p>
      <w:pPr>
        <w:spacing w:after="0" w:line="202"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below, there have been no material changes to the risk factors previously disclosed in response to Part 1, “Item 1A. Risk Factors,” of our annual report on Form 10-K for the year ended December 31, 2025.</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Debt Covenants Restrict our Financial and Operational Flexibility</w:t>
      </w:r>
    </w:p>
    <w:p>
      <w:pPr>
        <w:spacing w:after="0" w:line="189"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Our credit agreement contains a number of financial covenants which, among other things, require us to maintain specified financial ratios and impose certain limitations on us with respect to investments, additional indebtedness, dividends, distributions, guarantees, liens and encumbrances. Our ability to meet these financial ratios can be affected by operating performance or other events beyond our control, and we cannot assure you that we will meet those ratios.</w:t>
      </w:r>
    </w:p>
    <w:p>
      <w:pPr>
        <w:spacing w:after="0" w:line="15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As of March 31, 2026, the Company was not in compliance with the minimum fixed charge coverage ratio covenant under its Credit Agreement. On May 7, 2026, the Company obtained a waiver from its lenders for this covenant violation (the “Waiver”). The Waiver applies solely to the noncompliance as of March 31, 2026 and does not modify the covenant requirements for future periods unless otherwise amended. We are currently in discussions with the Lenders regarding a potential amendment to the Credit Agreement to, among other things, modify the fixed charge coverage ratio covenant calculation going forward. However, there can be no assurance that we will be able to negotiate such an amendment. If we are unable to obtain an amendment or otherwise comply with our financial covenants in future periods, the Lenders would have the right to declare all outstanding borrowings under the Credit Agreement immediately due and payable. A failure to obtain an amendment or maintain compliance could result in the lenders exercising remedies under credit facility, which could adversely affect our ability to use the credit facility for future acquisitions or other capital initiatives.</w:t>
      </w:r>
    </w:p>
    <w:p>
      <w:pPr>
        <w:spacing w:after="0" w:line="150" w:lineRule="exact"/>
        <w:rPr>
          <w:sz w:val="20"/>
          <w:szCs w:val="20"/>
          <w:color w:val="auto"/>
        </w:rPr>
      </w:pPr>
    </w:p>
    <w:p>
      <w:pPr>
        <w:ind w:left="60" w:right="53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Scale Digital Revenue Using Historical Relationships with Our Radio Advertisers and Creating New Relationships with Digital Advertisers</w:t>
      </w:r>
    </w:p>
    <w:p>
      <w:pPr>
        <w:spacing w:after="0" w:line="118"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Part of our strategy is to continue to broaden our existing revenue verticals related to our core radio advertisers to include digital advertising services that will complement our existing radio platform. This transition will require retaining and hiring individuals that we can train and develop to perform all the leadership, sales, accounting, technical and implementation activities required to be successful in this expansion of advertising services.</w:t>
      </w:r>
    </w:p>
    <w:p>
      <w:pPr>
        <w:spacing w:after="0" w:line="153"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We believe we have achieved initial success in developing and deploying digital advertising services. Our continued success relies on expanding our digital advertising transformation quickly and effectively, in accordance with the rate of decline of traditional radio advertising demand. Despite initial success, we face significant risks in adapting digital products, attracting and training talent, and scaling digital revenue. Intense competition from digital-native platforms and changes in consumer behavior may hinder our progress. Failure to continue this transformation effectively, efficiently, and timely could lead to increased costs, a reduction in revenue, and adverse effects on our financial condition and competitive position.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2. Unregistered Sales of Equity Securities and Use of Proceeds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made no unregistered sales of equity securities during the quarter ended March 31, 2026.</w:t>
      </w:r>
    </w:p>
    <w:p>
      <w:pPr>
        <w:spacing w:after="0" w:line="185"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repurchases of our Class A Common Stock during the three months ended March 31, 2026. Shares repurchased during the quarter were from the retention of shares for the payment of withholding taxes related to the vesting of restricted stock under the Buy-Back Program.</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that May Yet be</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08"/>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4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b w:val="1"/>
                <w:bCs w:val="1"/>
                <w:color w:val="auto"/>
                <w:vertAlign w:val="superscript"/>
              </w:rPr>
              <w:t>(1) (3)</w:t>
            </w:r>
          </w:p>
        </w:tc>
        <w:tc>
          <w:tcPr>
            <w:tcW w:w="840" w:type="dxa"/>
            <w:vAlign w:val="bottom"/>
            <w:gridSpan w:val="3"/>
          </w:tcPr>
          <w:p>
            <w:pPr>
              <w:jc w:val="right"/>
              <w:spacing w:after="0" w:line="246"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6"/>
                <w:szCs w:val="26"/>
                <w:b w:val="1"/>
                <w:bCs w:val="1"/>
                <w:color w:val="auto"/>
                <w:vertAlign w:val="superscript"/>
              </w:rPr>
              <w:t>(2)</w:t>
            </w:r>
          </w:p>
        </w:tc>
        <w:tc>
          <w:tcPr>
            <w:tcW w:w="1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Program</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center"/>
              <w:ind w:right="10"/>
              <w:spacing w:after="0" w:line="246" w:lineRule="exact"/>
              <w:rPr>
                <w:sz w:val="20"/>
                <w:szCs w:val="20"/>
                <w:color w:val="auto"/>
              </w:rPr>
            </w:pPr>
            <w:r>
              <w:rPr>
                <w:rFonts w:ascii="Times New Roman" w:cs="Times New Roman" w:eastAsia="Times New Roman" w:hAnsi="Times New Roman"/>
                <w:sz w:val="18"/>
                <w:szCs w:val="18"/>
                <w:b w:val="1"/>
                <w:bCs w:val="1"/>
                <w:color w:val="auto"/>
                <w:w w:val="93"/>
              </w:rPr>
              <w:t xml:space="preserve">Program </w:t>
            </w:r>
            <w:r>
              <w:rPr>
                <w:rFonts w:ascii="Times New Roman" w:cs="Times New Roman" w:eastAsia="Times New Roman" w:hAnsi="Times New Roman"/>
                <w:sz w:val="26"/>
                <w:szCs w:val="26"/>
                <w:b w:val="1"/>
                <w:bCs w:val="1"/>
                <w:color w:val="auto"/>
                <w:w w:val="93"/>
                <w:vertAlign w:val="superscript"/>
              </w:rPr>
              <w:t>(3)</w:t>
            </w: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15,153,267</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15,153,267</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15,140,474</w:t>
            </w: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15,140,474</w:t>
            </w:r>
          </w:p>
        </w:tc>
      </w:tr>
      <w:tr>
        <w:trPr>
          <w:trHeight w:val="20"/>
        </w:trPr>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20" w:right="159" w:hanging="319"/>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may repurchase shares of our Class A Common Stock pursuant to our publicly announced share repurchase program through open market purchases, privately negotiated transactions, or pursuant to a trading plan adopted under Rule 10b5-1 under the Exchange Act. Of the shares reported as purchased shares during the quarter, 1,067 were forfeited to the Company for payment of tax withholding obligations.</w:t>
      </w:r>
    </w:p>
    <w:p>
      <w:pPr>
        <w:spacing w:after="0" w:line="2"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as applicable, reflects (i) the amount privately negotiated and (ii) the fair market value of our Class A Common Stock on the applicable vesting or settlement date for purposes of satisfying tax withholding obligations.</w:t>
      </w:r>
    </w:p>
    <w:p>
      <w:pPr>
        <w:spacing w:after="0" w:line="1" w:lineRule="exact"/>
        <w:rPr>
          <w:rFonts w:ascii="Times New Roman" w:cs="Times New Roman" w:eastAsia="Times New Roman" w:hAnsi="Times New Roman"/>
          <w:sz w:val="18"/>
          <w:szCs w:val="18"/>
          <w:color w:val="auto"/>
        </w:rPr>
      </w:pPr>
    </w:p>
    <w:p>
      <w:pPr>
        <w:jc w:val="both"/>
        <w:ind w:left="720" w:right="279" w:hanging="319"/>
        <w:spacing w:after="0" w:line="255"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1998, we established a share repurchase program allowing us to purchase Class A Common Stock. In March 2013, our Board of Directors authorized an amendment to our share repurchase program increasing the amount authorized from $60.0 million to $75.8 million in common stock.</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Item 5. Other Information</w:t>
      </w:r>
    </w:p>
    <w:p>
      <w:pPr>
        <w:spacing w:after="0" w:line="202"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executive officers adopted, modified or terminated a Rule 10b5-1 trading arrangement or a non-Rule 10b5-1 trading arrangement, as defined in Item 408 of Regulation S-K, during the Company’s fiscal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Item 6. Exhibits</w:t>
            </w: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2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24"/>
                <w:szCs w:val="24"/>
                <w:color w:val="auto"/>
              </w:rPr>
            </w:pPr>
          </w:p>
        </w:tc>
        <w:tc>
          <w:tcPr>
            <w:tcW w:w="75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of the Securities</w:t>
            </w:r>
          </w:p>
        </w:tc>
      </w:tr>
      <w:tr>
        <w:trPr>
          <w:trHeight w:val="196"/>
        </w:trPr>
        <w:tc>
          <w:tcPr>
            <w:tcW w:w="1180" w:type="dxa"/>
            <w:vAlign w:val="bottom"/>
          </w:tcPr>
          <w:p>
            <w:pPr>
              <w:spacing w:after="0"/>
              <w:rPr>
                <w:sz w:val="17"/>
                <w:szCs w:val="17"/>
                <w:color w:val="auto"/>
              </w:rPr>
            </w:pPr>
          </w:p>
        </w:tc>
        <w:tc>
          <w:tcPr>
            <w:tcW w:w="7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Exchange Act of 1934, as Adopted Pursuant to Section 302 of the Sarbanes-Oxley Act of 2002.</w:t>
            </w: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Rule 13a-14(a) and Rule 15d-14(a) of the Securities</w:t>
            </w: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 Section 302 of the Sarbanes-Oxley Act of 2002</w:t>
            </w:r>
            <w:r>
              <w:rPr>
                <w:rFonts w:ascii="Times New Roman" w:cs="Times New Roman" w:eastAsia="Times New Roman" w:hAnsi="Times New Roman"/>
                <w:sz w:val="18"/>
                <w:szCs w:val="18"/>
                <w:color w:val="000000"/>
              </w:rPr>
              <w:t>.</w:t>
            </w:r>
          </w:p>
        </w:tc>
        <w:tc>
          <w:tcPr>
            <w:tcW w:w="6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w:t>
            </w: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and Rule 13a-14(b) of the Securities Exchange Act of 1934, as Adopted Pursuant to Section 906 of the</w:t>
            </w:r>
          </w:p>
        </w:tc>
        <w:tc>
          <w:tcPr>
            <w:tcW w:w="1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5420" w:type="dxa"/>
            <w:vAlign w:val="bottom"/>
            <w:gridSpan w:val="5"/>
          </w:tcPr>
          <w:p>
            <w:pPr>
              <w:spacing w:after="0"/>
              <w:rPr>
                <w:sz w:val="17"/>
                <w:szCs w:val="17"/>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 *</w:t>
            </w:r>
          </w:p>
        </w:tc>
        <w:tc>
          <w:tcPr>
            <w:tcW w:w="10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101.SCH *</w:t>
            </w:r>
          </w:p>
        </w:tc>
        <w:tc>
          <w:tcPr>
            <w:tcW w:w="10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 *</w:t>
            </w:r>
          </w:p>
        </w:tc>
        <w:tc>
          <w:tcPr>
            <w:tcW w:w="10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101.DEF *</w:t>
            </w:r>
          </w:p>
        </w:tc>
        <w:tc>
          <w:tcPr>
            <w:tcW w:w="10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 *</w:t>
            </w:r>
          </w:p>
        </w:tc>
        <w:tc>
          <w:tcPr>
            <w:tcW w:w="10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101.PRE *</w:t>
            </w:r>
          </w:p>
        </w:tc>
        <w:tc>
          <w:tcPr>
            <w:tcW w:w="100" w:type="dxa"/>
            <w:vAlign w:val="bottom"/>
          </w:tcPr>
          <w:p>
            <w:pPr>
              <w:spacing w:after="0"/>
              <w:rPr>
                <w:sz w:val="24"/>
                <w:szCs w:val="24"/>
                <w:color w:val="auto"/>
              </w:rPr>
            </w:pPr>
          </w:p>
        </w:tc>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340" w:hanging="1284"/>
        <w:spacing w:after="0"/>
        <w:tabs>
          <w:tab w:leader="none" w:pos="13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4"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herewith.</w:t>
      </w:r>
    </w:p>
    <w:p>
      <w:pPr>
        <w:spacing w:after="0" w:line="31" w:lineRule="exact"/>
        <w:rPr>
          <w:rFonts w:ascii="Times New Roman" w:cs="Times New Roman" w:eastAsia="Times New Roman" w:hAnsi="Times New Roman"/>
          <w:sz w:val="18"/>
          <w:szCs w:val="18"/>
          <w:color w:val="auto"/>
        </w:rPr>
      </w:pPr>
    </w:p>
    <w:p>
      <w:pPr>
        <w:ind w:left="280" w:hanging="230"/>
        <w:spacing w:after="0"/>
        <w:tabs>
          <w:tab w:leader="none" w:pos="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SAGA COMMUNICATIONS, INC.</w:t>
            </w:r>
          </w:p>
        </w:tc>
      </w:tr>
      <w:tr>
        <w:trPr>
          <w:trHeight w:val="4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D. BUSH</w:t>
            </w:r>
          </w:p>
        </w:tc>
      </w:tr>
      <w:tr>
        <w:trPr>
          <w:trHeight w:val="189"/>
        </w:trPr>
        <w:tc>
          <w:tcPr>
            <w:tcW w:w="446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Samuel D. Bush</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w:t>
            </w:r>
          </w:p>
        </w:tc>
      </w:tr>
      <w:tr>
        <w:trPr>
          <w:trHeight w:val="236"/>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Treasurer (Principal Financial Officer)</w:t>
            </w:r>
          </w:p>
        </w:tc>
      </w:tr>
      <w:tr>
        <w:trPr>
          <w:trHeight w:val="47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CATHERINE A. BOBINSKI</w:t>
            </w:r>
          </w:p>
        </w:tc>
      </w:tr>
      <w:tr>
        <w:trPr>
          <w:trHeight w:val="189"/>
        </w:trPr>
        <w:tc>
          <w:tcPr>
            <w:tcW w:w="4460" w:type="dxa"/>
            <w:vAlign w:val="bottom"/>
          </w:tcPr>
          <w:p>
            <w:pPr>
              <w:spacing w:after="0"/>
              <w:rPr>
                <w:sz w:val="16"/>
                <w:szCs w:val="16"/>
                <w:color w:val="auto"/>
              </w:rPr>
            </w:pPr>
          </w:p>
        </w:tc>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Catherine A. Bobinski</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Chief Accounting Officer and</w:t>
            </w:r>
          </w:p>
        </w:tc>
      </w:tr>
      <w:tr>
        <w:trPr>
          <w:trHeight w:val="236"/>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Corporate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768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AND RULE 15d-14(a) OF THE SECURITIES EXCHANGE ACT, AS AMENDED</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Christopher S. Forgy, Chief Executive Officer of Saga Communications, Inc., certify that:</w:t>
      </w:r>
    </w:p>
    <w:p>
      <w:pPr>
        <w:spacing w:after="0" w:line="225" w:lineRule="exact"/>
        <w:rPr>
          <w:sz w:val="20"/>
          <w:szCs w:val="20"/>
          <w:color w:val="auto"/>
        </w:rPr>
      </w:pPr>
    </w:p>
    <w:p>
      <w:pPr>
        <w:ind w:left="880" w:hanging="332"/>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Saga Communications, Inc.;</w:t>
      </w:r>
    </w:p>
    <w:p>
      <w:pPr>
        <w:spacing w:after="0" w:line="225"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right="579" w:hanging="332"/>
        <w:spacing w:after="0" w:line="258"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Times New Roman" w:cs="Times New Roman" w:eastAsia="Times New Roman" w:hAnsi="Times New Roman"/>
          <w:sz w:val="18"/>
          <w:szCs w:val="18"/>
          <w:color w:val="auto"/>
        </w:rPr>
      </w:pPr>
    </w:p>
    <w:p>
      <w:pPr>
        <w:ind w:left="880" w:right="499" w:hanging="332"/>
        <w:spacing w:after="0" w:line="255"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ind w:left="1180" w:right="239" w:hanging="323"/>
        <w:spacing w:after="0" w:line="261"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180" w:right="339" w:hanging="321"/>
        <w:spacing w:after="0" w:line="266"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ind w:left="1180" w:right="499" w:hanging="321"/>
        <w:spacing w:after="0" w:line="266"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6" w:lineRule="exact"/>
        <w:rPr>
          <w:rFonts w:ascii="Times New Roman" w:cs="Times New Roman" w:eastAsia="Times New Roman" w:hAnsi="Times New Roman"/>
          <w:sz w:val="18"/>
          <w:szCs w:val="18"/>
          <w:color w:val="auto"/>
        </w:rPr>
      </w:pPr>
    </w:p>
    <w:p>
      <w:pPr>
        <w:jc w:val="both"/>
        <w:ind w:left="880" w:right="359" w:hanging="332"/>
        <w:spacing w:after="0" w:line="266"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Times New Roman" w:cs="Times New Roman" w:eastAsia="Times New Roman" w:hAnsi="Times New Roman"/>
          <w:sz w:val="18"/>
          <w:szCs w:val="18"/>
          <w:color w:val="auto"/>
        </w:rPr>
      </w:pPr>
    </w:p>
    <w:p>
      <w:pPr>
        <w:ind w:left="1180" w:right="539" w:hanging="321"/>
        <w:spacing w:after="0" w:line="258"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180" w:right="299" w:hanging="321"/>
        <w:spacing w:after="0" w:line="282" w:lineRule="auto"/>
        <w:tabs>
          <w:tab w:leader="none" w:pos="1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20"/>
        <w:spacing w:after="0"/>
        <w:tabs>
          <w:tab w:leader="none" w:pos="43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7"/>
          <w:szCs w:val="17"/>
          <w:color w:val="auto"/>
        </w:rPr>
        <w:t>/s/ Christopher S. Forgy</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Christopher S. Forgy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-127635</wp:posOffset>
            </wp:positionV>
            <wp:extent cx="2820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ind w:left="768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RULE 15d-14(a) OF THE SECURITIES EXCHANGE ACT, AS AMENDED</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Samuel D. Bush, Chief Financial Officer of Saga Communications, Inc., certify that:</w:t>
      </w:r>
    </w:p>
    <w:p>
      <w:pPr>
        <w:spacing w:after="0" w:line="225" w:lineRule="exact"/>
        <w:rPr>
          <w:sz w:val="20"/>
          <w:szCs w:val="20"/>
          <w:color w:val="auto"/>
        </w:rPr>
      </w:pPr>
    </w:p>
    <w:p>
      <w:pPr>
        <w:ind w:left="880" w:hanging="332"/>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Saga Communications, Inc.;</w:t>
      </w:r>
    </w:p>
    <w:p>
      <w:pPr>
        <w:spacing w:after="0" w:line="225" w:lineRule="exact"/>
        <w:rPr>
          <w:rFonts w:ascii="Times New Roman" w:cs="Times New Roman" w:eastAsia="Times New Roman" w:hAnsi="Times New Roman"/>
          <w:sz w:val="18"/>
          <w:szCs w:val="18"/>
          <w:color w:val="auto"/>
        </w:rPr>
      </w:pPr>
    </w:p>
    <w:p>
      <w:pPr>
        <w:ind w:left="880" w:right="259" w:hanging="332"/>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right="579" w:hanging="332"/>
        <w:spacing w:after="0" w:line="25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9" w:lineRule="exact"/>
        <w:rPr>
          <w:rFonts w:ascii="Times New Roman" w:cs="Times New Roman" w:eastAsia="Times New Roman" w:hAnsi="Times New Roman"/>
          <w:sz w:val="18"/>
          <w:szCs w:val="18"/>
          <w:color w:val="auto"/>
        </w:rPr>
      </w:pPr>
    </w:p>
    <w:p>
      <w:pPr>
        <w:ind w:left="880" w:right="499" w:hanging="332"/>
        <w:spacing w:after="0" w:line="255"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1180" w:right="239" w:hanging="321"/>
        <w:spacing w:after="0" w:line="261"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ind w:left="1180" w:right="339" w:hanging="321"/>
        <w:spacing w:after="0" w:line="266"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1180" w:right="499" w:hanging="321"/>
        <w:spacing w:after="0" w:line="258"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3" w:lineRule="exact"/>
        <w:rPr>
          <w:rFonts w:ascii="Times New Roman" w:cs="Times New Roman" w:eastAsia="Times New Roman" w:hAnsi="Times New Roman"/>
          <w:sz w:val="18"/>
          <w:szCs w:val="18"/>
          <w:color w:val="auto"/>
        </w:rPr>
      </w:pPr>
    </w:p>
    <w:p>
      <w:pPr>
        <w:jc w:val="both"/>
        <w:ind w:left="880" w:right="359" w:hanging="332"/>
        <w:spacing w:after="0" w:line="266"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Times New Roman" w:cs="Times New Roman" w:eastAsia="Times New Roman" w:hAnsi="Times New Roman"/>
          <w:sz w:val="18"/>
          <w:szCs w:val="18"/>
          <w:color w:val="auto"/>
        </w:rPr>
      </w:pPr>
    </w:p>
    <w:p>
      <w:pPr>
        <w:ind w:left="1180" w:right="539" w:hanging="321"/>
        <w:spacing w:after="0" w:line="266"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180" w:right="299" w:hanging="321"/>
        <w:spacing w:after="0" w:line="282" w:lineRule="auto"/>
        <w:tabs>
          <w:tab w:leader="none" w:pos="11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20"/>
        <w:spacing w:after="0"/>
        <w:tabs>
          <w:tab w:leader="none" w:pos="43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/s/ Samuel D. Bush</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Samuel D.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-127635</wp:posOffset>
            </wp:positionV>
            <wp:extent cx="2785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ind w:left="780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Saga Communications, Inc. (the “Company”) on Form 10-Q for the period ended March 31, 2026 as filed with the Securities and Exchange Commission on the date hereof (the “Report”), we, Christopher S. Forgy, Chief Executive Officer of the Company, and Samuel D. Bush, Chief Financial Officer of the Company, certify, pursuant to 18 U.S.C. Section 1350, as adopted pursuant to Section 906 of the Sarbanes-Oxley Act of 2002, to the best of our knowledge, that:</w:t>
      </w:r>
    </w:p>
    <w:p>
      <w:pPr>
        <w:spacing w:after="0" w:line="170" w:lineRule="exact"/>
        <w:rPr>
          <w:sz w:val="20"/>
          <w:szCs w:val="20"/>
          <w:color w:val="auto"/>
        </w:rPr>
      </w:pPr>
    </w:p>
    <w:p>
      <w:pPr>
        <w:ind w:left="880" w:right="339" w:hanging="332"/>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880" w:right="439" w:hanging="332"/>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Forgy</w:t>
            </w:r>
          </w:p>
        </w:tc>
      </w:tr>
      <w:tr>
        <w:trPr>
          <w:trHeight w:val="198"/>
        </w:trPr>
        <w:tc>
          <w:tcPr>
            <w:tcW w:w="414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S. Forgy</w:t>
            </w:r>
          </w:p>
        </w:tc>
      </w:tr>
      <w:tr>
        <w:trPr>
          <w:trHeight w:val="234"/>
        </w:trPr>
        <w:tc>
          <w:tcPr>
            <w:tcW w:w="41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D. Bush</w:t>
            </w:r>
          </w:p>
        </w:tc>
      </w:tr>
      <w:tr>
        <w:trPr>
          <w:trHeight w:val="198"/>
        </w:trPr>
        <w:tc>
          <w:tcPr>
            <w:tcW w:w="4140" w:type="dxa"/>
            <w:vAlign w:val="bottom"/>
          </w:tcPr>
          <w:p>
            <w:pPr>
              <w:spacing w:after="0"/>
              <w:rPr>
                <w:sz w:val="17"/>
                <w:szCs w:val="17"/>
                <w:color w:val="auto"/>
              </w:rPr>
            </w:pPr>
          </w:p>
        </w:tc>
        <w:tc>
          <w:tcPr>
            <w:tcW w:w="4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Samuel D. Bush</w:t>
            </w:r>
          </w:p>
        </w:tc>
      </w:tr>
      <w:tr>
        <w:trPr>
          <w:trHeight w:val="234"/>
        </w:trPr>
        <w:tc>
          <w:tcPr>
            <w:tcW w:w="41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90"/>
        </w:trPr>
        <w:tc>
          <w:tcPr>
            <w:tcW w:w="41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lvl w:ilvl="1">
      <w:lvlJc w:val="left"/>
      <w:lvlText w:val="(%2)"/>
      <w:numFmt w:val="decimal"/>
      <w:start w:val="104"/>
    </w:lvl>
  </w:abstractNum>
  <w:abstractNum w:abstractNumId="9">
    <w:nsid w:val="1190CDE7"/>
    <w:multiLevelType w:val="hybridMultilevel"/>
    <w:lvl w:ilvl="0">
      <w:lvlJc w:val="left"/>
      <w:lvlText w:val="**"/>
      <w:numFmt w:val="bullet"/>
      <w:start w:val="1"/>
    </w:lvl>
    <w:lvl w:ilvl="1">
      <w:lvlJc w:val="left"/>
      <w:lvlText w:val="%2"/>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2026-05-08T15:24:40Z</dcterms:created>
  <dcterms:modified xsi:type="dcterms:W3CDTF">2026-05-08T15:24:40Z</dcterms:modified>
</cp:coreProperties>
</file>