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40"/>
        <w:ind w:left="0" w:right="0" w:hanging="0"/>
        <w:jc w:val="center"/>
        <w:rPr/>
      </w:pPr>
      <w:bookmarkStart w:id="0" w:name="sga-20260910x8k.htm"/>
      <w:bookmarkStart w:id="1" w:name="kssga20260910x8k"/>
      <w:bookmarkEnd w:id="0"/>
      <w:bookmarkEnd w:id="1"/>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Securities Exchange Act of 1934</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xml:space="preserve">Date of Report (Date of earliest event reported): </w:t>
      </w:r>
      <w:r>
        <w:rPr>
          <w:rFonts w:ascii="Times New Roman;Times;serif" w:hAnsi="Times New Roman;Times;serif"/>
          <w:b/>
          <w:sz w:val="20"/>
        </w:rPr>
        <w:t>September 10, 2026</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SAGA COMMUNICATIONS, INC.</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bidi w:val="0"/>
        <w:spacing w:before="0" w:after="0"/>
        <w:jc w:val="left"/>
        <w:rPr>
          <w:sz w:val="4"/>
          <w:szCs w:val="4"/>
        </w:rPr>
      </w:pPr>
      <w:r>
        <w:rPr>
          <w:sz w:val="4"/>
          <w:szCs w:val="4"/>
        </w:rPr>
      </w:r>
      <w:bookmarkStart w:id="2" w:name="Tc_WBNBWnDlkUuOcgmMa3XQ2g_3_4"/>
      <w:bookmarkStart w:id="3" w:name="Tc_SbCR5bf4sUOyEiVasFZUbA_3_0"/>
      <w:bookmarkStart w:id="4" w:name="Tc_p8jyNE1jFkmrP6xNVEoyiQ_2_4"/>
      <w:bookmarkStart w:id="5" w:name="Tc_M61bQasPIkWY19V_Epoylw_2_2"/>
      <w:bookmarkStart w:id="6" w:name="Tc_SNh3ijz030KJPmuoX-iBSA_2_0"/>
      <w:bookmarkStart w:id="7" w:name="_f7dd013a_3da0_4c3c_950e_76c46d774c0f"/>
      <w:bookmarkStart w:id="8" w:name="Tc_WBNBWnDlkUuOcgmMa3XQ2g_3_4"/>
      <w:bookmarkStart w:id="9" w:name="Tc_SbCR5bf4sUOyEiVasFZUbA_3_0"/>
      <w:bookmarkStart w:id="10" w:name="Tc_p8jyNE1jFkmrP6xNVEoyiQ_2_4"/>
      <w:bookmarkStart w:id="11" w:name="Tc_M61bQasPIkWY19V_Epoylw_2_2"/>
      <w:bookmarkStart w:id="12" w:name="Tc_SNh3ijz030KJPmuoX-iBSA_2_0"/>
      <w:bookmarkStart w:id="13" w:name="_f7dd013a_3da0_4c3c_950e_76c46d774c0f"/>
      <w:bookmarkEnd w:id="8"/>
      <w:bookmarkEnd w:id="9"/>
      <w:bookmarkEnd w:id="10"/>
      <w:bookmarkEnd w:id="11"/>
      <w:bookmarkEnd w:id="12"/>
      <w:bookmarkEnd w:id="13"/>
    </w:p>
    <w:tbl>
      <w:tblPr>
        <w:tblW w:w="6550" w:type="dxa"/>
        <w:jc w:val="left"/>
        <w:tblInd w:w="0" w:type="dxa"/>
        <w:tblLayout w:type="fixed"/>
        <w:tblCellMar>
          <w:top w:w="0" w:type="dxa"/>
          <w:left w:w="0" w:type="dxa"/>
          <w:bottom w:w="0" w:type="dxa"/>
          <w:right w:w="0" w:type="dxa"/>
        </w:tblCellMar>
      </w:tblPr>
      <w:tblGrid>
        <w:gridCol w:w="2311"/>
        <w:gridCol w:w="146"/>
        <w:gridCol w:w="2296"/>
        <w:gridCol w:w="146"/>
        <w:gridCol w:w="1651"/>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29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Florida </w:t>
            </w:r>
          </w:p>
        </w:tc>
        <w:tc>
          <w:tcPr>
            <w:tcW w:w="146" w:type="dxa"/>
            <w:tcBorders/>
            <w:vAlign w:val="center"/>
          </w:tcPr>
          <w:p>
            <w:pPr>
              <w:pStyle w:val="TableContents"/>
              <w:bidi w:val="0"/>
              <w:spacing w:before="0" w:after="0"/>
              <w:ind w:left="0" w:right="0" w:hanging="0"/>
              <w:jc w:val="left"/>
              <w:rPr/>
            </w:pPr>
            <w:r>
              <w:rPr/>
              <w:t> </w:t>
            </w:r>
          </w:p>
        </w:tc>
        <w:tc>
          <w:tcPr>
            <w:tcW w:w="229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1-11588</w:t>
            </w:r>
          </w:p>
        </w:tc>
        <w:tc>
          <w:tcPr>
            <w:tcW w:w="146" w:type="dxa"/>
            <w:tcBorders/>
            <w:vAlign w:val="center"/>
          </w:tcPr>
          <w:p>
            <w:pPr>
              <w:pStyle w:val="TableContents"/>
              <w:bidi w:val="0"/>
              <w:spacing w:before="0" w:after="0"/>
              <w:ind w:left="0" w:right="0" w:hanging="0"/>
              <w:jc w:val="left"/>
              <w:rPr/>
            </w:pPr>
            <w:r>
              <w:rPr/>
              <w:t> </w:t>
            </w:r>
          </w:p>
        </w:tc>
        <w:tc>
          <w:tcPr>
            <w:tcW w:w="165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38-3042953 </w:t>
            </w:r>
          </w:p>
        </w:tc>
      </w:tr>
      <w:tr>
        <w:trPr/>
        <w:tc>
          <w:tcPr>
            <w:tcW w:w="2311" w:type="dxa"/>
            <w:tcBorders/>
            <w:vAlign w:val="center"/>
          </w:tcPr>
          <w:p>
            <w:pPr>
              <w:pStyle w:val="TableContents"/>
              <w:bidi w:val="0"/>
              <w:spacing w:before="0" w:after="0"/>
              <w:ind w:left="0" w:right="0" w:hanging="0"/>
              <w:jc w:val="center"/>
              <w:rPr/>
            </w:pPr>
            <w:r>
              <w:rPr/>
              <w:t> </w:t>
            </w:r>
            <w:r>
              <w:rPr>
                <w:rFonts w:ascii="Times New Roman;Times;serif" w:hAnsi="Times New Roman;Times;serif"/>
                <w:sz w:val="20"/>
              </w:rPr>
              <w:t>(State or other jurisdiction</w:t>
            </w:r>
          </w:p>
        </w:tc>
        <w:tc>
          <w:tcPr>
            <w:tcW w:w="146" w:type="dxa"/>
            <w:tcBorders/>
            <w:vAlign w:val="center"/>
          </w:tcPr>
          <w:p>
            <w:pPr>
              <w:pStyle w:val="TableContents"/>
              <w:bidi w:val="0"/>
              <w:spacing w:before="0" w:after="0"/>
              <w:ind w:left="0" w:right="0" w:hanging="0"/>
              <w:jc w:val="left"/>
              <w:rPr/>
            </w:pPr>
            <w:r>
              <w:rPr/>
              <w:t> </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3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incorporation)</w:t>
            </w:r>
          </w:p>
        </w:tc>
        <w:tc>
          <w:tcPr>
            <w:tcW w:w="146" w:type="dxa"/>
            <w:tcBorders/>
            <w:vAlign w:val="center"/>
          </w:tcPr>
          <w:p>
            <w:pPr>
              <w:pStyle w:val="TableContents"/>
              <w:bidi w:val="0"/>
              <w:spacing w:before="0" w:after="0"/>
              <w:ind w:left="0" w:right="0" w:hanging="0"/>
              <w:jc w:val="left"/>
              <w:rPr/>
            </w:pPr>
            <w:r>
              <w:rPr/>
              <w:t> </w:t>
            </w:r>
          </w:p>
        </w:tc>
        <w:tc>
          <w:tcPr>
            <w:tcW w:w="22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4" w:name="Tc_LvO4mVMmNUaHeQpIBgiiGg_3_2"/>
      <w:bookmarkStart w:id="15" w:name="Tc_ccQMW7e4Fk2dd41BTV_mpw_3_0"/>
      <w:bookmarkStart w:id="16" w:name="Tc_YX9-nsjNzUCWRIDz6bdGsw_2_0"/>
      <w:bookmarkStart w:id="17" w:name="_0b9ebc1c_38c0_482e_90c5_65c4af4727dd"/>
      <w:bookmarkStart w:id="18" w:name="Tc_LvO4mVMmNUaHeQpIBgiiGg_3_2"/>
      <w:bookmarkStart w:id="19" w:name="Tc_ccQMW7e4Fk2dd41BTV_mpw_3_0"/>
      <w:bookmarkStart w:id="20" w:name="Tc_YX9-nsjNzUCWRIDz6bdGsw_2_0"/>
      <w:bookmarkStart w:id="21" w:name="_0b9ebc1c_38c0_482e_90c5_65c4af4727dd"/>
      <w:bookmarkEnd w:id="18"/>
      <w:bookmarkEnd w:id="19"/>
      <w:bookmarkEnd w:id="20"/>
      <w:bookmarkEnd w:id="21"/>
    </w:p>
    <w:tbl>
      <w:tblPr>
        <w:tblW w:w="4603" w:type="dxa"/>
        <w:jc w:val="left"/>
        <w:tblInd w:w="0" w:type="dxa"/>
        <w:tblLayout w:type="fixed"/>
        <w:tblCellMar>
          <w:top w:w="0" w:type="dxa"/>
          <w:left w:w="0" w:type="dxa"/>
          <w:bottom w:w="0" w:type="dxa"/>
          <w:right w:w="0" w:type="dxa"/>
        </w:tblCellMar>
      </w:tblPr>
      <w:tblGrid>
        <w:gridCol w:w="3421"/>
        <w:gridCol w:w="146"/>
        <w:gridCol w:w="1036"/>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036" w:type="dxa"/>
            <w:tcBorders/>
            <w:vAlign w:val="center"/>
          </w:tcPr>
          <w:p>
            <w:pPr>
              <w:pStyle w:val="TableContents"/>
              <w:bidi w:val="0"/>
              <w:spacing w:before="0" w:after="283"/>
              <w:ind w:left="0" w:right="0" w:hanging="0"/>
              <w:jc w:val="left"/>
              <w:rPr>
                <w:sz w:val="4"/>
                <w:szCs w:val="4"/>
              </w:rPr>
            </w:pPr>
            <w:r>
              <w:rPr>
                <w:sz w:val="4"/>
                <w:szCs w:val="4"/>
              </w:rPr>
            </w:r>
          </w:p>
        </w:tc>
      </w:tr>
      <w:tr>
        <w:trPr/>
        <w:tc>
          <w:tcPr>
            <w:tcW w:w="34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73 Kercheval Avenue</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 </w:t>
            </w:r>
          </w:p>
        </w:tc>
      </w:tr>
      <w:tr>
        <w:trPr/>
        <w:tc>
          <w:tcPr>
            <w:tcW w:w="342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Grosse Pointe Farms, MI</w:t>
            </w:r>
          </w:p>
        </w:tc>
        <w:tc>
          <w:tcPr>
            <w:tcW w:w="146" w:type="dxa"/>
            <w:tcBorders/>
            <w:vAlign w:val="center"/>
          </w:tcPr>
          <w:p>
            <w:pPr>
              <w:pStyle w:val="TableContents"/>
              <w:bidi w:val="0"/>
              <w:spacing w:before="0" w:after="0"/>
              <w:ind w:left="0" w:right="0" w:hanging="0"/>
              <w:jc w:val="left"/>
              <w:rPr/>
            </w:pPr>
            <w:r>
              <w:rPr/>
              <w:t> </w:t>
            </w:r>
          </w:p>
        </w:tc>
        <w:tc>
          <w:tcPr>
            <w:tcW w:w="103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48236</w:t>
            </w:r>
          </w:p>
        </w:tc>
      </w:tr>
      <w:tr>
        <w:trPr/>
        <w:tc>
          <w:tcPr>
            <w:tcW w:w="3421" w:type="dxa"/>
            <w:tcBorders/>
            <w:vAlign w:val="center"/>
          </w:tcPr>
          <w:p>
            <w:pPr>
              <w:pStyle w:val="TableContents"/>
              <w:bidi w:val="0"/>
              <w:spacing w:before="0" w:after="0"/>
              <w:ind w:left="0" w:right="0" w:hanging="0"/>
              <w:jc w:val="center"/>
              <w:rPr/>
            </w:pPr>
            <w:r>
              <w:rPr/>
              <w:t> </w:t>
            </w:r>
            <w:r>
              <w:rPr>
                <w:rFonts w:ascii="Times New Roman;Times;serif" w:hAnsi="Times New Roman;Times;serif"/>
                <w:sz w:val="20"/>
              </w:rPr>
              <w:t>(Address of Principal Executive Offices)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240"/>
        <w:ind w:left="0" w:right="0" w:hanging="0"/>
        <w:jc w:val="both"/>
        <w:rPr/>
      </w:pPr>
      <w:r>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(313) 886-7070</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120"/>
        <w:ind w:left="0" w:right="0" w:hanging="0"/>
        <w:jc w:val="both"/>
        <w:rPr/>
      </w:pPr>
      <w:r>
        <w:rPr/>
        <w:t>☐    </w:t>
      </w:r>
      <w:r>
        <w:rPr>
          <w:rFonts w:ascii="Times New Roman;Times;serif" w:hAnsi="Times New Roman;Times;serif"/>
          <w:sz w:val="20"/>
        </w:rPr>
        <w:t>Written communications pursuant to Rule 425 under the Securities Act (17 CFR 230.425)</w:t>
      </w:r>
    </w:p>
    <w:p>
      <w:pPr>
        <w:pStyle w:val="TextBody"/>
        <w:bidi w:val="0"/>
        <w:spacing w:before="0" w:after="120"/>
        <w:ind w:left="0" w:right="0" w:hanging="0"/>
        <w:jc w:val="both"/>
        <w:rPr/>
      </w:pPr>
      <w:r>
        <w:rPr/>
        <w:t>☐    </w:t>
      </w:r>
      <w:r>
        <w:rPr>
          <w:rFonts w:ascii="Times New Roman;Times;serif" w:hAnsi="Times New Roman;Times;serif"/>
          <w:sz w:val="20"/>
        </w:rPr>
        <w:t>Soliciting material pursuant to Rule 14a-12 under the Exchange Act (17 CFR 240.14a-12)</w:t>
      </w:r>
    </w:p>
    <w:p>
      <w:pPr>
        <w:pStyle w:val="TextBody"/>
        <w:bidi w:val="0"/>
        <w:spacing w:before="0" w:after="120"/>
        <w:ind w:left="0" w:right="0" w:hanging="0"/>
        <w:jc w:val="both"/>
        <w:rPr/>
      </w:pPr>
      <w:r>
        <w:rPr/>
        <w:t>☐    </w:t>
      </w:r>
      <w:r>
        <w:rPr>
          <w:rFonts w:ascii="Times New Roman;Times;serif" w:hAnsi="Times New Roman;Times;serif"/>
          <w:sz w:val="20"/>
        </w:rPr>
        <w:t>Pre-commencement communications pursuant to Rule 14d-2(b) under the Exchange Act (17 CFR 240.14d-2(b))</w:t>
      </w:r>
    </w:p>
    <w:p>
      <w:pPr>
        <w:pStyle w:val="TextBody"/>
        <w:bidi w:val="0"/>
        <w:spacing w:before="0" w:after="120"/>
        <w:ind w:left="0" w:right="0" w:hanging="0"/>
        <w:jc w:val="both"/>
        <w:rPr/>
      </w:pPr>
      <w:r>
        <w:rPr/>
        <w:t>☐    </w:t>
      </w:r>
      <w:r>
        <w:rPr>
          <w:rFonts w:ascii="Times New Roman;Times;serif" w:hAnsi="Times New Roman;Times;serif"/>
          <w:sz w:val="20"/>
        </w:rPr>
        <w:t>Pre-commencement communications pursuant to Rule 13e-4(c) under the Exchange Act (17 CFR 240.13e-4(c))</w:t>
      </w:r>
    </w:p>
    <w:p>
      <w:pPr>
        <w:pStyle w:val="Normal"/>
        <w:bidi w:val="0"/>
        <w:spacing w:before="0" w:after="0"/>
        <w:jc w:val="left"/>
        <w:rPr>
          <w:sz w:val="4"/>
          <w:szCs w:val="4"/>
        </w:rPr>
      </w:pPr>
      <w:r>
        <w:rPr>
          <w:sz w:val="4"/>
          <w:szCs w:val="4"/>
        </w:rPr>
      </w:r>
      <w:bookmarkStart w:id="22" w:name="Tc_0By-0ulZRk6h-ew56LuIcw_2_0"/>
      <w:bookmarkStart w:id="23" w:name="Tc_VTqvokDjdE6zlxvaIh_gow_1_2"/>
      <w:bookmarkStart w:id="24" w:name="Tc_we41NYWxTkWGiUgTj3bx4g_1_1"/>
      <w:bookmarkStart w:id="25" w:name="Tc_AqX6YYNSFkeGRRRwzAyBcA_1_0"/>
      <w:bookmarkStart w:id="26" w:name="Tc_XvJSY6MhJ0OkR3AxgquSjg_0_0"/>
      <w:bookmarkStart w:id="27" w:name="_1be0e16c_0bcf_4376_85f9_baeb81894029"/>
      <w:bookmarkStart w:id="28" w:name="Tc_0By-0ulZRk6h-ew56LuIcw_2_0"/>
      <w:bookmarkStart w:id="29" w:name="Tc_VTqvokDjdE6zlxvaIh_gow_1_2"/>
      <w:bookmarkStart w:id="30" w:name="Tc_we41NYWxTkWGiUgTj3bx4g_1_1"/>
      <w:bookmarkStart w:id="31" w:name="Tc_AqX6YYNSFkeGRRRwzAyBcA_1_0"/>
      <w:bookmarkStart w:id="32" w:name="Tc_XvJSY6MhJ0OkR3AxgquSjg_0_0"/>
      <w:bookmarkStart w:id="33" w:name="_1be0e16c_0bcf_4376_85f9_baeb81894029"/>
      <w:bookmarkEnd w:id="28"/>
      <w:bookmarkEnd w:id="29"/>
      <w:bookmarkEnd w:id="30"/>
      <w:bookmarkEnd w:id="31"/>
      <w:bookmarkEnd w:id="32"/>
      <w:bookmarkEnd w:id="33"/>
    </w:p>
    <w:tbl>
      <w:tblPr>
        <w:tblW w:w="9453" w:type="dxa"/>
        <w:jc w:val="left"/>
        <w:tblInd w:w="0" w:type="dxa"/>
        <w:tblLayout w:type="fixed"/>
        <w:tblCellMar>
          <w:top w:w="0" w:type="dxa"/>
          <w:left w:w="0" w:type="dxa"/>
          <w:bottom w:w="30" w:type="dxa"/>
          <w:right w:w="0" w:type="dxa"/>
        </w:tblCellMar>
      </w:tblPr>
      <w:tblGrid>
        <w:gridCol w:w="4156"/>
        <w:gridCol w:w="1591"/>
        <w:gridCol w:w="3706"/>
      </w:tblGrid>
      <w:tr>
        <w:trPr/>
        <w:tc>
          <w:tcPr>
            <w:tcW w:w="9453" w:type="dxa"/>
            <w:gridSpan w:val="3"/>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tc>
      </w:tr>
      <w:tr>
        <w:trPr/>
        <w:tc>
          <w:tcPr>
            <w:tcW w:w="4156" w:type="dxa"/>
            <w:tcBorders>
              <w:left w:val="single" w:sz="8" w:space="0" w:color="000000"/>
              <w:bottom w:val="single" w:sz="8" w:space="0" w:color="000000"/>
            </w:tcBorders>
            <w:tcMar>
              <w:lef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591" w:type="dxa"/>
            <w:tcBorders>
              <w:left w:val="single" w:sz="8" w:space="0" w:color="000000"/>
              <w:bottom w:val="single" w:sz="8" w:space="0" w:color="000000"/>
            </w:tcBorders>
            <w:tcMar>
              <w:lef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4156" w:type="dxa"/>
            <w:tcBorders>
              <w:left w:val="single" w:sz="8" w:space="0" w:color="000000"/>
              <w:bottom w:val="single" w:sz="8" w:space="0" w:color="000000"/>
            </w:tcBorders>
            <w:tcMar>
              <w:lef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A Common Stock, par value $0.01 per share</w:t>
            </w:r>
          </w:p>
        </w:tc>
        <w:tc>
          <w:tcPr>
            <w:tcW w:w="1591" w:type="dxa"/>
            <w:tcBorders>
              <w:left w:val="single" w:sz="8" w:space="0" w:color="000000"/>
              <w:bottom w:val="single" w:sz="8" w:space="0" w:color="000000"/>
            </w:tcBorders>
            <w:tcMar>
              <w:lef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SGA</w:t>
            </w:r>
          </w:p>
        </w:tc>
        <w:tc>
          <w:tcPr>
            <w:tcW w:w="3706"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Market</w:t>
            </w:r>
          </w:p>
        </w:tc>
      </w:tr>
    </w:tbl>
    <w:p>
      <w:pPr>
        <w:pStyle w:val="TextBody"/>
        <w:bidi w:val="0"/>
        <w:spacing w:before="0" w:after="240"/>
        <w:ind w:left="0" w:right="0" w:hanging="0"/>
        <w:jc w:val="both"/>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Item 8.01.</w:t>
      </w:r>
      <w:r>
        <w:rPr>
          <w:rFonts w:ascii="Times New Roman;Times;serif" w:hAnsi="Times New Roman;Times;serif"/>
          <w:b/>
          <w:sz w:val="20"/>
        </w:rPr>
        <w:t>Other Events.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September 10, 2026, Saga Communications, Inc. (</w:t>
      </w:r>
      <w:r>
        <w:rPr>
          <w:rFonts w:ascii="Times New Roman;Times;serif" w:hAnsi="Times New Roman;Times;serif"/>
          <w:sz w:val="20"/>
          <w:shd w:fill="FFFFFF" w:val="clear"/>
        </w:rPr>
        <w:t xml:space="preserve">the “Company”) </w:t>
      </w:r>
      <w:r>
        <w:rPr>
          <w:rFonts w:ascii="Times New Roman;Times;serif" w:hAnsi="Times New Roman;Times;serif"/>
          <w:sz w:val="20"/>
        </w:rPr>
        <w:t xml:space="preserve">issued a press release announcing </w:t>
      </w:r>
      <w:r>
        <w:rPr>
          <w:rFonts w:ascii="Times New Roman;Times;serif" w:hAnsi="Times New Roman;Times;serif"/>
          <w:sz w:val="20"/>
          <w:shd w:fill="FFFFFF" w:val="clear"/>
        </w:rPr>
        <w:t>that the Company’s Board of Directors has declared a quarterly cash dividend of $0.25 per share on its Class A Common Stock to be paid on October 16, 2026, to shareholders of record on September 23, 2026, as set forth in the press release included as Exhibit 99.1 hereto.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Item 9.01.</w:t>
      </w:r>
      <w:r>
        <w:rPr>
          <w:rFonts w:ascii="Times New Roman;Times;serif" w:hAnsi="Times New Roman;Times;serif"/>
          <w:b/>
          <w:sz w:val="20"/>
        </w:rPr>
        <w:t>Financial Statements and Exhibits.</w:t>
      </w:r>
    </w:p>
    <w:p>
      <w:pPr>
        <w:pStyle w:val="TextBody"/>
        <w:bidi w:val="0"/>
        <w:spacing w:before="0" w:after="240"/>
        <w:ind w:left="0" w:right="0" w:hanging="0"/>
        <w:jc w:val="both"/>
        <w:rPr/>
      </w:pPr>
      <w:r>
        <w:rPr/>
        <w:t>​</w:t>
      </w:r>
    </w:p>
    <w:tbl>
      <w:tblPr>
        <w:tblW w:w="1341" w:type="dxa"/>
        <w:jc w:val="left"/>
        <w:tblInd w:w="0" w:type="dxa"/>
        <w:tblLayout w:type="fixed"/>
        <w:tblCellMar>
          <w:top w:w="0" w:type="dxa"/>
          <w:left w:w="0" w:type="dxa"/>
          <w:bottom w:w="0" w:type="dxa"/>
          <w:right w:w="0" w:type="dxa"/>
        </w:tblCellMar>
      </w:tblPr>
      <w:tblGrid>
        <w:gridCol w:w="124"/>
        <w:gridCol w:w="331"/>
        <w:gridCol w:w="88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w:t>
            </w:r>
          </w:p>
        </w:tc>
        <w:tc>
          <w:tcPr>
            <w:tcW w:w="88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Exhibits.</w:t>
            </w:r>
          </w:p>
        </w:tc>
      </w:tr>
    </w:tbl>
    <w:p>
      <w:pPr>
        <w:pStyle w:val="TextBody"/>
        <w:bidi w:val="0"/>
        <w:spacing w:before="0" w:after="240"/>
        <w:ind w:left="0" w:right="0" w:hanging="0"/>
        <w:jc w:val="left"/>
        <w:rPr/>
      </w:pPr>
      <w:r>
        <w:rPr/>
        <w:t>​</w:t>
      </w:r>
    </w:p>
    <w:tbl>
      <w:tblPr>
        <w:tblW w:w="4026" w:type="dxa"/>
        <w:jc w:val="left"/>
        <w:tblInd w:w="0" w:type="dxa"/>
        <w:tblLayout w:type="fixed"/>
        <w:tblCellMar>
          <w:top w:w="0" w:type="dxa"/>
          <w:left w:w="0" w:type="dxa"/>
          <w:bottom w:w="0" w:type="dxa"/>
          <w:right w:w="0" w:type="dxa"/>
        </w:tblCellMar>
      </w:tblPr>
      <w:tblGrid>
        <w:gridCol w:w="124"/>
        <w:gridCol w:w="466"/>
        <w:gridCol w:w="3436"/>
      </w:tblGrid>
      <w:tr>
        <w:trPr/>
        <w:tc>
          <w:tcPr>
            <w:tcW w:w="12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0"/>
              <w:jc w:val="left"/>
              <w:rPr/>
            </w:pPr>
            <w:hyperlink w:anchor="sga-20260910xex99d1.htm">
              <w:r>
                <w:rPr>
                  <w:rStyle w:val="InternetLink"/>
                  <w:rFonts w:ascii="Times New Roman;Times;serif" w:hAnsi="Times New Roman;Times;serif"/>
                  <w:b w:val="false"/>
                  <w:i w:val="false"/>
                  <w:caps w:val="false"/>
                  <w:smallCaps w:val="false"/>
                  <w:sz w:val="20"/>
                </w:rPr>
                <w:t>99.1</w:t>
              </w:r>
            </w:hyperlink>
          </w:p>
        </w:tc>
        <w:tc>
          <w:tcPr>
            <w:tcW w:w="3436" w:type="dxa"/>
            <w:tcBorders/>
            <w:vAlign w:val="center"/>
          </w:tcPr>
          <w:p>
            <w:pPr>
              <w:pStyle w:val="TableContents"/>
              <w:bidi w:val="0"/>
              <w:spacing w:before="0" w:after="0"/>
              <w:jc w:val="left"/>
              <w:rPr/>
            </w:pPr>
            <w:hyperlink w:anchor="sga-20260910xex99d1.htm">
              <w:r>
                <w:rPr>
                  <w:rStyle w:val="InternetLink"/>
                  <w:rFonts w:ascii="Times New Roman;Times;serif" w:hAnsi="Times New Roman;Times;serif"/>
                  <w:b w:val="false"/>
                  <w:i w:val="false"/>
                  <w:caps w:val="false"/>
                  <w:smallCaps w:val="false"/>
                  <w:sz w:val="20"/>
                </w:rPr>
                <w:t>Press Release dated September 10, 2026.</w:t>
              </w:r>
            </w:hyperlink>
          </w:p>
        </w:tc>
      </w:tr>
    </w:tbl>
    <w:tbl>
      <w:tblPr>
        <w:tblW w:w="7146" w:type="dxa"/>
        <w:jc w:val="left"/>
        <w:tblInd w:w="0" w:type="dxa"/>
        <w:tblLayout w:type="fixed"/>
        <w:tblCellMar>
          <w:top w:w="0" w:type="dxa"/>
          <w:left w:w="0" w:type="dxa"/>
          <w:bottom w:w="0" w:type="dxa"/>
          <w:right w:w="0" w:type="dxa"/>
        </w:tblCellMar>
      </w:tblPr>
      <w:tblGrid>
        <w:gridCol w:w="124"/>
        <w:gridCol w:w="421"/>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104</w:t>
            </w:r>
          </w:p>
        </w:tc>
        <w:tc>
          <w:tcPr>
            <w:tcW w:w="660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OF EXHIBITS</w:t>
      </w:r>
    </w:p>
    <w:tbl>
      <w:tblPr>
        <w:tblW w:w="7682" w:type="dxa"/>
        <w:jc w:val="left"/>
        <w:tblInd w:w="0" w:type="dxa"/>
        <w:tblLayout w:type="fixed"/>
        <w:tblCellMar>
          <w:top w:w="0" w:type="dxa"/>
          <w:left w:w="0" w:type="dxa"/>
          <w:bottom w:w="0" w:type="dxa"/>
          <w:right w:w="0" w:type="dxa"/>
        </w:tblCellMar>
      </w:tblPr>
      <w:tblGrid>
        <w:gridCol w:w="1081"/>
        <w:gridCol w:w="6601"/>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p>
        </w:tc>
        <w:tc>
          <w:tcPr>
            <w:tcW w:w="6601" w:type="dxa"/>
            <w:tcBorders/>
            <w:vAlign w:val="center"/>
          </w:tcPr>
          <w:p>
            <w:pPr>
              <w:pStyle w:val="TableContents"/>
              <w:bidi w:val="0"/>
              <w:spacing w:before="0" w:after="283"/>
              <w:ind w:left="0" w:right="0" w:hanging="0"/>
              <w:jc w:val="left"/>
              <w:rPr>
                <w:sz w:val="4"/>
                <w:szCs w:val="4"/>
              </w:rPr>
            </w:pPr>
            <w:r>
              <w:rPr>
                <w:sz w:val="4"/>
                <w:szCs w:val="4"/>
              </w:rPr>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66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vAlign w:val="center"/>
          </w:tcPr>
          <w:p>
            <w:pPr>
              <w:pStyle w:val="TableContents"/>
              <w:bidi w:val="0"/>
              <w:spacing w:before="0" w:after="0"/>
              <w:ind w:left="0" w:right="0" w:hanging="0"/>
              <w:jc w:val="left"/>
              <w:rPr/>
            </w:pPr>
            <w:hyperlink w:anchor="sga-20260910xex99d1.htm">
              <w:r>
                <w:rPr>
                  <w:rStyle w:val="InternetLink"/>
                  <w:rFonts w:ascii="Times New Roman;Times;serif" w:hAnsi="Times New Roman;Times;serif"/>
                  <w:b w:val="false"/>
                  <w:i w:val="false"/>
                  <w:caps w:val="false"/>
                  <w:smallCaps w:val="false"/>
                  <w:sz w:val="20"/>
                </w:rPr>
                <w:t>99.1</w:t>
              </w:r>
            </w:hyperlink>
          </w:p>
        </w:tc>
        <w:tc>
          <w:tcPr>
            <w:tcW w:w="6601" w:type="dxa"/>
            <w:tcBorders/>
            <w:vAlign w:val="center"/>
          </w:tcPr>
          <w:p>
            <w:pPr>
              <w:pStyle w:val="TableContents"/>
              <w:bidi w:val="0"/>
              <w:spacing w:before="0" w:after="0"/>
              <w:ind w:left="0" w:right="0" w:hanging="0"/>
              <w:jc w:val="left"/>
              <w:rPr/>
            </w:pPr>
            <w:hyperlink w:anchor="sga-20260910xex99d1.htm">
              <w:r>
                <w:rPr>
                  <w:rStyle w:val="InternetLink"/>
                  <w:rFonts w:ascii="Times New Roman;Times;serif" w:hAnsi="Times New Roman;Times;serif"/>
                  <w:b w:val="false"/>
                  <w:i w:val="false"/>
                  <w:caps w:val="false"/>
                  <w:smallCaps w:val="false"/>
                  <w:sz w:val="20"/>
                </w:rPr>
                <w:t>Press Release dated September 10, 2026.</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6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5999" w:type="dxa"/>
        <w:jc w:val="left"/>
        <w:tblInd w:w="0" w:type="dxa"/>
        <w:tblLayout w:type="fixed"/>
        <w:tblCellMar>
          <w:top w:w="0" w:type="dxa"/>
          <w:left w:w="0" w:type="dxa"/>
          <w:bottom w:w="0" w:type="dxa"/>
          <w:right w:w="0" w:type="dxa"/>
        </w:tblCellMar>
      </w:tblPr>
      <w:tblGrid>
        <w:gridCol w:w="2371"/>
        <w:gridCol w:w="451"/>
        <w:gridCol w:w="2986"/>
        <w:gridCol w:w="191"/>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2986" w:type="dxa"/>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before="0" w:after="283"/>
              <w:ind w:left="0" w:right="0" w:hanging="0"/>
              <w:jc w:val="left"/>
              <w:rPr>
                <w:sz w:val="4"/>
                <w:szCs w:val="4"/>
              </w:rPr>
            </w:pPr>
            <w:r>
              <w:rPr>
                <w:sz w:val="4"/>
                <w:szCs w:val="4"/>
              </w:rPr>
            </w:r>
          </w:p>
        </w:tc>
      </w:tr>
      <w:tr>
        <w:trPr/>
        <w:tc>
          <w:tcPr>
            <w:tcW w:w="237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298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371" w:type="dxa"/>
            <w:tcBorders/>
            <w:vAlign w:val="center"/>
          </w:tcPr>
          <w:p>
            <w:pPr>
              <w:pStyle w:val="TableContents"/>
              <w:bidi w:val="0"/>
              <w:spacing w:before="0" w:after="0"/>
              <w:ind w:left="0" w:right="0" w:hanging="0"/>
              <w:jc w:val="both"/>
              <w:rPr/>
            </w:pPr>
            <w:r>
              <w:rPr/>
              <w:t>​</w:t>
            </w:r>
          </w:p>
        </w:tc>
        <w:tc>
          <w:tcPr>
            <w:tcW w:w="3437" w:type="dxa"/>
            <w:gridSpan w:val="2"/>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SAGA COMMUNICATIONS, INC.</w:t>
            </w:r>
          </w:p>
        </w:tc>
        <w:tc>
          <w:tcPr>
            <w:tcW w:w="191" w:type="dxa"/>
            <w:tcBorders/>
            <w:vAlign w:val="center"/>
          </w:tcPr>
          <w:p>
            <w:pPr>
              <w:pStyle w:val="TableContents"/>
              <w:bidi w:val="0"/>
              <w:spacing w:before="0" w:after="0"/>
              <w:ind w:left="0" w:right="0" w:hanging="0"/>
              <w:jc w:val="both"/>
              <w:rPr/>
            </w:pPr>
            <w:r>
              <w:rPr/>
              <w:t> </w:t>
            </w:r>
          </w:p>
        </w:tc>
      </w:tr>
      <w:tr>
        <w:trPr/>
        <w:tc>
          <w:tcPr>
            <w:tcW w:w="2371" w:type="dxa"/>
            <w:tcBorders/>
            <w:vAlign w:val="center"/>
          </w:tcPr>
          <w:p>
            <w:pPr>
              <w:pStyle w:val="TableContents"/>
              <w:bidi w:val="0"/>
              <w:spacing w:before="0" w:after="0"/>
              <w:ind w:left="0" w:right="0" w:hanging="0"/>
              <w:jc w:val="both"/>
              <w:rPr/>
            </w:pPr>
            <w:r>
              <w:rPr/>
              <w:t> </w:t>
            </w:r>
          </w:p>
        </w:tc>
        <w:tc>
          <w:tcPr>
            <w:tcW w:w="451" w:type="dxa"/>
            <w:tcBorders/>
            <w:vAlign w:val="center"/>
          </w:tcPr>
          <w:p>
            <w:pPr>
              <w:pStyle w:val="TableContents"/>
              <w:bidi w:val="0"/>
              <w:spacing w:before="0" w:after="0"/>
              <w:ind w:left="0" w:right="0" w:hanging="0"/>
              <w:jc w:val="both"/>
              <w:rPr/>
            </w:pPr>
            <w:r>
              <w:rPr/>
              <w:t> </w:t>
            </w:r>
          </w:p>
        </w:tc>
        <w:tc>
          <w:tcPr>
            <w:tcW w:w="2986" w:type="dxa"/>
            <w:tcBorders/>
            <w:vAlign w:val="center"/>
          </w:tcPr>
          <w:p>
            <w:pPr>
              <w:pStyle w:val="TableContents"/>
              <w:bidi w:val="0"/>
              <w:spacing w:before="0" w:after="0"/>
              <w:ind w:left="0" w:right="0" w:hanging="0"/>
              <w:jc w:val="both"/>
              <w:rPr/>
            </w:pPr>
            <w:r>
              <w:rPr/>
              <w:t> </w:t>
            </w:r>
          </w:p>
        </w:tc>
        <w:tc>
          <w:tcPr>
            <w:tcW w:w="191" w:type="dxa"/>
            <w:tcBorders/>
            <w:vAlign w:val="center"/>
          </w:tcPr>
          <w:p>
            <w:pPr>
              <w:pStyle w:val="TableContents"/>
              <w:bidi w:val="0"/>
              <w:spacing w:before="0" w:after="0"/>
              <w:ind w:left="0" w:right="0" w:hanging="0"/>
              <w:jc w:val="both"/>
              <w:rPr/>
            </w:pPr>
            <w:r>
              <w:rPr/>
              <w:t> </w:t>
            </w:r>
          </w:p>
        </w:tc>
      </w:tr>
      <w:tr>
        <w:trPr/>
        <w:tc>
          <w:tcPr>
            <w:tcW w:w="2371" w:type="dxa"/>
            <w:tcBorders/>
            <w:vAlign w:val="center"/>
          </w:tcPr>
          <w:p>
            <w:pPr>
              <w:pStyle w:val="TableContents"/>
              <w:bidi w:val="0"/>
              <w:spacing w:before="0" w:after="0"/>
              <w:ind w:left="0" w:right="0" w:hanging="0"/>
              <w:jc w:val="both"/>
              <w:rPr/>
            </w:pPr>
            <w:r>
              <w:rPr/>
              <w:t> </w:t>
            </w:r>
          </w:p>
        </w:tc>
        <w:tc>
          <w:tcPr>
            <w:tcW w:w="451" w:type="dxa"/>
            <w:tcBorders/>
            <w:vAlign w:val="center"/>
          </w:tcPr>
          <w:p>
            <w:pPr>
              <w:pStyle w:val="TableContents"/>
              <w:bidi w:val="0"/>
              <w:spacing w:before="0" w:after="0"/>
              <w:ind w:left="0" w:right="0" w:hanging="0"/>
              <w:jc w:val="both"/>
              <w:rPr/>
            </w:pPr>
            <w:r>
              <w:rPr/>
              <w:t> </w:t>
            </w:r>
          </w:p>
        </w:tc>
        <w:tc>
          <w:tcPr>
            <w:tcW w:w="2986" w:type="dxa"/>
            <w:tcBorders/>
            <w:vAlign w:val="center"/>
          </w:tcPr>
          <w:p>
            <w:pPr>
              <w:pStyle w:val="TableContents"/>
              <w:bidi w:val="0"/>
              <w:spacing w:before="0" w:after="0"/>
              <w:ind w:left="0" w:right="0" w:hanging="0"/>
              <w:jc w:val="both"/>
              <w:rPr/>
            </w:pPr>
            <w:r>
              <w:rPr/>
              <w:t> </w:t>
            </w:r>
          </w:p>
        </w:tc>
        <w:tc>
          <w:tcPr>
            <w:tcW w:w="191" w:type="dxa"/>
            <w:tcBorders/>
            <w:vAlign w:val="center"/>
          </w:tcPr>
          <w:p>
            <w:pPr>
              <w:pStyle w:val="TableContents"/>
              <w:bidi w:val="0"/>
              <w:spacing w:before="0" w:after="0"/>
              <w:ind w:left="0" w:right="0" w:hanging="0"/>
              <w:jc w:val="both"/>
              <w:rPr/>
            </w:pPr>
            <w:r>
              <w:rPr/>
              <w:t> </w:t>
            </w:r>
          </w:p>
        </w:tc>
      </w:tr>
      <w:tr>
        <w:trPr/>
        <w:tc>
          <w:tcPr>
            <w:tcW w:w="23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Dated: September 10, 2026 </w:t>
            </w:r>
          </w:p>
        </w:tc>
        <w:tc>
          <w:tcPr>
            <w:tcW w:w="4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By: </w:t>
            </w:r>
          </w:p>
        </w:tc>
        <w:tc>
          <w:tcPr>
            <w:tcW w:w="2986"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Samuel D. Bush</w:t>
            </w:r>
          </w:p>
        </w:tc>
        <w:tc>
          <w:tcPr>
            <w:tcW w:w="191" w:type="dxa"/>
            <w:tcBorders/>
            <w:vAlign w:val="center"/>
          </w:tcPr>
          <w:p>
            <w:pPr>
              <w:pStyle w:val="TableContents"/>
              <w:bidi w:val="0"/>
              <w:spacing w:before="0" w:after="0"/>
              <w:ind w:left="0" w:right="0" w:hanging="0"/>
              <w:jc w:val="both"/>
              <w:rPr/>
            </w:pPr>
            <w:r>
              <w:rPr/>
              <w:t> </w:t>
            </w:r>
          </w:p>
        </w:tc>
      </w:tr>
      <w:tr>
        <w:trPr/>
        <w:tc>
          <w:tcPr>
            <w:tcW w:w="2371" w:type="dxa"/>
            <w:tcBorders/>
            <w:vAlign w:val="center"/>
          </w:tcPr>
          <w:p>
            <w:pPr>
              <w:pStyle w:val="TableContents"/>
              <w:bidi w:val="0"/>
              <w:spacing w:before="0" w:after="0"/>
              <w:ind w:left="0" w:right="0" w:hanging="0"/>
              <w:jc w:val="both"/>
              <w:rPr/>
            </w:pPr>
            <w:r>
              <w:rPr/>
              <w:t> </w:t>
            </w:r>
          </w:p>
        </w:tc>
        <w:tc>
          <w:tcPr>
            <w:tcW w:w="451" w:type="dxa"/>
            <w:tcBorders/>
            <w:vAlign w:val="center"/>
          </w:tcPr>
          <w:p>
            <w:pPr>
              <w:pStyle w:val="TableContents"/>
              <w:bidi w:val="0"/>
              <w:spacing w:before="0" w:after="0"/>
              <w:ind w:left="0" w:right="0" w:hanging="0"/>
              <w:jc w:val="both"/>
              <w:rPr/>
            </w:pPr>
            <w:r>
              <w:rPr/>
              <w:t> </w:t>
            </w:r>
          </w:p>
        </w:tc>
        <w:tc>
          <w:tcPr>
            <w:tcW w:w="29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Samuel D. Bush</w:t>
            </w:r>
          </w:p>
        </w:tc>
        <w:tc>
          <w:tcPr>
            <w:tcW w:w="191" w:type="dxa"/>
            <w:tcBorders/>
            <w:vAlign w:val="center"/>
          </w:tcPr>
          <w:p>
            <w:pPr>
              <w:pStyle w:val="TableContents"/>
              <w:bidi w:val="0"/>
              <w:spacing w:before="0" w:after="0"/>
              <w:ind w:left="0" w:right="0" w:hanging="0"/>
              <w:jc w:val="both"/>
              <w:rPr/>
            </w:pPr>
            <w:r>
              <w:rPr/>
              <w:t> </w:t>
            </w:r>
          </w:p>
        </w:tc>
      </w:tr>
      <w:tr>
        <w:trPr/>
        <w:tc>
          <w:tcPr>
            <w:tcW w:w="2371" w:type="dxa"/>
            <w:tcBorders/>
            <w:vAlign w:val="center"/>
          </w:tcPr>
          <w:p>
            <w:pPr>
              <w:pStyle w:val="TableContents"/>
              <w:bidi w:val="0"/>
              <w:spacing w:before="0" w:after="0"/>
              <w:ind w:left="0" w:right="0" w:hanging="0"/>
              <w:jc w:val="both"/>
              <w:rPr/>
            </w:pPr>
            <w:r>
              <w:rPr/>
              <w:t> </w:t>
            </w:r>
          </w:p>
        </w:tc>
        <w:tc>
          <w:tcPr>
            <w:tcW w:w="451" w:type="dxa"/>
            <w:tcBorders/>
            <w:vAlign w:val="center"/>
          </w:tcPr>
          <w:p>
            <w:pPr>
              <w:pStyle w:val="TableContents"/>
              <w:bidi w:val="0"/>
              <w:spacing w:before="0" w:after="0"/>
              <w:ind w:left="0" w:right="0" w:hanging="0"/>
              <w:jc w:val="both"/>
              <w:rPr/>
            </w:pPr>
            <w:r>
              <w:rPr/>
              <w:t> </w:t>
            </w:r>
          </w:p>
        </w:tc>
        <w:tc>
          <w:tcPr>
            <w:tcW w:w="29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Executive Vice President and Chief</w:t>
            </w:r>
          </w:p>
        </w:tc>
        <w:tc>
          <w:tcPr>
            <w:tcW w:w="191" w:type="dxa"/>
            <w:tcBorders/>
            <w:vAlign w:val="center"/>
          </w:tcPr>
          <w:p>
            <w:pPr>
              <w:pStyle w:val="TableContents"/>
              <w:bidi w:val="0"/>
              <w:spacing w:before="0" w:after="0"/>
              <w:ind w:left="0" w:right="0" w:hanging="0"/>
              <w:jc w:val="both"/>
              <w:rPr/>
            </w:pPr>
            <w:r>
              <w:rPr/>
              <w:t> </w:t>
            </w:r>
          </w:p>
        </w:tc>
      </w:tr>
      <w:tr>
        <w:trPr/>
        <w:tc>
          <w:tcPr>
            <w:tcW w:w="2371" w:type="dxa"/>
            <w:tcBorders/>
            <w:vAlign w:val="center"/>
          </w:tcPr>
          <w:p>
            <w:pPr>
              <w:pStyle w:val="TableContents"/>
              <w:bidi w:val="0"/>
              <w:spacing w:before="0" w:after="0"/>
              <w:ind w:left="0" w:right="0" w:hanging="0"/>
              <w:jc w:val="both"/>
              <w:rPr/>
            </w:pPr>
            <w:r>
              <w:rPr/>
              <w:t> </w:t>
            </w:r>
          </w:p>
        </w:tc>
        <w:tc>
          <w:tcPr>
            <w:tcW w:w="451" w:type="dxa"/>
            <w:tcBorders/>
            <w:vAlign w:val="center"/>
          </w:tcPr>
          <w:p>
            <w:pPr>
              <w:pStyle w:val="TableContents"/>
              <w:bidi w:val="0"/>
              <w:spacing w:before="0" w:after="0"/>
              <w:ind w:left="0" w:right="0" w:hanging="0"/>
              <w:jc w:val="both"/>
              <w:rPr/>
            </w:pPr>
            <w:r>
              <w:rPr/>
              <w:t> </w:t>
            </w:r>
          </w:p>
        </w:tc>
        <w:tc>
          <w:tcPr>
            <w:tcW w:w="29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Financial Officer</w:t>
            </w:r>
          </w:p>
        </w:tc>
        <w:tc>
          <w:tcPr>
            <w:tcW w:w="191" w:type="dxa"/>
            <w:tcBorders/>
            <w:vAlign w:val="center"/>
          </w:tcPr>
          <w:p>
            <w:pPr>
              <w:pStyle w:val="TableContents"/>
              <w:bidi w:val="0"/>
              <w:spacing w:before="0" w:after="0"/>
              <w:ind w:left="0" w:right="0" w:hanging="0"/>
              <w:jc w:val="both"/>
              <w:rPr/>
            </w:pPr>
            <w:r>
              <w:rPr/>
              <w:t> </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b/>
          <w:sz w:val="24"/>
        </w:rPr>
      </w:pPr>
      <w:bookmarkStart w:id="34" w:name="sga-20260910xex99d1.htm"/>
      <w:bookmarkStart w:id="35" w:name="kssga20260910xex99d1"/>
      <w:bookmarkEnd w:id="34"/>
      <w:bookmarkEnd w:id="35"/>
      <w:r>
        <w:rPr>
          <w:rFonts w:ascii="Times New Roman;Times;serif" w:hAnsi="Times New Roman;Times;serif"/>
          <w:b/>
          <w:sz w:val="24"/>
        </w:rPr>
        <w:t>Exhibit 99.1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2152015"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52015" cy="942975"/>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Saga Communications, Inc.</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Declares a Quarterly Cash Dividend of $0.25 per Share</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Contact:</w:t>
      </w:r>
    </w:p>
    <w:p>
      <w:pPr>
        <w:pStyle w:val="TextBody"/>
        <w:bidi w:val="0"/>
        <w:spacing w:before="0" w:after="0"/>
        <w:ind w:left="0" w:right="0" w:hanging="0"/>
        <w:jc w:val="right"/>
        <w:rPr>
          <w:rFonts w:ascii="Times New Roman;Times;serif" w:hAnsi="Times New Roman;Times;serif"/>
          <w:sz w:val="24"/>
        </w:rPr>
      </w:pPr>
      <w:r>
        <w:rPr>
          <w:rFonts w:ascii="Times New Roman;Times;serif" w:hAnsi="Times New Roman;Times;serif"/>
          <w:sz w:val="24"/>
        </w:rPr>
        <w:t>Samuel D. Bush</w:t>
      </w:r>
    </w:p>
    <w:p>
      <w:pPr>
        <w:pStyle w:val="TextBody"/>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(313) 886-7070</w:t>
      </w:r>
    </w:p>
    <w:p>
      <w:pPr>
        <w:pStyle w:val="TextBody"/>
        <w:bidi w:val="0"/>
        <w:spacing w:before="0" w:after="0"/>
        <w:ind w:left="0" w:right="0" w:hanging="0"/>
        <w:jc w:val="righ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Grosse Pointe Farms, MI – September 10, 2026 – Saga Communications, Inc. (Nasdaq - SGA) (the “Company”, “Saga” or “our”) today announced that its Board of Directors (“Board”) declared a quarterly cash dividend of $0.25 per share. The dividend will be paid on October 16, 2026, to shareholders of record on September 23, 2026. The aggregate amount of the payment to be made in connection with the quarterly dividend will be approximately $1.6 million. The quarterly dividend will be funded by cash on the Company’s balance sheet. Including this dividend, the Company will have paid over $146 million in dividends to shareholders since the first special dividend was paid in 2012.</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The Company currently intends to declare regular quarterly cash dividends in the future. The declaration and payment of any future dividend, whether fixed, special, or based on the variable policy, or the implementation of any stock buyback program will remain at the full discretion of the Board and will depend on the Company’s financial results, cash requirements, future expectations, and other pertinent factors.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4"/>
        </w:rPr>
        <w:t xml:space="preserve">Saga is a media company whose business is devoted to acquiring, developing and operating broadcast properties with a focus on providing opportunities complimentary to our core radio business including digital, e-commerce, local on-line news services and non-traditional revenue initiatives. Saga owns or operates broadcast properties in 28 markets, including 82 FM and 28 AM radio stations and 78 metro signals. For additional information, contact us at (313) 886-7070 or visit our website at </w:t>
      </w:r>
      <w:r>
        <w:rPr>
          <w:rFonts w:ascii="Times New Roman;Times;serif" w:hAnsi="Times New Roman;Times;serif"/>
          <w:color w:val="0000FF"/>
          <w:sz w:val="24"/>
          <w:u w:val="single"/>
        </w:rPr>
        <w:t>www.sagacom.com</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This press release contains certain forward-looking statements within the meaning of the U.S. Private Securities Litigation Reform Act of 1995 that are based upon current expectations and involve certain risks and uncertainties. Words such as “will,” “may,” “believes,” “intends,” “expects,” “anticipates,” “guidance,” and similar expressions are intended to identify forward-looking statements. The material risks facing our business are described in the reports Saga periodically files with the U.S. Securities and Exchange Commission, including, in particular, Item 1A of our Annual Report on Form 10-K. Readers should note that forward-looking statements may be impacted by several factors, including global, national, and local economic changes and changes in the radio broadcast industry in general as well as Saga’s actual performance. Actual results may vary materially from those described herein and Saga undertakes no obligation to update any information contained herein that constitutes a forward-looking statement.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871</Words>
  <Characters>4888</Characters>
  <CharactersWithSpaces>5766</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